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charts/chart1.xml" ContentType="application/vnd.openxmlformats-officedocument.drawingml.chart+xml"/>
  <Override PartName="/word/charts/chart2.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charts/chart3.xml" ContentType="application/vnd.openxmlformats-officedocument.drawingml.chart+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0DA2" w:rsidRPr="0081082A" w:rsidRDefault="006C0991" w:rsidP="00830DA2">
      <w:pPr>
        <w:pStyle w:val="Bullet1"/>
        <w:ind w:left="0" w:firstLine="708"/>
        <w:jc w:val="both"/>
        <w:rPr>
          <w:b/>
          <w:bCs/>
          <w:sz w:val="24"/>
          <w:szCs w:val="24"/>
          <w:lang w:val="sr-Cyrl-RS"/>
        </w:rPr>
      </w:pPr>
      <w:r w:rsidRPr="0081082A">
        <w:rPr>
          <w:sz w:val="24"/>
          <w:szCs w:val="24"/>
          <w:lang w:val="sr-Cyrl-RS"/>
        </w:rPr>
        <w:t>На основу члана 38. став 1. Закона о планском систему Републике Србије („Службени гласник РС</w:t>
      </w:r>
      <w:r w:rsidR="007E728E" w:rsidRPr="0081082A">
        <w:rPr>
          <w:sz w:val="24"/>
          <w:szCs w:val="24"/>
          <w:lang w:val="sr-Cyrl-RS"/>
        </w:rPr>
        <w:t>”</w:t>
      </w:r>
      <w:r w:rsidRPr="0081082A">
        <w:rPr>
          <w:sz w:val="24"/>
          <w:szCs w:val="24"/>
          <w:lang w:val="sr-Cyrl-RS"/>
        </w:rPr>
        <w:t>, број 30/18),</w:t>
      </w:r>
    </w:p>
    <w:p w:rsidR="00830DA2" w:rsidRPr="0081082A" w:rsidRDefault="006C0991" w:rsidP="00830DA2">
      <w:pPr>
        <w:pStyle w:val="Bullet1"/>
        <w:ind w:firstLine="566"/>
        <w:rPr>
          <w:sz w:val="24"/>
          <w:szCs w:val="24"/>
          <w:lang w:val="sr-Cyrl-RS"/>
        </w:rPr>
      </w:pPr>
      <w:r w:rsidRPr="0081082A">
        <w:rPr>
          <w:sz w:val="24"/>
          <w:szCs w:val="24"/>
          <w:lang w:val="sr-Cyrl-RS"/>
        </w:rPr>
        <w:t>Влада усваја</w:t>
      </w:r>
    </w:p>
    <w:p w:rsidR="003B31A0" w:rsidRPr="00EA418B" w:rsidRDefault="003B31A0" w:rsidP="003B31A0">
      <w:pPr>
        <w:pStyle w:val="Heading2"/>
        <w:jc w:val="center"/>
        <w:rPr>
          <w:rFonts w:ascii="Times New Roman" w:hAnsi="Times New Roman"/>
          <w:sz w:val="32"/>
          <w:szCs w:val="32"/>
          <w:lang w:val="sr-Cyrl-RS"/>
        </w:rPr>
      </w:pPr>
      <w:bookmarkStart w:id="0" w:name="_Toc66194786"/>
      <w:bookmarkStart w:id="1" w:name="_Toc72488780"/>
      <w:r w:rsidRPr="00EA418B">
        <w:rPr>
          <w:rFonts w:ascii="Times New Roman" w:hAnsi="Times New Roman"/>
          <w:sz w:val="32"/>
          <w:szCs w:val="32"/>
          <w:lang w:val="sr-Cyrl-RS"/>
        </w:rPr>
        <w:t xml:space="preserve">ПРОГРАМ РЕФОРМЕ УПРАВЉАЊА ЈАВНИМ ФИНАНСИЈАМА </w:t>
      </w:r>
      <w:r w:rsidR="00EA418B" w:rsidRPr="00EA418B">
        <w:rPr>
          <w:rFonts w:ascii="Times New Roman" w:hAnsi="Times New Roman"/>
          <w:sz w:val="32"/>
          <w:szCs w:val="32"/>
          <w:lang w:val="sr-Cyrl-RS"/>
        </w:rPr>
        <w:t xml:space="preserve">ЗА ПЕРИОД </w:t>
      </w:r>
      <w:r w:rsidRPr="00EA418B">
        <w:rPr>
          <w:rFonts w:ascii="Times New Roman" w:hAnsi="Times New Roman"/>
          <w:sz w:val="32"/>
          <w:szCs w:val="32"/>
          <w:lang w:val="sr-Cyrl-RS"/>
        </w:rPr>
        <w:t>2021-2025</w:t>
      </w:r>
      <w:bookmarkEnd w:id="0"/>
      <w:bookmarkEnd w:id="1"/>
      <w:r w:rsidR="00EA418B" w:rsidRPr="00EA418B">
        <w:rPr>
          <w:rFonts w:ascii="Times New Roman" w:hAnsi="Times New Roman"/>
          <w:sz w:val="32"/>
          <w:szCs w:val="32"/>
          <w:lang w:val="sr-Cyrl-RS"/>
        </w:rPr>
        <w:t>. ГОДИНЕ</w:t>
      </w:r>
    </w:p>
    <w:p w:rsidR="00654C78" w:rsidRPr="0081082A" w:rsidRDefault="00E9233C" w:rsidP="00E9233C">
      <w:pPr>
        <w:pStyle w:val="Heading2"/>
        <w:pBdr>
          <w:left w:val="single" w:sz="24" w:space="2" w:color="DEEAF6" w:themeColor="accent1" w:themeTint="33"/>
        </w:pBdr>
        <w:jc w:val="center"/>
        <w:rPr>
          <w:rFonts w:ascii="Times New Roman" w:hAnsi="Times New Roman"/>
          <w:sz w:val="24"/>
          <w:lang w:val="sr-Cyrl-RS"/>
        </w:rPr>
      </w:pPr>
      <w:r w:rsidRPr="0081082A">
        <w:rPr>
          <w:rFonts w:ascii="Times New Roman" w:hAnsi="Times New Roman"/>
          <w:sz w:val="24"/>
          <w:lang w:val="sr-Cyrl-RS"/>
        </w:rPr>
        <w:t>Уводна реч министра</w:t>
      </w:r>
      <w:r w:rsidR="00654C78" w:rsidRPr="0081082A">
        <w:rPr>
          <w:noProof/>
        </w:rPr>
        <mc:AlternateContent>
          <mc:Choice Requires="wpg">
            <w:drawing>
              <wp:anchor distT="0" distB="0" distL="114300" distR="114300" simplePos="0" relativeHeight="251689984" behindDoc="1" locked="0" layoutInCell="1" allowOverlap="1" wp14:anchorId="63396E66" wp14:editId="2D4D2ABA">
                <wp:simplePos x="0" y="0"/>
                <wp:positionH relativeFrom="margin">
                  <wp:posOffset>0</wp:posOffset>
                </wp:positionH>
                <wp:positionV relativeFrom="page">
                  <wp:posOffset>1503680</wp:posOffset>
                </wp:positionV>
                <wp:extent cx="6124575" cy="3829225"/>
                <wp:effectExtent l="0" t="0" r="28575" b="19050"/>
                <wp:wrapNone/>
                <wp:docPr id="2064" name="Group 2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05" cy="5076"/>
                          <a:chOff x="815" y="9811"/>
                          <a:chExt cx="9105" cy="5076"/>
                        </a:xfrm>
                      </wpg:grpSpPr>
                      <wps:wsp>
                        <wps:cNvPr id="2065" name="Freeform 2113"/>
                        <wps:cNvSpPr>
                          <a:spLocks/>
                        </wps:cNvSpPr>
                        <wps:spPr bwMode="auto">
                          <a:xfrm>
                            <a:off x="815" y="9811"/>
                            <a:ext cx="9105" cy="5076"/>
                          </a:xfrm>
                          <a:custGeom>
                            <a:avLst/>
                            <a:gdLst>
                              <a:gd name="T0" fmla="+- 0 851 830"/>
                              <a:gd name="T1" fmla="*/ T0 w 10210"/>
                              <a:gd name="T2" fmla="+- 0 14286 8970"/>
                              <a:gd name="T3" fmla="*/ 14286 h 5310"/>
                              <a:gd name="T4" fmla="+- 0 867 830"/>
                              <a:gd name="T5" fmla="*/ T4 w 10210"/>
                              <a:gd name="T6" fmla="+- 0 14286 8970"/>
                              <a:gd name="T7" fmla="*/ 14286 h 5310"/>
                              <a:gd name="T8" fmla="+- 0 914 830"/>
                              <a:gd name="T9" fmla="*/ T8 w 10210"/>
                              <a:gd name="T10" fmla="+- 0 14286 8970"/>
                              <a:gd name="T11" fmla="*/ 14286 h 5310"/>
                              <a:gd name="T12" fmla="+- 0 1013 830"/>
                              <a:gd name="T13" fmla="*/ T12 w 10210"/>
                              <a:gd name="T14" fmla="+- 0 14286 8970"/>
                              <a:gd name="T15" fmla="*/ 14286 h 5310"/>
                              <a:gd name="T16" fmla="+- 0 1182 830"/>
                              <a:gd name="T17" fmla="*/ T16 w 10210"/>
                              <a:gd name="T18" fmla="+- 0 14286 8970"/>
                              <a:gd name="T19" fmla="*/ 14286 h 5310"/>
                              <a:gd name="T20" fmla="+- 0 1439 830"/>
                              <a:gd name="T21" fmla="*/ T20 w 10210"/>
                              <a:gd name="T22" fmla="+- 0 14286 8970"/>
                              <a:gd name="T23" fmla="*/ 14286 h 5310"/>
                              <a:gd name="T24" fmla="+- 0 1803 830"/>
                              <a:gd name="T25" fmla="*/ T24 w 10210"/>
                              <a:gd name="T26" fmla="+- 0 14286 8970"/>
                              <a:gd name="T27" fmla="*/ 14286 h 5310"/>
                              <a:gd name="T28" fmla="+- 0 2293 830"/>
                              <a:gd name="T29" fmla="*/ T28 w 10210"/>
                              <a:gd name="T30" fmla="+- 0 14286 8970"/>
                              <a:gd name="T31" fmla="*/ 14286 h 5310"/>
                              <a:gd name="T32" fmla="+- 0 2927 830"/>
                              <a:gd name="T33" fmla="*/ T32 w 10210"/>
                              <a:gd name="T34" fmla="+- 0 14286 8970"/>
                              <a:gd name="T35" fmla="*/ 14286 h 5310"/>
                              <a:gd name="T36" fmla="+- 0 3724 830"/>
                              <a:gd name="T37" fmla="*/ T36 w 10210"/>
                              <a:gd name="T38" fmla="+- 0 14286 8970"/>
                              <a:gd name="T39" fmla="*/ 14286 h 5310"/>
                              <a:gd name="T40" fmla="+- 0 4702 830"/>
                              <a:gd name="T41" fmla="*/ T40 w 10210"/>
                              <a:gd name="T42" fmla="+- 0 14286 8970"/>
                              <a:gd name="T43" fmla="*/ 14286 h 5310"/>
                              <a:gd name="T44" fmla="+- 0 5880 830"/>
                              <a:gd name="T45" fmla="*/ T44 w 10210"/>
                              <a:gd name="T46" fmla="+- 0 14286 8970"/>
                              <a:gd name="T47" fmla="*/ 14286 h 5310"/>
                              <a:gd name="T48" fmla="+- 0 7276 830"/>
                              <a:gd name="T49" fmla="*/ T48 w 10210"/>
                              <a:gd name="T50" fmla="+- 0 14286 8970"/>
                              <a:gd name="T51" fmla="*/ 14286 h 5310"/>
                              <a:gd name="T52" fmla="+- 0 8910 830"/>
                              <a:gd name="T53" fmla="*/ T52 w 10210"/>
                              <a:gd name="T54" fmla="+- 0 14286 8970"/>
                              <a:gd name="T55" fmla="*/ 14286 h 5310"/>
                              <a:gd name="T56" fmla="+- 0 10800 830"/>
                              <a:gd name="T57" fmla="*/ T56 w 10210"/>
                              <a:gd name="T58" fmla="+- 0 14286 8970"/>
                              <a:gd name="T59" fmla="*/ 14286 h 5310"/>
                              <a:gd name="T60" fmla="+- 0 11055 830"/>
                              <a:gd name="T61" fmla="*/ T60 w 10210"/>
                              <a:gd name="T62" fmla="+- 0 14285 8970"/>
                              <a:gd name="T63" fmla="*/ 14285 h 5310"/>
                              <a:gd name="T64" fmla="+- 0 11055 830"/>
                              <a:gd name="T65" fmla="*/ T64 w 10210"/>
                              <a:gd name="T66" fmla="+- 0 14277 8970"/>
                              <a:gd name="T67" fmla="*/ 14277 h 5310"/>
                              <a:gd name="T68" fmla="+- 0 11055 830"/>
                              <a:gd name="T69" fmla="*/ T68 w 10210"/>
                              <a:gd name="T70" fmla="+- 0 14253 8970"/>
                              <a:gd name="T71" fmla="*/ 14253 h 5310"/>
                              <a:gd name="T72" fmla="+- 0 11055 830"/>
                              <a:gd name="T73" fmla="*/ T72 w 10210"/>
                              <a:gd name="T74" fmla="+- 0 14201 8970"/>
                              <a:gd name="T75" fmla="*/ 14201 h 5310"/>
                              <a:gd name="T76" fmla="+- 0 11055 830"/>
                              <a:gd name="T77" fmla="*/ T76 w 10210"/>
                              <a:gd name="T78" fmla="+- 0 14113 8970"/>
                              <a:gd name="T79" fmla="*/ 14113 h 5310"/>
                              <a:gd name="T80" fmla="+- 0 11055 830"/>
                              <a:gd name="T81" fmla="*/ T80 w 10210"/>
                              <a:gd name="T82" fmla="+- 0 13980 8970"/>
                              <a:gd name="T83" fmla="*/ 13980 h 5310"/>
                              <a:gd name="T84" fmla="+- 0 11055 830"/>
                              <a:gd name="T85" fmla="*/ T84 w 10210"/>
                              <a:gd name="T86" fmla="+- 0 13791 8970"/>
                              <a:gd name="T87" fmla="*/ 13791 h 5310"/>
                              <a:gd name="T88" fmla="+- 0 11055 830"/>
                              <a:gd name="T89" fmla="*/ T88 w 10210"/>
                              <a:gd name="T90" fmla="+- 0 13536 8970"/>
                              <a:gd name="T91" fmla="*/ 13536 h 5310"/>
                              <a:gd name="T92" fmla="+- 0 11055 830"/>
                              <a:gd name="T93" fmla="*/ T92 w 10210"/>
                              <a:gd name="T94" fmla="+- 0 13207 8970"/>
                              <a:gd name="T95" fmla="*/ 13207 h 5310"/>
                              <a:gd name="T96" fmla="+- 0 11055 830"/>
                              <a:gd name="T97" fmla="*/ T96 w 10210"/>
                              <a:gd name="T98" fmla="+- 0 12793 8970"/>
                              <a:gd name="T99" fmla="*/ 12793 h 5310"/>
                              <a:gd name="T100" fmla="+- 0 11055 830"/>
                              <a:gd name="T101" fmla="*/ T100 w 10210"/>
                              <a:gd name="T102" fmla="+- 0 12285 8970"/>
                              <a:gd name="T103" fmla="*/ 12285 h 5310"/>
                              <a:gd name="T104" fmla="+- 0 11055 830"/>
                              <a:gd name="T105" fmla="*/ T104 w 10210"/>
                              <a:gd name="T106" fmla="+- 0 11673 8970"/>
                              <a:gd name="T107" fmla="*/ 11673 h 5310"/>
                              <a:gd name="T108" fmla="+- 0 11055 830"/>
                              <a:gd name="T109" fmla="*/ T108 w 10210"/>
                              <a:gd name="T110" fmla="+- 0 10947 8970"/>
                              <a:gd name="T111" fmla="*/ 10947 h 5310"/>
                              <a:gd name="T112" fmla="+- 0 11055 830"/>
                              <a:gd name="T113" fmla="*/ T112 w 10210"/>
                              <a:gd name="T114" fmla="+- 0 10098 8970"/>
                              <a:gd name="T115" fmla="*/ 10098 h 5310"/>
                              <a:gd name="T116" fmla="+- 0 11055 830"/>
                              <a:gd name="T117" fmla="*/ T116 w 10210"/>
                              <a:gd name="T118" fmla="+- 0 9116 8970"/>
                              <a:gd name="T119" fmla="*/ 9116 h 5310"/>
                              <a:gd name="T120" fmla="+- 0 11053 830"/>
                              <a:gd name="T121" fmla="*/ T120 w 10210"/>
                              <a:gd name="T122" fmla="+- 0 8984 8970"/>
                              <a:gd name="T123" fmla="*/ 8984 h 5310"/>
                              <a:gd name="T124" fmla="+- 0 11038 830"/>
                              <a:gd name="T125" fmla="*/ T124 w 10210"/>
                              <a:gd name="T126" fmla="+- 0 8984 8970"/>
                              <a:gd name="T127" fmla="*/ 8984 h 5310"/>
                              <a:gd name="T128" fmla="+- 0 10990 830"/>
                              <a:gd name="T129" fmla="*/ T128 w 10210"/>
                              <a:gd name="T130" fmla="+- 0 8984 8970"/>
                              <a:gd name="T131" fmla="*/ 8984 h 5310"/>
                              <a:gd name="T132" fmla="+- 0 10891 830"/>
                              <a:gd name="T133" fmla="*/ T132 w 10210"/>
                              <a:gd name="T134" fmla="+- 0 8984 8970"/>
                              <a:gd name="T135" fmla="*/ 8984 h 5310"/>
                              <a:gd name="T136" fmla="+- 0 10722 830"/>
                              <a:gd name="T137" fmla="*/ T136 w 10210"/>
                              <a:gd name="T138" fmla="+- 0 8984 8970"/>
                              <a:gd name="T139" fmla="*/ 8984 h 5310"/>
                              <a:gd name="T140" fmla="+- 0 10465 830"/>
                              <a:gd name="T141" fmla="*/ T140 w 10210"/>
                              <a:gd name="T142" fmla="+- 0 8984 8970"/>
                              <a:gd name="T143" fmla="*/ 8984 h 5310"/>
                              <a:gd name="T144" fmla="+- 0 10101 830"/>
                              <a:gd name="T145" fmla="*/ T144 w 10210"/>
                              <a:gd name="T146" fmla="+- 0 8984 8970"/>
                              <a:gd name="T147" fmla="*/ 8984 h 5310"/>
                              <a:gd name="T148" fmla="+- 0 9611 830"/>
                              <a:gd name="T149" fmla="*/ T148 w 10210"/>
                              <a:gd name="T150" fmla="+- 0 8984 8970"/>
                              <a:gd name="T151" fmla="*/ 8984 h 5310"/>
                              <a:gd name="T152" fmla="+- 0 8978 830"/>
                              <a:gd name="T153" fmla="*/ T152 w 10210"/>
                              <a:gd name="T154" fmla="+- 0 8984 8970"/>
                              <a:gd name="T155" fmla="*/ 8984 h 5310"/>
                              <a:gd name="T156" fmla="+- 0 8181 830"/>
                              <a:gd name="T157" fmla="*/ T156 w 10210"/>
                              <a:gd name="T158" fmla="+- 0 8984 8970"/>
                              <a:gd name="T159" fmla="*/ 8984 h 5310"/>
                              <a:gd name="T160" fmla="+- 0 7203 830"/>
                              <a:gd name="T161" fmla="*/ T160 w 10210"/>
                              <a:gd name="T162" fmla="+- 0 8984 8970"/>
                              <a:gd name="T163" fmla="*/ 8984 h 5310"/>
                              <a:gd name="T164" fmla="+- 0 6025 830"/>
                              <a:gd name="T165" fmla="*/ T164 w 10210"/>
                              <a:gd name="T166" fmla="+- 0 8984 8970"/>
                              <a:gd name="T167" fmla="*/ 8984 h 5310"/>
                              <a:gd name="T168" fmla="+- 0 4628 830"/>
                              <a:gd name="T169" fmla="*/ T168 w 10210"/>
                              <a:gd name="T170" fmla="+- 0 8984 8970"/>
                              <a:gd name="T171" fmla="*/ 8984 h 5310"/>
                              <a:gd name="T172" fmla="+- 0 2995 830"/>
                              <a:gd name="T173" fmla="*/ T172 w 10210"/>
                              <a:gd name="T174" fmla="+- 0 8984 8970"/>
                              <a:gd name="T175" fmla="*/ 8984 h 5310"/>
                              <a:gd name="T176" fmla="+- 0 1105 830"/>
                              <a:gd name="T177" fmla="*/ T176 w 10210"/>
                              <a:gd name="T178" fmla="+- 0 8984 8970"/>
                              <a:gd name="T179" fmla="*/ 8984 h 5310"/>
                              <a:gd name="T180" fmla="+- 0 850 830"/>
                              <a:gd name="T181" fmla="*/ T180 w 10210"/>
                              <a:gd name="T182" fmla="+- 0 8984 8970"/>
                              <a:gd name="T183" fmla="*/ 8984 h 5310"/>
                              <a:gd name="T184" fmla="+- 0 850 830"/>
                              <a:gd name="T185" fmla="*/ T184 w 10210"/>
                              <a:gd name="T186" fmla="+- 0 8992 8970"/>
                              <a:gd name="T187" fmla="*/ 8992 h 5310"/>
                              <a:gd name="T188" fmla="+- 0 850 830"/>
                              <a:gd name="T189" fmla="*/ T188 w 10210"/>
                              <a:gd name="T190" fmla="+- 0 9017 8970"/>
                              <a:gd name="T191" fmla="*/ 9017 h 5310"/>
                              <a:gd name="T192" fmla="+- 0 850 830"/>
                              <a:gd name="T193" fmla="*/ T192 w 10210"/>
                              <a:gd name="T194" fmla="+- 0 9069 8970"/>
                              <a:gd name="T195" fmla="*/ 9069 h 5310"/>
                              <a:gd name="T196" fmla="+- 0 850 830"/>
                              <a:gd name="T197" fmla="*/ T196 w 10210"/>
                              <a:gd name="T198" fmla="+- 0 9156 8970"/>
                              <a:gd name="T199" fmla="*/ 9156 h 5310"/>
                              <a:gd name="T200" fmla="+- 0 850 830"/>
                              <a:gd name="T201" fmla="*/ T200 w 10210"/>
                              <a:gd name="T202" fmla="+- 0 9290 8970"/>
                              <a:gd name="T203" fmla="*/ 9290 h 5310"/>
                              <a:gd name="T204" fmla="+- 0 850 830"/>
                              <a:gd name="T205" fmla="*/ T204 w 10210"/>
                              <a:gd name="T206" fmla="+- 0 9479 8970"/>
                              <a:gd name="T207" fmla="*/ 9479 h 5310"/>
                              <a:gd name="T208" fmla="+- 0 850 830"/>
                              <a:gd name="T209" fmla="*/ T208 w 10210"/>
                              <a:gd name="T210" fmla="+- 0 9734 8970"/>
                              <a:gd name="T211" fmla="*/ 9734 h 5310"/>
                              <a:gd name="T212" fmla="+- 0 850 830"/>
                              <a:gd name="T213" fmla="*/ T212 w 10210"/>
                              <a:gd name="T214" fmla="+- 0 10063 8970"/>
                              <a:gd name="T215" fmla="*/ 10063 h 5310"/>
                              <a:gd name="T216" fmla="+- 0 850 830"/>
                              <a:gd name="T217" fmla="*/ T216 w 10210"/>
                              <a:gd name="T218" fmla="+- 0 10477 8970"/>
                              <a:gd name="T219" fmla="*/ 10477 h 5310"/>
                              <a:gd name="T220" fmla="+- 0 850 830"/>
                              <a:gd name="T221" fmla="*/ T220 w 10210"/>
                              <a:gd name="T222" fmla="+- 0 10985 8970"/>
                              <a:gd name="T223" fmla="*/ 10985 h 5310"/>
                              <a:gd name="T224" fmla="+- 0 850 830"/>
                              <a:gd name="T225" fmla="*/ T224 w 10210"/>
                              <a:gd name="T226" fmla="+- 0 11597 8970"/>
                              <a:gd name="T227" fmla="*/ 11597 h 5310"/>
                              <a:gd name="T228" fmla="+- 0 850 830"/>
                              <a:gd name="T229" fmla="*/ T228 w 10210"/>
                              <a:gd name="T230" fmla="+- 0 12323 8970"/>
                              <a:gd name="T231" fmla="*/ 12323 h 5310"/>
                              <a:gd name="T232" fmla="+- 0 850 830"/>
                              <a:gd name="T233" fmla="*/ T232 w 10210"/>
                              <a:gd name="T234" fmla="+- 0 13172 8970"/>
                              <a:gd name="T235" fmla="*/ 13172 h 5310"/>
                              <a:gd name="T236" fmla="+- 0 850 830"/>
                              <a:gd name="T237" fmla="*/ T236 w 10210"/>
                              <a:gd name="T238" fmla="+- 0 14154 8970"/>
                              <a:gd name="T239" fmla="*/ 14154 h 53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10210" h="5310">
                                <a:moveTo>
                                  <a:pt x="20" y="5316"/>
                                </a:moveTo>
                                <a:lnTo>
                                  <a:pt x="20" y="5316"/>
                                </a:lnTo>
                                <a:lnTo>
                                  <a:pt x="21" y="5316"/>
                                </a:lnTo>
                                <a:lnTo>
                                  <a:pt x="22" y="5316"/>
                                </a:lnTo>
                                <a:lnTo>
                                  <a:pt x="23" y="5316"/>
                                </a:lnTo>
                                <a:lnTo>
                                  <a:pt x="24" y="5316"/>
                                </a:lnTo>
                                <a:lnTo>
                                  <a:pt x="26" y="5316"/>
                                </a:lnTo>
                                <a:lnTo>
                                  <a:pt x="28" y="5316"/>
                                </a:lnTo>
                                <a:lnTo>
                                  <a:pt x="30" y="5316"/>
                                </a:lnTo>
                                <a:lnTo>
                                  <a:pt x="33" y="5316"/>
                                </a:lnTo>
                                <a:lnTo>
                                  <a:pt x="37" y="5316"/>
                                </a:lnTo>
                                <a:lnTo>
                                  <a:pt x="40" y="5316"/>
                                </a:lnTo>
                                <a:lnTo>
                                  <a:pt x="45" y="5316"/>
                                </a:lnTo>
                                <a:lnTo>
                                  <a:pt x="50" y="5316"/>
                                </a:lnTo>
                                <a:lnTo>
                                  <a:pt x="55" y="5316"/>
                                </a:lnTo>
                                <a:lnTo>
                                  <a:pt x="61" y="5316"/>
                                </a:lnTo>
                                <a:lnTo>
                                  <a:pt x="68" y="5316"/>
                                </a:lnTo>
                                <a:lnTo>
                                  <a:pt x="76" y="5316"/>
                                </a:lnTo>
                                <a:lnTo>
                                  <a:pt x="84" y="5316"/>
                                </a:lnTo>
                                <a:lnTo>
                                  <a:pt x="94" y="5316"/>
                                </a:lnTo>
                                <a:lnTo>
                                  <a:pt x="104" y="5316"/>
                                </a:lnTo>
                                <a:lnTo>
                                  <a:pt x="115" y="5316"/>
                                </a:lnTo>
                                <a:lnTo>
                                  <a:pt x="126" y="5316"/>
                                </a:lnTo>
                                <a:lnTo>
                                  <a:pt x="139" y="5316"/>
                                </a:lnTo>
                                <a:lnTo>
                                  <a:pt x="153" y="5316"/>
                                </a:lnTo>
                                <a:lnTo>
                                  <a:pt x="168" y="5316"/>
                                </a:lnTo>
                                <a:lnTo>
                                  <a:pt x="183" y="5316"/>
                                </a:lnTo>
                                <a:lnTo>
                                  <a:pt x="200" y="5316"/>
                                </a:lnTo>
                                <a:lnTo>
                                  <a:pt x="218" y="5316"/>
                                </a:lnTo>
                                <a:lnTo>
                                  <a:pt x="238" y="5316"/>
                                </a:lnTo>
                                <a:lnTo>
                                  <a:pt x="258" y="5316"/>
                                </a:lnTo>
                                <a:lnTo>
                                  <a:pt x="280" y="5316"/>
                                </a:lnTo>
                                <a:lnTo>
                                  <a:pt x="302" y="5316"/>
                                </a:lnTo>
                                <a:lnTo>
                                  <a:pt x="327" y="5316"/>
                                </a:lnTo>
                                <a:lnTo>
                                  <a:pt x="352" y="5316"/>
                                </a:lnTo>
                                <a:lnTo>
                                  <a:pt x="379" y="5316"/>
                                </a:lnTo>
                                <a:lnTo>
                                  <a:pt x="407" y="5316"/>
                                </a:lnTo>
                                <a:lnTo>
                                  <a:pt x="437" y="5316"/>
                                </a:lnTo>
                                <a:lnTo>
                                  <a:pt x="469" y="5316"/>
                                </a:lnTo>
                                <a:lnTo>
                                  <a:pt x="501" y="5316"/>
                                </a:lnTo>
                                <a:lnTo>
                                  <a:pt x="536" y="5316"/>
                                </a:lnTo>
                                <a:lnTo>
                                  <a:pt x="572" y="5316"/>
                                </a:lnTo>
                                <a:lnTo>
                                  <a:pt x="609" y="5316"/>
                                </a:lnTo>
                                <a:lnTo>
                                  <a:pt x="649" y="5316"/>
                                </a:lnTo>
                                <a:lnTo>
                                  <a:pt x="690" y="5316"/>
                                </a:lnTo>
                                <a:lnTo>
                                  <a:pt x="732" y="5316"/>
                                </a:lnTo>
                                <a:lnTo>
                                  <a:pt x="777" y="5316"/>
                                </a:lnTo>
                                <a:lnTo>
                                  <a:pt x="823" y="5316"/>
                                </a:lnTo>
                                <a:lnTo>
                                  <a:pt x="871" y="5316"/>
                                </a:lnTo>
                                <a:lnTo>
                                  <a:pt x="921" y="5316"/>
                                </a:lnTo>
                                <a:lnTo>
                                  <a:pt x="973" y="5316"/>
                                </a:lnTo>
                                <a:lnTo>
                                  <a:pt x="1027" y="5316"/>
                                </a:lnTo>
                                <a:lnTo>
                                  <a:pt x="1083" y="5316"/>
                                </a:lnTo>
                                <a:lnTo>
                                  <a:pt x="1141" y="5316"/>
                                </a:lnTo>
                                <a:lnTo>
                                  <a:pt x="1201" y="5316"/>
                                </a:lnTo>
                                <a:lnTo>
                                  <a:pt x="1264" y="5316"/>
                                </a:lnTo>
                                <a:lnTo>
                                  <a:pt x="1328" y="5316"/>
                                </a:lnTo>
                                <a:lnTo>
                                  <a:pt x="1394" y="5316"/>
                                </a:lnTo>
                                <a:lnTo>
                                  <a:pt x="1463" y="5316"/>
                                </a:lnTo>
                                <a:lnTo>
                                  <a:pt x="1534" y="5316"/>
                                </a:lnTo>
                                <a:lnTo>
                                  <a:pt x="1607" y="5316"/>
                                </a:lnTo>
                                <a:lnTo>
                                  <a:pt x="1683" y="5316"/>
                                </a:lnTo>
                                <a:lnTo>
                                  <a:pt x="1761" y="5316"/>
                                </a:lnTo>
                                <a:lnTo>
                                  <a:pt x="1841" y="5316"/>
                                </a:lnTo>
                                <a:lnTo>
                                  <a:pt x="1924" y="5316"/>
                                </a:lnTo>
                                <a:lnTo>
                                  <a:pt x="2009" y="5316"/>
                                </a:lnTo>
                                <a:lnTo>
                                  <a:pt x="2097" y="5316"/>
                                </a:lnTo>
                                <a:lnTo>
                                  <a:pt x="2187" y="5316"/>
                                </a:lnTo>
                                <a:lnTo>
                                  <a:pt x="2280" y="5316"/>
                                </a:lnTo>
                                <a:lnTo>
                                  <a:pt x="2376" y="5316"/>
                                </a:lnTo>
                                <a:lnTo>
                                  <a:pt x="2474" y="5316"/>
                                </a:lnTo>
                                <a:lnTo>
                                  <a:pt x="2575" y="5316"/>
                                </a:lnTo>
                                <a:lnTo>
                                  <a:pt x="2678" y="5316"/>
                                </a:lnTo>
                                <a:lnTo>
                                  <a:pt x="2785" y="5316"/>
                                </a:lnTo>
                                <a:lnTo>
                                  <a:pt x="2894" y="5316"/>
                                </a:lnTo>
                                <a:lnTo>
                                  <a:pt x="3006" y="5316"/>
                                </a:lnTo>
                                <a:lnTo>
                                  <a:pt x="3120" y="5316"/>
                                </a:lnTo>
                                <a:lnTo>
                                  <a:pt x="3238" y="5316"/>
                                </a:lnTo>
                                <a:lnTo>
                                  <a:pt x="3359" y="5316"/>
                                </a:lnTo>
                                <a:lnTo>
                                  <a:pt x="3482" y="5316"/>
                                </a:lnTo>
                                <a:lnTo>
                                  <a:pt x="3609" y="5316"/>
                                </a:lnTo>
                                <a:lnTo>
                                  <a:pt x="3739" y="5316"/>
                                </a:lnTo>
                                <a:lnTo>
                                  <a:pt x="3872" y="5316"/>
                                </a:lnTo>
                                <a:lnTo>
                                  <a:pt x="4008" y="5316"/>
                                </a:lnTo>
                                <a:lnTo>
                                  <a:pt x="4147" y="5316"/>
                                </a:lnTo>
                                <a:lnTo>
                                  <a:pt x="4289" y="5316"/>
                                </a:lnTo>
                                <a:lnTo>
                                  <a:pt x="4434" y="5316"/>
                                </a:lnTo>
                                <a:lnTo>
                                  <a:pt x="4583" y="5316"/>
                                </a:lnTo>
                                <a:lnTo>
                                  <a:pt x="4735" y="5316"/>
                                </a:lnTo>
                                <a:lnTo>
                                  <a:pt x="4891" y="5316"/>
                                </a:lnTo>
                                <a:lnTo>
                                  <a:pt x="5050" y="5316"/>
                                </a:lnTo>
                                <a:lnTo>
                                  <a:pt x="5212" y="5316"/>
                                </a:lnTo>
                                <a:lnTo>
                                  <a:pt x="5378" y="5316"/>
                                </a:lnTo>
                                <a:lnTo>
                                  <a:pt x="5547" y="5316"/>
                                </a:lnTo>
                                <a:lnTo>
                                  <a:pt x="5719" y="5316"/>
                                </a:lnTo>
                                <a:lnTo>
                                  <a:pt x="5896" y="5316"/>
                                </a:lnTo>
                                <a:lnTo>
                                  <a:pt x="6076" y="5316"/>
                                </a:lnTo>
                                <a:lnTo>
                                  <a:pt x="6259" y="5316"/>
                                </a:lnTo>
                                <a:lnTo>
                                  <a:pt x="6446" y="5316"/>
                                </a:lnTo>
                                <a:lnTo>
                                  <a:pt x="6637" y="5316"/>
                                </a:lnTo>
                                <a:lnTo>
                                  <a:pt x="6832" y="5316"/>
                                </a:lnTo>
                                <a:lnTo>
                                  <a:pt x="7030" y="5316"/>
                                </a:lnTo>
                                <a:lnTo>
                                  <a:pt x="7232" y="5316"/>
                                </a:lnTo>
                                <a:lnTo>
                                  <a:pt x="7438" y="5316"/>
                                </a:lnTo>
                                <a:lnTo>
                                  <a:pt x="7648" y="5316"/>
                                </a:lnTo>
                                <a:lnTo>
                                  <a:pt x="7862" y="5316"/>
                                </a:lnTo>
                                <a:lnTo>
                                  <a:pt x="8080" y="5316"/>
                                </a:lnTo>
                                <a:lnTo>
                                  <a:pt x="8302" y="5316"/>
                                </a:lnTo>
                                <a:lnTo>
                                  <a:pt x="8528" y="5316"/>
                                </a:lnTo>
                                <a:lnTo>
                                  <a:pt x="8758" y="5316"/>
                                </a:lnTo>
                                <a:lnTo>
                                  <a:pt x="8992" y="5316"/>
                                </a:lnTo>
                                <a:lnTo>
                                  <a:pt x="9230" y="5316"/>
                                </a:lnTo>
                                <a:lnTo>
                                  <a:pt x="9472" y="5316"/>
                                </a:lnTo>
                                <a:lnTo>
                                  <a:pt x="9719" y="5316"/>
                                </a:lnTo>
                                <a:lnTo>
                                  <a:pt x="9970" y="5316"/>
                                </a:lnTo>
                                <a:lnTo>
                                  <a:pt x="10225" y="5316"/>
                                </a:lnTo>
                                <a:lnTo>
                                  <a:pt x="10225" y="5315"/>
                                </a:lnTo>
                                <a:lnTo>
                                  <a:pt x="10225" y="5314"/>
                                </a:lnTo>
                                <a:lnTo>
                                  <a:pt x="10225" y="5313"/>
                                </a:lnTo>
                                <a:lnTo>
                                  <a:pt x="10225" y="5312"/>
                                </a:lnTo>
                                <a:lnTo>
                                  <a:pt x="10225" y="5311"/>
                                </a:lnTo>
                                <a:lnTo>
                                  <a:pt x="10225" y="5309"/>
                                </a:lnTo>
                                <a:lnTo>
                                  <a:pt x="10225" y="5307"/>
                                </a:lnTo>
                                <a:lnTo>
                                  <a:pt x="10225" y="5306"/>
                                </a:lnTo>
                                <a:lnTo>
                                  <a:pt x="10225" y="5303"/>
                                </a:lnTo>
                                <a:lnTo>
                                  <a:pt x="10225" y="5301"/>
                                </a:lnTo>
                                <a:lnTo>
                                  <a:pt x="10225" y="5298"/>
                                </a:lnTo>
                                <a:lnTo>
                                  <a:pt x="10225" y="5295"/>
                                </a:lnTo>
                                <a:lnTo>
                                  <a:pt x="10225" y="5291"/>
                                </a:lnTo>
                                <a:lnTo>
                                  <a:pt x="10225" y="5287"/>
                                </a:lnTo>
                                <a:lnTo>
                                  <a:pt x="10225" y="5283"/>
                                </a:lnTo>
                                <a:lnTo>
                                  <a:pt x="10225" y="5278"/>
                                </a:lnTo>
                                <a:lnTo>
                                  <a:pt x="10225" y="5273"/>
                                </a:lnTo>
                                <a:lnTo>
                                  <a:pt x="10225" y="5267"/>
                                </a:lnTo>
                                <a:lnTo>
                                  <a:pt x="10225" y="5261"/>
                                </a:lnTo>
                                <a:lnTo>
                                  <a:pt x="10225" y="5254"/>
                                </a:lnTo>
                                <a:lnTo>
                                  <a:pt x="10225" y="5247"/>
                                </a:lnTo>
                                <a:lnTo>
                                  <a:pt x="10225" y="5239"/>
                                </a:lnTo>
                                <a:lnTo>
                                  <a:pt x="10225" y="5231"/>
                                </a:lnTo>
                                <a:lnTo>
                                  <a:pt x="10225" y="5222"/>
                                </a:lnTo>
                                <a:lnTo>
                                  <a:pt x="10225" y="5213"/>
                                </a:lnTo>
                                <a:lnTo>
                                  <a:pt x="10225" y="5203"/>
                                </a:lnTo>
                                <a:lnTo>
                                  <a:pt x="10225" y="5192"/>
                                </a:lnTo>
                                <a:lnTo>
                                  <a:pt x="10225" y="5181"/>
                                </a:lnTo>
                                <a:lnTo>
                                  <a:pt x="10225" y="5169"/>
                                </a:lnTo>
                                <a:lnTo>
                                  <a:pt x="10225" y="5157"/>
                                </a:lnTo>
                                <a:lnTo>
                                  <a:pt x="10225" y="5143"/>
                                </a:lnTo>
                                <a:lnTo>
                                  <a:pt x="10225" y="5129"/>
                                </a:lnTo>
                                <a:lnTo>
                                  <a:pt x="10225" y="5115"/>
                                </a:lnTo>
                                <a:lnTo>
                                  <a:pt x="10225" y="5099"/>
                                </a:lnTo>
                                <a:lnTo>
                                  <a:pt x="10225" y="5083"/>
                                </a:lnTo>
                                <a:lnTo>
                                  <a:pt x="10225" y="5066"/>
                                </a:lnTo>
                                <a:lnTo>
                                  <a:pt x="10225" y="5048"/>
                                </a:lnTo>
                                <a:lnTo>
                                  <a:pt x="10225" y="5029"/>
                                </a:lnTo>
                                <a:lnTo>
                                  <a:pt x="10225" y="5010"/>
                                </a:lnTo>
                                <a:lnTo>
                                  <a:pt x="10225" y="4989"/>
                                </a:lnTo>
                                <a:lnTo>
                                  <a:pt x="10225" y="4968"/>
                                </a:lnTo>
                                <a:lnTo>
                                  <a:pt x="10225" y="4946"/>
                                </a:lnTo>
                                <a:lnTo>
                                  <a:pt x="10225" y="4923"/>
                                </a:lnTo>
                                <a:lnTo>
                                  <a:pt x="10225" y="4899"/>
                                </a:lnTo>
                                <a:lnTo>
                                  <a:pt x="10225" y="4874"/>
                                </a:lnTo>
                                <a:lnTo>
                                  <a:pt x="10225" y="4848"/>
                                </a:lnTo>
                                <a:lnTo>
                                  <a:pt x="10225" y="4821"/>
                                </a:lnTo>
                                <a:lnTo>
                                  <a:pt x="10225" y="4793"/>
                                </a:lnTo>
                                <a:lnTo>
                                  <a:pt x="10225" y="4764"/>
                                </a:lnTo>
                                <a:lnTo>
                                  <a:pt x="10225" y="4733"/>
                                </a:lnTo>
                                <a:lnTo>
                                  <a:pt x="10225" y="4702"/>
                                </a:lnTo>
                                <a:lnTo>
                                  <a:pt x="10225" y="4670"/>
                                </a:lnTo>
                                <a:lnTo>
                                  <a:pt x="10225" y="4636"/>
                                </a:lnTo>
                                <a:lnTo>
                                  <a:pt x="10225" y="4602"/>
                                </a:lnTo>
                                <a:lnTo>
                                  <a:pt x="10225" y="4566"/>
                                </a:lnTo>
                                <a:lnTo>
                                  <a:pt x="10225" y="4529"/>
                                </a:lnTo>
                                <a:lnTo>
                                  <a:pt x="10225" y="4491"/>
                                </a:lnTo>
                                <a:lnTo>
                                  <a:pt x="10225" y="4452"/>
                                </a:lnTo>
                                <a:lnTo>
                                  <a:pt x="10225" y="4412"/>
                                </a:lnTo>
                                <a:lnTo>
                                  <a:pt x="10225" y="4370"/>
                                </a:lnTo>
                                <a:lnTo>
                                  <a:pt x="10225" y="4327"/>
                                </a:lnTo>
                                <a:lnTo>
                                  <a:pt x="10225" y="4282"/>
                                </a:lnTo>
                                <a:lnTo>
                                  <a:pt x="10225" y="4237"/>
                                </a:lnTo>
                                <a:lnTo>
                                  <a:pt x="10225" y="4190"/>
                                </a:lnTo>
                                <a:lnTo>
                                  <a:pt x="10225" y="4142"/>
                                </a:lnTo>
                                <a:lnTo>
                                  <a:pt x="10225" y="4092"/>
                                </a:lnTo>
                                <a:lnTo>
                                  <a:pt x="10225" y="4041"/>
                                </a:lnTo>
                                <a:lnTo>
                                  <a:pt x="10225" y="3989"/>
                                </a:lnTo>
                                <a:lnTo>
                                  <a:pt x="10225" y="3935"/>
                                </a:lnTo>
                                <a:lnTo>
                                  <a:pt x="10225" y="3880"/>
                                </a:lnTo>
                                <a:lnTo>
                                  <a:pt x="10225" y="3823"/>
                                </a:lnTo>
                                <a:lnTo>
                                  <a:pt x="10225" y="3765"/>
                                </a:lnTo>
                                <a:lnTo>
                                  <a:pt x="10225" y="3705"/>
                                </a:lnTo>
                                <a:lnTo>
                                  <a:pt x="10225" y="3644"/>
                                </a:lnTo>
                                <a:lnTo>
                                  <a:pt x="10225" y="3581"/>
                                </a:lnTo>
                                <a:lnTo>
                                  <a:pt x="10225" y="3517"/>
                                </a:lnTo>
                                <a:lnTo>
                                  <a:pt x="10225" y="3451"/>
                                </a:lnTo>
                                <a:lnTo>
                                  <a:pt x="10225" y="3384"/>
                                </a:lnTo>
                                <a:lnTo>
                                  <a:pt x="10225" y="3315"/>
                                </a:lnTo>
                                <a:lnTo>
                                  <a:pt x="10225" y="3244"/>
                                </a:lnTo>
                                <a:lnTo>
                                  <a:pt x="10225" y="3172"/>
                                </a:lnTo>
                                <a:lnTo>
                                  <a:pt x="10225" y="3098"/>
                                </a:lnTo>
                                <a:lnTo>
                                  <a:pt x="10225" y="3022"/>
                                </a:lnTo>
                                <a:lnTo>
                                  <a:pt x="10225" y="2945"/>
                                </a:lnTo>
                                <a:lnTo>
                                  <a:pt x="10225" y="2866"/>
                                </a:lnTo>
                                <a:lnTo>
                                  <a:pt x="10225" y="2785"/>
                                </a:lnTo>
                                <a:lnTo>
                                  <a:pt x="10225" y="2703"/>
                                </a:lnTo>
                                <a:lnTo>
                                  <a:pt x="10225" y="2618"/>
                                </a:lnTo>
                                <a:lnTo>
                                  <a:pt x="10225" y="2532"/>
                                </a:lnTo>
                                <a:lnTo>
                                  <a:pt x="10225" y="2444"/>
                                </a:lnTo>
                                <a:lnTo>
                                  <a:pt x="10225" y="2355"/>
                                </a:lnTo>
                                <a:lnTo>
                                  <a:pt x="10225" y="2263"/>
                                </a:lnTo>
                                <a:lnTo>
                                  <a:pt x="10225" y="2170"/>
                                </a:lnTo>
                                <a:lnTo>
                                  <a:pt x="10225" y="2074"/>
                                </a:lnTo>
                                <a:lnTo>
                                  <a:pt x="10225" y="1977"/>
                                </a:lnTo>
                                <a:lnTo>
                                  <a:pt x="10225" y="1878"/>
                                </a:lnTo>
                                <a:lnTo>
                                  <a:pt x="10225" y="1777"/>
                                </a:lnTo>
                                <a:lnTo>
                                  <a:pt x="10225" y="1674"/>
                                </a:lnTo>
                                <a:lnTo>
                                  <a:pt x="10225" y="1569"/>
                                </a:lnTo>
                                <a:lnTo>
                                  <a:pt x="10225" y="1462"/>
                                </a:lnTo>
                                <a:lnTo>
                                  <a:pt x="10225" y="1352"/>
                                </a:lnTo>
                                <a:lnTo>
                                  <a:pt x="10225" y="1241"/>
                                </a:lnTo>
                                <a:lnTo>
                                  <a:pt x="10225" y="1128"/>
                                </a:lnTo>
                                <a:lnTo>
                                  <a:pt x="10225" y="1013"/>
                                </a:lnTo>
                                <a:lnTo>
                                  <a:pt x="10225" y="896"/>
                                </a:lnTo>
                                <a:lnTo>
                                  <a:pt x="10225" y="776"/>
                                </a:lnTo>
                                <a:lnTo>
                                  <a:pt x="10225" y="654"/>
                                </a:lnTo>
                                <a:lnTo>
                                  <a:pt x="10225" y="531"/>
                                </a:lnTo>
                                <a:lnTo>
                                  <a:pt x="10225" y="405"/>
                                </a:lnTo>
                                <a:lnTo>
                                  <a:pt x="10225" y="277"/>
                                </a:lnTo>
                                <a:lnTo>
                                  <a:pt x="10225" y="146"/>
                                </a:lnTo>
                                <a:lnTo>
                                  <a:pt x="10225" y="14"/>
                                </a:lnTo>
                                <a:lnTo>
                                  <a:pt x="10224" y="14"/>
                                </a:lnTo>
                                <a:lnTo>
                                  <a:pt x="10223" y="14"/>
                                </a:lnTo>
                                <a:lnTo>
                                  <a:pt x="10222" y="14"/>
                                </a:lnTo>
                                <a:lnTo>
                                  <a:pt x="10220" y="14"/>
                                </a:lnTo>
                                <a:lnTo>
                                  <a:pt x="10219" y="14"/>
                                </a:lnTo>
                                <a:lnTo>
                                  <a:pt x="10217" y="14"/>
                                </a:lnTo>
                                <a:lnTo>
                                  <a:pt x="10214" y="14"/>
                                </a:lnTo>
                                <a:lnTo>
                                  <a:pt x="10211" y="14"/>
                                </a:lnTo>
                                <a:lnTo>
                                  <a:pt x="10208" y="14"/>
                                </a:lnTo>
                                <a:lnTo>
                                  <a:pt x="10204" y="14"/>
                                </a:lnTo>
                                <a:lnTo>
                                  <a:pt x="10200" y="14"/>
                                </a:lnTo>
                                <a:lnTo>
                                  <a:pt x="10195" y="14"/>
                                </a:lnTo>
                                <a:lnTo>
                                  <a:pt x="10189" y="14"/>
                                </a:lnTo>
                                <a:lnTo>
                                  <a:pt x="10183" y="14"/>
                                </a:lnTo>
                                <a:lnTo>
                                  <a:pt x="10176" y="14"/>
                                </a:lnTo>
                                <a:lnTo>
                                  <a:pt x="10169" y="14"/>
                                </a:lnTo>
                                <a:lnTo>
                                  <a:pt x="10160" y="14"/>
                                </a:lnTo>
                                <a:lnTo>
                                  <a:pt x="10151" y="14"/>
                                </a:lnTo>
                                <a:lnTo>
                                  <a:pt x="10141" y="14"/>
                                </a:lnTo>
                                <a:lnTo>
                                  <a:pt x="10130" y="14"/>
                                </a:lnTo>
                                <a:lnTo>
                                  <a:pt x="10118" y="14"/>
                                </a:lnTo>
                                <a:lnTo>
                                  <a:pt x="10105" y="14"/>
                                </a:lnTo>
                                <a:lnTo>
                                  <a:pt x="10092" y="14"/>
                                </a:lnTo>
                                <a:lnTo>
                                  <a:pt x="10077" y="14"/>
                                </a:lnTo>
                                <a:lnTo>
                                  <a:pt x="10061" y="14"/>
                                </a:lnTo>
                                <a:lnTo>
                                  <a:pt x="10044" y="14"/>
                                </a:lnTo>
                                <a:lnTo>
                                  <a:pt x="10026" y="14"/>
                                </a:lnTo>
                                <a:lnTo>
                                  <a:pt x="10007" y="14"/>
                                </a:lnTo>
                                <a:lnTo>
                                  <a:pt x="9987" y="14"/>
                                </a:lnTo>
                                <a:lnTo>
                                  <a:pt x="9965" y="14"/>
                                </a:lnTo>
                                <a:lnTo>
                                  <a:pt x="9942" y="14"/>
                                </a:lnTo>
                                <a:lnTo>
                                  <a:pt x="9918" y="14"/>
                                </a:lnTo>
                                <a:lnTo>
                                  <a:pt x="9892" y="14"/>
                                </a:lnTo>
                                <a:lnTo>
                                  <a:pt x="9865" y="14"/>
                                </a:lnTo>
                                <a:lnTo>
                                  <a:pt x="9837" y="14"/>
                                </a:lnTo>
                                <a:lnTo>
                                  <a:pt x="9807" y="14"/>
                                </a:lnTo>
                                <a:lnTo>
                                  <a:pt x="9776" y="14"/>
                                </a:lnTo>
                                <a:lnTo>
                                  <a:pt x="9743" y="14"/>
                                </a:lnTo>
                                <a:lnTo>
                                  <a:pt x="9709" y="14"/>
                                </a:lnTo>
                                <a:lnTo>
                                  <a:pt x="9673" y="14"/>
                                </a:lnTo>
                                <a:lnTo>
                                  <a:pt x="9635" y="14"/>
                                </a:lnTo>
                                <a:lnTo>
                                  <a:pt x="9596" y="14"/>
                                </a:lnTo>
                                <a:lnTo>
                                  <a:pt x="9555" y="14"/>
                                </a:lnTo>
                                <a:lnTo>
                                  <a:pt x="9512" y="14"/>
                                </a:lnTo>
                                <a:lnTo>
                                  <a:pt x="9468" y="14"/>
                                </a:lnTo>
                                <a:lnTo>
                                  <a:pt x="9421" y="14"/>
                                </a:lnTo>
                                <a:lnTo>
                                  <a:pt x="9373" y="14"/>
                                </a:lnTo>
                                <a:lnTo>
                                  <a:pt x="9323" y="14"/>
                                </a:lnTo>
                                <a:lnTo>
                                  <a:pt x="9271" y="14"/>
                                </a:lnTo>
                                <a:lnTo>
                                  <a:pt x="9217" y="14"/>
                                </a:lnTo>
                                <a:lnTo>
                                  <a:pt x="9161" y="14"/>
                                </a:lnTo>
                                <a:lnTo>
                                  <a:pt x="9103" y="14"/>
                                </a:lnTo>
                                <a:lnTo>
                                  <a:pt x="9043" y="14"/>
                                </a:lnTo>
                                <a:lnTo>
                                  <a:pt x="8981" y="14"/>
                                </a:lnTo>
                                <a:lnTo>
                                  <a:pt x="8917" y="14"/>
                                </a:lnTo>
                                <a:lnTo>
                                  <a:pt x="8850" y="14"/>
                                </a:lnTo>
                                <a:lnTo>
                                  <a:pt x="8781" y="14"/>
                                </a:lnTo>
                                <a:lnTo>
                                  <a:pt x="8710" y="14"/>
                                </a:lnTo>
                                <a:lnTo>
                                  <a:pt x="8637" y="14"/>
                                </a:lnTo>
                                <a:lnTo>
                                  <a:pt x="8562" y="14"/>
                                </a:lnTo>
                                <a:lnTo>
                                  <a:pt x="8484" y="14"/>
                                </a:lnTo>
                                <a:lnTo>
                                  <a:pt x="8403" y="14"/>
                                </a:lnTo>
                                <a:lnTo>
                                  <a:pt x="8321" y="14"/>
                                </a:lnTo>
                                <a:lnTo>
                                  <a:pt x="8235" y="14"/>
                                </a:lnTo>
                                <a:lnTo>
                                  <a:pt x="8148" y="14"/>
                                </a:lnTo>
                                <a:lnTo>
                                  <a:pt x="8057" y="14"/>
                                </a:lnTo>
                                <a:lnTo>
                                  <a:pt x="7964" y="14"/>
                                </a:lnTo>
                                <a:lnTo>
                                  <a:pt x="7869" y="14"/>
                                </a:lnTo>
                                <a:lnTo>
                                  <a:pt x="7771" y="14"/>
                                </a:lnTo>
                                <a:lnTo>
                                  <a:pt x="7670" y="14"/>
                                </a:lnTo>
                                <a:lnTo>
                                  <a:pt x="7566" y="14"/>
                                </a:lnTo>
                                <a:lnTo>
                                  <a:pt x="7460" y="14"/>
                                </a:lnTo>
                                <a:lnTo>
                                  <a:pt x="7351" y="14"/>
                                </a:lnTo>
                                <a:lnTo>
                                  <a:pt x="7239" y="14"/>
                                </a:lnTo>
                                <a:lnTo>
                                  <a:pt x="7124" y="14"/>
                                </a:lnTo>
                                <a:lnTo>
                                  <a:pt x="7006" y="14"/>
                                </a:lnTo>
                                <a:lnTo>
                                  <a:pt x="6886" y="14"/>
                                </a:lnTo>
                                <a:lnTo>
                                  <a:pt x="6762" y="14"/>
                                </a:lnTo>
                                <a:lnTo>
                                  <a:pt x="6635" y="14"/>
                                </a:lnTo>
                                <a:lnTo>
                                  <a:pt x="6506" y="14"/>
                                </a:lnTo>
                                <a:lnTo>
                                  <a:pt x="6373" y="14"/>
                                </a:lnTo>
                                <a:lnTo>
                                  <a:pt x="6237" y="14"/>
                                </a:lnTo>
                                <a:lnTo>
                                  <a:pt x="6098" y="14"/>
                                </a:lnTo>
                                <a:lnTo>
                                  <a:pt x="5956" y="14"/>
                                </a:lnTo>
                                <a:lnTo>
                                  <a:pt x="5810" y="14"/>
                                </a:lnTo>
                                <a:lnTo>
                                  <a:pt x="5661" y="14"/>
                                </a:lnTo>
                                <a:lnTo>
                                  <a:pt x="5509" y="14"/>
                                </a:lnTo>
                                <a:lnTo>
                                  <a:pt x="5354" y="14"/>
                                </a:lnTo>
                                <a:lnTo>
                                  <a:pt x="5195" y="14"/>
                                </a:lnTo>
                                <a:lnTo>
                                  <a:pt x="5033" y="14"/>
                                </a:lnTo>
                                <a:lnTo>
                                  <a:pt x="4867" y="14"/>
                                </a:lnTo>
                                <a:lnTo>
                                  <a:pt x="4698" y="14"/>
                                </a:lnTo>
                                <a:lnTo>
                                  <a:pt x="4525" y="14"/>
                                </a:lnTo>
                                <a:lnTo>
                                  <a:pt x="4349" y="14"/>
                                </a:lnTo>
                                <a:lnTo>
                                  <a:pt x="4169" y="14"/>
                                </a:lnTo>
                                <a:lnTo>
                                  <a:pt x="3985" y="14"/>
                                </a:lnTo>
                                <a:lnTo>
                                  <a:pt x="3798" y="14"/>
                                </a:lnTo>
                                <a:lnTo>
                                  <a:pt x="3607" y="14"/>
                                </a:lnTo>
                                <a:lnTo>
                                  <a:pt x="3413" y="14"/>
                                </a:lnTo>
                                <a:lnTo>
                                  <a:pt x="3214" y="14"/>
                                </a:lnTo>
                                <a:lnTo>
                                  <a:pt x="3012" y="14"/>
                                </a:lnTo>
                                <a:lnTo>
                                  <a:pt x="2806" y="14"/>
                                </a:lnTo>
                                <a:lnTo>
                                  <a:pt x="2596" y="14"/>
                                </a:lnTo>
                                <a:lnTo>
                                  <a:pt x="2382" y="14"/>
                                </a:lnTo>
                                <a:lnTo>
                                  <a:pt x="2165" y="14"/>
                                </a:lnTo>
                                <a:lnTo>
                                  <a:pt x="1943" y="14"/>
                                </a:lnTo>
                                <a:lnTo>
                                  <a:pt x="1717" y="14"/>
                                </a:lnTo>
                                <a:lnTo>
                                  <a:pt x="1487" y="14"/>
                                </a:lnTo>
                                <a:lnTo>
                                  <a:pt x="1253" y="14"/>
                                </a:lnTo>
                                <a:lnTo>
                                  <a:pt x="1015" y="14"/>
                                </a:lnTo>
                                <a:lnTo>
                                  <a:pt x="772" y="14"/>
                                </a:lnTo>
                                <a:lnTo>
                                  <a:pt x="526" y="14"/>
                                </a:lnTo>
                                <a:lnTo>
                                  <a:pt x="275" y="14"/>
                                </a:lnTo>
                                <a:lnTo>
                                  <a:pt x="20" y="14"/>
                                </a:lnTo>
                                <a:lnTo>
                                  <a:pt x="20" y="15"/>
                                </a:lnTo>
                                <a:lnTo>
                                  <a:pt x="20" y="16"/>
                                </a:lnTo>
                                <a:lnTo>
                                  <a:pt x="20" y="17"/>
                                </a:lnTo>
                                <a:lnTo>
                                  <a:pt x="20" y="18"/>
                                </a:lnTo>
                                <a:lnTo>
                                  <a:pt x="20" y="19"/>
                                </a:lnTo>
                                <a:lnTo>
                                  <a:pt x="20" y="21"/>
                                </a:lnTo>
                                <a:lnTo>
                                  <a:pt x="20" y="22"/>
                                </a:lnTo>
                                <a:lnTo>
                                  <a:pt x="20" y="24"/>
                                </a:lnTo>
                                <a:lnTo>
                                  <a:pt x="20" y="27"/>
                                </a:lnTo>
                                <a:lnTo>
                                  <a:pt x="20" y="29"/>
                                </a:lnTo>
                                <a:lnTo>
                                  <a:pt x="20" y="32"/>
                                </a:lnTo>
                                <a:lnTo>
                                  <a:pt x="20" y="35"/>
                                </a:lnTo>
                                <a:lnTo>
                                  <a:pt x="20" y="39"/>
                                </a:lnTo>
                                <a:lnTo>
                                  <a:pt x="20" y="43"/>
                                </a:lnTo>
                                <a:lnTo>
                                  <a:pt x="20" y="47"/>
                                </a:lnTo>
                                <a:lnTo>
                                  <a:pt x="20" y="52"/>
                                </a:lnTo>
                                <a:lnTo>
                                  <a:pt x="20" y="57"/>
                                </a:lnTo>
                                <a:lnTo>
                                  <a:pt x="20" y="63"/>
                                </a:lnTo>
                                <a:lnTo>
                                  <a:pt x="20" y="69"/>
                                </a:lnTo>
                                <a:lnTo>
                                  <a:pt x="20" y="76"/>
                                </a:lnTo>
                                <a:lnTo>
                                  <a:pt x="20" y="83"/>
                                </a:lnTo>
                                <a:lnTo>
                                  <a:pt x="20" y="91"/>
                                </a:lnTo>
                                <a:lnTo>
                                  <a:pt x="20" y="99"/>
                                </a:lnTo>
                                <a:lnTo>
                                  <a:pt x="20" y="107"/>
                                </a:lnTo>
                                <a:lnTo>
                                  <a:pt x="20" y="117"/>
                                </a:lnTo>
                                <a:lnTo>
                                  <a:pt x="20" y="127"/>
                                </a:lnTo>
                                <a:lnTo>
                                  <a:pt x="20" y="137"/>
                                </a:lnTo>
                                <a:lnTo>
                                  <a:pt x="20" y="149"/>
                                </a:lnTo>
                                <a:lnTo>
                                  <a:pt x="20" y="161"/>
                                </a:lnTo>
                                <a:lnTo>
                                  <a:pt x="20" y="173"/>
                                </a:lnTo>
                                <a:lnTo>
                                  <a:pt x="20" y="186"/>
                                </a:lnTo>
                                <a:lnTo>
                                  <a:pt x="20" y="200"/>
                                </a:lnTo>
                                <a:lnTo>
                                  <a:pt x="20" y="215"/>
                                </a:lnTo>
                                <a:lnTo>
                                  <a:pt x="20" y="231"/>
                                </a:lnTo>
                                <a:lnTo>
                                  <a:pt x="20" y="247"/>
                                </a:lnTo>
                                <a:lnTo>
                                  <a:pt x="20" y="264"/>
                                </a:lnTo>
                                <a:lnTo>
                                  <a:pt x="20" y="282"/>
                                </a:lnTo>
                                <a:lnTo>
                                  <a:pt x="20" y="300"/>
                                </a:lnTo>
                                <a:lnTo>
                                  <a:pt x="20" y="320"/>
                                </a:lnTo>
                                <a:lnTo>
                                  <a:pt x="20" y="340"/>
                                </a:lnTo>
                                <a:lnTo>
                                  <a:pt x="20" y="362"/>
                                </a:lnTo>
                                <a:lnTo>
                                  <a:pt x="20" y="384"/>
                                </a:lnTo>
                                <a:lnTo>
                                  <a:pt x="20" y="407"/>
                                </a:lnTo>
                                <a:lnTo>
                                  <a:pt x="20" y="431"/>
                                </a:lnTo>
                                <a:lnTo>
                                  <a:pt x="20" y="456"/>
                                </a:lnTo>
                                <a:lnTo>
                                  <a:pt x="20" y="482"/>
                                </a:lnTo>
                                <a:lnTo>
                                  <a:pt x="20" y="509"/>
                                </a:lnTo>
                                <a:lnTo>
                                  <a:pt x="20" y="537"/>
                                </a:lnTo>
                                <a:lnTo>
                                  <a:pt x="20" y="566"/>
                                </a:lnTo>
                                <a:lnTo>
                                  <a:pt x="20" y="596"/>
                                </a:lnTo>
                                <a:lnTo>
                                  <a:pt x="20" y="628"/>
                                </a:lnTo>
                                <a:lnTo>
                                  <a:pt x="20" y="660"/>
                                </a:lnTo>
                                <a:lnTo>
                                  <a:pt x="20" y="693"/>
                                </a:lnTo>
                                <a:lnTo>
                                  <a:pt x="20" y="728"/>
                                </a:lnTo>
                                <a:lnTo>
                                  <a:pt x="20" y="764"/>
                                </a:lnTo>
                                <a:lnTo>
                                  <a:pt x="20" y="801"/>
                                </a:lnTo>
                                <a:lnTo>
                                  <a:pt x="20" y="839"/>
                                </a:lnTo>
                                <a:lnTo>
                                  <a:pt x="20" y="878"/>
                                </a:lnTo>
                                <a:lnTo>
                                  <a:pt x="20" y="918"/>
                                </a:lnTo>
                                <a:lnTo>
                                  <a:pt x="20" y="960"/>
                                </a:lnTo>
                                <a:lnTo>
                                  <a:pt x="20" y="1003"/>
                                </a:lnTo>
                                <a:lnTo>
                                  <a:pt x="20" y="1047"/>
                                </a:lnTo>
                                <a:lnTo>
                                  <a:pt x="20" y="1093"/>
                                </a:lnTo>
                                <a:lnTo>
                                  <a:pt x="20" y="1140"/>
                                </a:lnTo>
                                <a:lnTo>
                                  <a:pt x="20" y="1188"/>
                                </a:lnTo>
                                <a:lnTo>
                                  <a:pt x="20" y="1238"/>
                                </a:lnTo>
                                <a:lnTo>
                                  <a:pt x="20" y="1289"/>
                                </a:lnTo>
                                <a:lnTo>
                                  <a:pt x="20" y="1341"/>
                                </a:lnTo>
                                <a:lnTo>
                                  <a:pt x="20" y="1395"/>
                                </a:lnTo>
                                <a:lnTo>
                                  <a:pt x="20" y="1450"/>
                                </a:lnTo>
                                <a:lnTo>
                                  <a:pt x="20" y="1507"/>
                                </a:lnTo>
                                <a:lnTo>
                                  <a:pt x="20" y="1565"/>
                                </a:lnTo>
                                <a:lnTo>
                                  <a:pt x="20" y="1625"/>
                                </a:lnTo>
                                <a:lnTo>
                                  <a:pt x="20" y="1686"/>
                                </a:lnTo>
                                <a:lnTo>
                                  <a:pt x="20" y="1749"/>
                                </a:lnTo>
                                <a:lnTo>
                                  <a:pt x="20" y="1813"/>
                                </a:lnTo>
                                <a:lnTo>
                                  <a:pt x="20" y="1879"/>
                                </a:lnTo>
                                <a:lnTo>
                                  <a:pt x="20" y="1946"/>
                                </a:lnTo>
                                <a:lnTo>
                                  <a:pt x="20" y="2015"/>
                                </a:lnTo>
                                <a:lnTo>
                                  <a:pt x="20" y="2086"/>
                                </a:lnTo>
                                <a:lnTo>
                                  <a:pt x="20" y="2158"/>
                                </a:lnTo>
                                <a:lnTo>
                                  <a:pt x="20" y="2232"/>
                                </a:lnTo>
                                <a:lnTo>
                                  <a:pt x="20" y="2308"/>
                                </a:lnTo>
                                <a:lnTo>
                                  <a:pt x="20" y="2385"/>
                                </a:lnTo>
                                <a:lnTo>
                                  <a:pt x="20" y="2464"/>
                                </a:lnTo>
                                <a:lnTo>
                                  <a:pt x="20" y="2545"/>
                                </a:lnTo>
                                <a:lnTo>
                                  <a:pt x="20" y="2627"/>
                                </a:lnTo>
                                <a:lnTo>
                                  <a:pt x="20" y="2711"/>
                                </a:lnTo>
                                <a:lnTo>
                                  <a:pt x="20" y="2798"/>
                                </a:lnTo>
                                <a:lnTo>
                                  <a:pt x="20" y="2885"/>
                                </a:lnTo>
                                <a:lnTo>
                                  <a:pt x="20" y="2975"/>
                                </a:lnTo>
                                <a:lnTo>
                                  <a:pt x="20" y="3067"/>
                                </a:lnTo>
                                <a:lnTo>
                                  <a:pt x="20" y="3160"/>
                                </a:lnTo>
                                <a:lnTo>
                                  <a:pt x="20" y="3256"/>
                                </a:lnTo>
                                <a:lnTo>
                                  <a:pt x="20" y="3353"/>
                                </a:lnTo>
                                <a:lnTo>
                                  <a:pt x="20" y="3452"/>
                                </a:lnTo>
                                <a:lnTo>
                                  <a:pt x="20" y="3553"/>
                                </a:lnTo>
                                <a:lnTo>
                                  <a:pt x="20" y="3656"/>
                                </a:lnTo>
                                <a:lnTo>
                                  <a:pt x="20" y="3761"/>
                                </a:lnTo>
                                <a:lnTo>
                                  <a:pt x="20" y="3868"/>
                                </a:lnTo>
                                <a:lnTo>
                                  <a:pt x="20" y="3977"/>
                                </a:lnTo>
                                <a:lnTo>
                                  <a:pt x="20" y="4089"/>
                                </a:lnTo>
                                <a:lnTo>
                                  <a:pt x="20" y="4202"/>
                                </a:lnTo>
                                <a:lnTo>
                                  <a:pt x="20" y="4317"/>
                                </a:lnTo>
                                <a:lnTo>
                                  <a:pt x="20" y="4434"/>
                                </a:lnTo>
                                <a:lnTo>
                                  <a:pt x="20" y="4554"/>
                                </a:lnTo>
                                <a:lnTo>
                                  <a:pt x="20" y="4675"/>
                                </a:lnTo>
                                <a:lnTo>
                                  <a:pt x="20" y="4799"/>
                                </a:lnTo>
                                <a:lnTo>
                                  <a:pt x="20" y="4925"/>
                                </a:lnTo>
                                <a:lnTo>
                                  <a:pt x="20" y="5053"/>
                                </a:lnTo>
                                <a:lnTo>
                                  <a:pt x="20" y="5184"/>
                                </a:lnTo>
                                <a:lnTo>
                                  <a:pt x="20" y="5316"/>
                                </a:lnTo>
                              </a:path>
                            </a:pathLst>
                          </a:custGeom>
                          <a:solidFill>
                            <a:srgbClr val="BEE8EE"/>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BB481C" w:rsidRDefault="00BB481C" w:rsidP="00654C78">
                              <w:pPr>
                                <w:pStyle w:val="Heading1"/>
                                <w:spacing w:before="0" w:after="150"/>
                                <w:ind w:firstLine="720"/>
                                <w:jc w:val="both"/>
                                <w:rPr>
                                  <w:rFonts w:ascii="Times New Roman" w:eastAsia="Times New Roman" w:hAnsi="Times New Roman" w:cs="Times New Roman"/>
                                  <w:color w:val="221E1F"/>
                                  <w:spacing w:val="-8"/>
                                  <w:sz w:val="24"/>
                                  <w:szCs w:val="24"/>
                                </w:rPr>
                              </w:pPr>
                              <w:r w:rsidRPr="00B70E9C" w:rsidDel="00B64552">
                                <w:rPr>
                                  <w:rFonts w:ascii="Times New Roman" w:eastAsia="Times New Roman" w:hAnsi="Times New Roman" w:cs="Times New Roman"/>
                                  <w:i/>
                                  <w:iCs/>
                                  <w:color w:val="221E1F"/>
                                  <w:spacing w:val="-18"/>
                                  <w:sz w:val="30"/>
                                  <w:szCs w:val="30"/>
                                </w:rPr>
                                <w:t xml:space="preserve"> </w:t>
                              </w:r>
                              <w:r w:rsidRPr="00B70E9C">
                                <w:rPr>
                                  <w:rFonts w:ascii="Times New Roman" w:eastAsia="Times New Roman" w:hAnsi="Times New Roman" w:cs="Times New Roman"/>
                                  <w:i/>
                                  <w:iCs/>
                                  <w:color w:val="221E1F"/>
                                  <w:spacing w:val="-8"/>
                                  <w:sz w:val="24"/>
                                  <w:szCs w:val="24"/>
                                </w:rPr>
                                <w:t>Fitch Ratings</w:t>
                              </w:r>
                              <w:r w:rsidRPr="00B64552">
                                <w:rPr>
                                  <w:rFonts w:ascii="Times New Roman" w:eastAsia="Times New Roman" w:hAnsi="Times New Roman" w:cs="Times New Roman"/>
                                  <w:color w:val="221E1F"/>
                                  <w:spacing w:val="-8"/>
                                  <w:sz w:val="24"/>
                                  <w:szCs w:val="24"/>
                                </w:rPr>
                                <w:t xml:space="preserve"> потврдио </w:t>
                              </w:r>
                              <w:r>
                                <w:rPr>
                                  <w:rFonts w:ascii="Times New Roman" w:eastAsia="Times New Roman" w:hAnsi="Times New Roman" w:cs="Times New Roman"/>
                                  <w:color w:val="221E1F"/>
                                  <w:spacing w:val="-8"/>
                                  <w:sz w:val="24"/>
                                  <w:szCs w:val="24"/>
                                </w:rPr>
                                <w:t xml:space="preserve">је </w:t>
                              </w:r>
                              <w:r w:rsidRPr="00B64552">
                                <w:rPr>
                                  <w:rFonts w:ascii="Times New Roman" w:eastAsia="Times New Roman" w:hAnsi="Times New Roman" w:cs="Times New Roman"/>
                                  <w:color w:val="221E1F"/>
                                  <w:spacing w:val="-8"/>
                                  <w:sz w:val="24"/>
                                  <w:szCs w:val="24"/>
                                </w:rPr>
                                <w:t xml:space="preserve">кредитни рејтинг Србије на нивоу од „ББ+“, уз стабилне изгледе за </w:t>
                              </w:r>
                              <w:r>
                                <w:rPr>
                                  <w:rFonts w:ascii="Times New Roman" w:eastAsia="Times New Roman" w:hAnsi="Times New Roman" w:cs="Times New Roman"/>
                                  <w:color w:val="221E1F"/>
                                  <w:spacing w:val="-8"/>
                                  <w:sz w:val="24"/>
                                  <w:szCs w:val="24"/>
                                  <w:lang w:val="en-GB"/>
                                </w:rPr>
                                <w:t xml:space="preserve"> </w:t>
                              </w:r>
                              <w:r w:rsidRPr="00B64552">
                                <w:rPr>
                                  <w:rFonts w:ascii="Times New Roman" w:eastAsia="Times New Roman" w:hAnsi="Times New Roman" w:cs="Times New Roman"/>
                                  <w:color w:val="221E1F"/>
                                  <w:spacing w:val="-8"/>
                                  <w:sz w:val="24"/>
                                  <w:szCs w:val="24"/>
                                </w:rPr>
                                <w:t>даље повећање</w:t>
                              </w:r>
                              <w:r>
                                <w:rPr>
                                  <w:rFonts w:ascii="Times New Roman" w:eastAsia="Times New Roman" w:hAnsi="Times New Roman" w:cs="Times New Roman"/>
                                  <w:color w:val="221E1F"/>
                                  <w:spacing w:val="-8"/>
                                  <w:sz w:val="24"/>
                                  <w:szCs w:val="24"/>
                                </w:rPr>
                                <w:t xml:space="preserve">. </w:t>
                              </w:r>
                            </w:p>
                            <w:p w:rsidR="00BB481C" w:rsidRPr="00D03FDF" w:rsidRDefault="00BB481C" w:rsidP="00654C78">
                              <w:pPr>
                                <w:ind w:left="3600"/>
                                <w:jc w:val="both"/>
                                <w:rPr>
                                  <w:rFonts w:ascii="Times New Roman" w:eastAsia="Times New Roman" w:hAnsi="Times New Roman" w:cs="Times New Roman"/>
                                  <w:spacing w:val="-8"/>
                                  <w:sz w:val="24"/>
                                  <w:szCs w:val="24"/>
                                  <w:lang w:val="en-GB"/>
                                </w:rPr>
                              </w:pPr>
                              <w:r w:rsidRPr="00D03FDF">
                                <w:rPr>
                                  <w:rFonts w:ascii="Times New Roman" w:eastAsia="Times New Roman" w:hAnsi="Times New Roman" w:cs="Times New Roman"/>
                                  <w:spacing w:val="-8"/>
                                  <w:sz w:val="24"/>
                                  <w:szCs w:val="24"/>
                                  <w:lang w:val="en-GB"/>
                                </w:rPr>
                                <w:t>“</w:t>
                              </w:r>
                              <w:r w:rsidRPr="00D03FDF">
                                <w:rPr>
                                  <w:rFonts w:ascii="Times New Roman" w:eastAsia="Times New Roman" w:hAnsi="Times New Roman" w:cs="Times New Roman"/>
                                  <w:spacing w:val="-8"/>
                                  <w:sz w:val="24"/>
                                  <w:szCs w:val="24"/>
                                </w:rPr>
                                <w:t>Овим је потврђено да су успешно спроведене све економске мере које је Србија предузимала од почетка пандемије корона вируса, као и претходне мере фискалне консолидације. Велики шокови изазвани корона кризом су избегнути, задржали смо радна места, а држава и новим економским мерама наставља да своди последице на најмању могућу меру</w:t>
                              </w:r>
                              <w:r w:rsidRPr="00D03FDF">
                                <w:rPr>
                                  <w:rFonts w:ascii="Times New Roman" w:eastAsia="Times New Roman" w:hAnsi="Times New Roman" w:cs="Times New Roman"/>
                                  <w:spacing w:val="-8"/>
                                  <w:sz w:val="24"/>
                                  <w:szCs w:val="24"/>
                                  <w:lang w:val="en-GB"/>
                                </w:rPr>
                                <w:t xml:space="preserve">. </w:t>
                              </w:r>
                            </w:p>
                            <w:p w:rsidR="00BB481C" w:rsidRPr="00D03FDF" w:rsidRDefault="00BB481C" w:rsidP="00654C78">
                              <w:pPr>
                                <w:ind w:left="3600"/>
                                <w:jc w:val="both"/>
                                <w:rPr>
                                  <w:rFonts w:ascii="Times New Roman" w:eastAsia="Times New Roman" w:hAnsi="Times New Roman" w:cs="Times New Roman"/>
                                  <w:spacing w:val="-8"/>
                                  <w:sz w:val="24"/>
                                  <w:szCs w:val="24"/>
                                </w:rPr>
                              </w:pPr>
                              <w:r w:rsidRPr="00D03FDF">
                                <w:rPr>
                                  <w:rFonts w:ascii="Times New Roman" w:eastAsia="Times New Roman" w:hAnsi="Times New Roman" w:cs="Times New Roman"/>
                                  <w:spacing w:val="-8"/>
                                  <w:sz w:val="24"/>
                                  <w:szCs w:val="24"/>
                                </w:rPr>
                                <w:t>Прошле године смо имали два пакета помоћи вредна 704 милијарде динара, дакле скоро 6 милијарди евра. Овај трећи пакет је вредан 257 милијарди динара, што је укупно 8 милијарди</w:t>
                              </w:r>
                              <w:r>
                                <w:rPr>
                                  <w:rFonts w:ascii="Times New Roman" w:eastAsia="Times New Roman" w:hAnsi="Times New Roman" w:cs="Times New Roman"/>
                                  <w:spacing w:val="-8"/>
                                  <w:sz w:val="24"/>
                                  <w:szCs w:val="24"/>
                                </w:rPr>
                                <w:t xml:space="preserve"> евра</w:t>
                              </w:r>
                              <w:r w:rsidRPr="00D03FDF">
                                <w:rPr>
                                  <w:rFonts w:ascii="Times New Roman" w:eastAsia="Times New Roman" w:hAnsi="Times New Roman" w:cs="Times New Roman"/>
                                  <w:spacing w:val="-8"/>
                                  <w:sz w:val="24"/>
                                  <w:szCs w:val="24"/>
                                </w:rPr>
                                <w:t>, а то је 17,2 одсто нашег БДП-а. То је огромна помоћ усмерена и ка привреди и ка грађанима, а с циљем да се ублаже негативне последице изазване пандемијом”.</w:t>
                              </w:r>
                            </w:p>
                            <w:p w:rsidR="00BB481C" w:rsidRDefault="00BB481C" w:rsidP="00654C78">
                              <w:pPr>
                                <w:ind w:left="1440" w:firstLine="720"/>
                              </w:pPr>
                              <w:r>
                                <w:rPr>
                                  <w:rFonts w:ascii="Times New Roman" w:eastAsia="Times New Roman" w:hAnsi="Times New Roman" w:cs="Times New Roman"/>
                                  <w:b/>
                                  <w:i/>
                                  <w:color w:val="143548"/>
                                  <w:spacing w:val="-22"/>
                                  <w:sz w:val="34"/>
                                  <w:szCs w:val="34"/>
                                </w:rPr>
                                <w:t>Синиша</w:t>
                              </w:r>
                              <w:r>
                                <w:rPr>
                                  <w:rFonts w:ascii="Times New Roman" w:eastAsia="Times New Roman" w:hAnsi="Times New Roman" w:cs="Times New Roman"/>
                                  <w:b/>
                                  <w:i/>
                                  <w:spacing w:val="-9"/>
                                  <w:sz w:val="34"/>
                                  <w:szCs w:val="34"/>
                                </w:rPr>
                                <w:t xml:space="preserve"> </w:t>
                              </w:r>
                              <w:r>
                                <w:rPr>
                                  <w:rFonts w:ascii="Times New Roman" w:eastAsia="Times New Roman" w:hAnsi="Times New Roman" w:cs="Times New Roman"/>
                                  <w:b/>
                                  <w:i/>
                                  <w:color w:val="143548"/>
                                  <w:spacing w:val="-20"/>
                                  <w:sz w:val="34"/>
                                  <w:szCs w:val="34"/>
                                </w:rPr>
                                <w:t>Мали,</w:t>
                              </w:r>
                              <w:r>
                                <w:rPr>
                                  <w:rFonts w:ascii="Times New Roman" w:eastAsia="Times New Roman" w:hAnsi="Times New Roman" w:cs="Times New Roman"/>
                                  <w:b/>
                                  <w:i/>
                                  <w:spacing w:val="-9"/>
                                  <w:sz w:val="34"/>
                                  <w:szCs w:val="34"/>
                                </w:rPr>
                                <w:t xml:space="preserve"> </w:t>
                              </w:r>
                              <w:r>
                                <w:rPr>
                                  <w:rFonts w:ascii="Times New Roman" w:eastAsia="Times New Roman" w:hAnsi="Times New Roman" w:cs="Times New Roman"/>
                                  <w:b/>
                                  <w:i/>
                                  <w:spacing w:val="-9"/>
                                  <w:sz w:val="34"/>
                                  <w:szCs w:val="34"/>
                                  <w:lang w:val="en-GB"/>
                                </w:rPr>
                                <w:t xml:space="preserve"> </w:t>
                              </w:r>
                              <w:r>
                                <w:rPr>
                                  <w:rFonts w:ascii="Times New Roman" w:eastAsia="Times New Roman" w:hAnsi="Times New Roman" w:cs="Times New Roman"/>
                                  <w:b/>
                                  <w:i/>
                                  <w:color w:val="143548"/>
                                  <w:spacing w:val="-20"/>
                                  <w:sz w:val="34"/>
                                  <w:szCs w:val="34"/>
                                </w:rPr>
                                <w:t>министар</w:t>
                              </w:r>
                              <w:r>
                                <w:rPr>
                                  <w:rFonts w:ascii="Times New Roman" w:eastAsia="Times New Roman" w:hAnsi="Times New Roman" w:cs="Times New Roman"/>
                                  <w:b/>
                                  <w:i/>
                                  <w:spacing w:val="-10"/>
                                  <w:sz w:val="34"/>
                                  <w:szCs w:val="34"/>
                                </w:rPr>
                                <w:t xml:space="preserve"> </w:t>
                              </w:r>
                              <w:r>
                                <w:rPr>
                                  <w:rFonts w:ascii="Times New Roman" w:eastAsia="Times New Roman" w:hAnsi="Times New Roman" w:cs="Times New Roman"/>
                                  <w:b/>
                                  <w:i/>
                                  <w:color w:val="143548"/>
                                  <w:spacing w:val="-19"/>
                                  <w:sz w:val="34"/>
                                  <w:szCs w:val="34"/>
                                </w:rPr>
                                <w:t>финансија</w:t>
                              </w:r>
                            </w:p>
                            <w:p w:rsidR="00BB481C" w:rsidRPr="00D03FDF" w:rsidRDefault="00BB481C" w:rsidP="00654C78">
                              <w:pPr>
                                <w:ind w:left="3600"/>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12" o:spid="_x0000_s1026" style="position:absolute;left:0;text-align:left;margin-left:0;margin-top:118.4pt;width:482.25pt;height:301.5pt;z-index:-251626496;mso-position-horizontal-relative:margin;mso-position-vertical-relative:page" coordorigin="815,9811" coordsize="9105,5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">
                <v:shape id="Freeform 2113" o:spid="_x0000_s1027" style="position:absolute;left:815;top:9811;width:9105;height:5076;visibility:visible;mso-wrap-style:square;v-text-anchor:top" coordsize="10210,5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quWcIA&#10;AADdAAAADwAAAGRycy9kb3ducmV2LnhtbESPQYvCMBSE7wv+h/AEb2uiokg1ikgF2Zvusl4fzbMt&#10;Ji+libX+e7Mg7HGYmW+Y9bZ3VnTUhtqzhslYgSAuvKm51PDzffhcgggR2aD1TBqeFGC7GXysMTP+&#10;wSfqzrEUCcIhQw1VjE0mZSgqchjGviFO3tW3DmOSbSlNi48Ed1ZOlVpIhzWnhQob2ldU3M53p+E3&#10;n53UV5l3xhlj7WWZYx1zrUfDfrcCEamP/+F3+2g0TNViDn9v0hO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qq5ZwgAAAN0AAAAPAAAAAAAAAAAAAAAAAJgCAABkcnMvZG93&#10;bnJldi54bWxQSwUGAAAAAAQABAD1AAAAhwMAAAAA&#10;" adj="-11796480,,5400" path="m20,5316r,l21,5316r1,l23,5316r1,l26,5316r2,l30,5316r3,l37,5316r3,l45,5316r5,l55,5316r6,l68,5316r8,l84,5316r10,l104,5316r11,l126,5316r13,l153,5316r15,l183,5316r17,l218,5316r20,l258,5316r22,l302,5316r25,l352,5316r27,l407,5316r30,l469,5316r32,l536,5316r36,l609,5316r40,l690,5316r42,l777,5316r46,l871,5316r50,l973,5316r54,l1083,5316r58,l1201,5316r63,l1328,5316r66,l1463,5316r71,l1607,5316r76,l1761,5316r80,l1924,5316r85,l2097,5316r90,l2280,5316r96,l2474,5316r101,l2678,5316r107,l2894,5316r112,l3120,5316r118,l3359,5316r123,l3609,5316r130,l3872,5316r136,l4147,5316r142,l4434,5316r149,l4735,5316r156,l5050,5316r162,l5378,5316r169,l5719,5316r177,l6076,5316r183,l6446,5316r191,l6832,5316r198,l7232,5316r206,l7648,5316r214,l8080,5316r222,l8528,5316r230,l8992,5316r238,l9472,5316r247,l9970,5316r255,l10225,5315r,-1l10225,5313r,-1l10225,5311r,-2l10225,5307r,-1l10225,5303r,-2l10225,5298r,-3l10225,5291r,-4l10225,5283r,-5l10225,5273r,-6l10225,5261r,-7l10225,5247r,-8l10225,5231r,-9l10225,5213r,-10l10225,5192r,-11l10225,5169r,-12l10225,5143r,-14l10225,5115r,-16l10225,5083r,-17l10225,5048r,-19l10225,5010r,-21l10225,4968r,-22l10225,4923r,-24l10225,4874r,-26l10225,4821r,-28l10225,4764r,-31l10225,4702r,-32l10225,4636r,-34l10225,4566r,-37l10225,4491r,-39l10225,4412r,-42l10225,4327r,-45l10225,4237r,-47l10225,4142r,-50l10225,4041r,-52l10225,3935r,-55l10225,3823r,-58l10225,3705r,-61l10225,3581r,-64l10225,3451r,-67l10225,3315r,-71l10225,3172r,-74l10225,3022r,-77l10225,2866r,-81l10225,2703r,-85l10225,2532r,-88l10225,2355r,-92l10225,2170r,-96l10225,1977r,-99l10225,1777r,-103l10225,1569r,-107l10225,1352r,-111l10225,1128r,-115l10225,896r,-120l10225,654r,-123l10225,405r,-128l10225,146r,-132l10224,14r-1,l10222,14r-2,l10219,14r-2,l10214,14r-3,l10208,14r-4,l10200,14r-5,l10189,14r-6,l10176,14r-7,l10160,14r-9,l10141,14r-11,l10118,14r-13,l10092,14r-15,l10061,14r-17,l10026,14r-19,l9987,14r-22,l9942,14r-24,l9892,14r-27,l9837,14r-30,l9776,14r-33,l9709,14r-36,l9635,14r-39,l9555,14r-43,l9468,14r-47,l9373,14r-50,l9271,14r-54,l9161,14r-58,l9043,14r-62,l8917,14r-67,l8781,14r-71,l8637,14r-75,l8484,14r-81,l8321,14r-86,l8148,14r-91,l7964,14r-95,l7771,14r-101,l7566,14r-106,l7351,14r-112,l7124,14r-118,l6886,14r-124,l6635,14r-129,l6373,14r-136,l6098,14r-142,l5810,14r-149,l5509,14r-155,l5195,14r-162,l4867,14r-169,l4525,14r-176,l4169,14r-184,l3798,14r-191,l3413,14r-199,l3012,14r-206,l2596,14r-214,l2165,14r-222,l1717,14r-230,l1253,14r-238,l772,14r-246,l275,14,20,14r,1l20,16r,1l20,18r,1l20,21r,1l20,24r,3l20,29r,3l20,35r,4l20,43r,4l20,52r,5l20,63r,6l20,76r,7l20,91r,8l20,107r,10l20,127r,10l20,149r,12l20,173r,13l20,200r,15l20,231r,16l20,264r,18l20,300r,20l20,340r,22l20,384r,23l20,431r,25l20,482r,27l20,537r,29l20,596r,32l20,660r,33l20,728r,36l20,801r,38l20,878r,40l20,960r,43l20,1047r,46l20,1140r,48l20,1238r,51l20,1341r,54l20,1450r,57l20,1565r,60l20,1686r,63l20,1813r,66l20,1946r,69l20,2086r,72l20,2232r,76l20,2385r,79l20,2545r,82l20,2711r,87l20,2885r,90l20,3067r,93l20,3256r,97l20,3452r,101l20,3656r,105l20,3868r,109l20,4089r,113l20,4317r,117l20,4554r,121l20,4799r,126l20,5053r,131l20,5316e" fillcolor="#bee8ee" stroked="f">
                  <v:stroke joinstyle="round"/>
                  <v:formulas/>
                  <v:path arrowok="t" o:connecttype="custom" o:connectlocs="19,13656;33,13656;75,13656;163,13656;314,13656;543,13656;868,13656;1305,13656;1870,13656;2581,13656;3453,13656;4503,13656;5748,13656;7206,13656;8891,13656;9118,13655;9118,13648;9118,13625;9118,13575;9118,13491;9118,13364;9118,13183;9118,12939;9118,12625;9118,12229;9118,11744;9118,11159;9118,10465;9118,9653;9118,8714;9117,8588;9103,8588;9060,8588;8972,8588;8821,8588;8592,8588;8268,8588;7831,8588;7266,8588;6555,8588;5683,8588;4633,8588;3387,8588;1931,8588;245,8588;18,8588;18,8596;18,8620;18,8669;18,8753;18,8881;18,9061;18,9305;18,9620;18,10015;18,10501;18,11086;18,11780;18,12592;18,13530" o:connectangles="0,0,0,0,0,0,0,0,0,0,0,0,0,0,0,0,0,0,0,0,0,0,0,0,0,0,0,0,0,0,0,0,0,0,0,0,0,0,0,0,0,0,0,0,0,0,0,0,0,0,0,0,0,0,0,0,0,0,0,0" textboxrect="0,0,10210,5310"/>
                  <v:textbox>
                    <w:txbxContent>
                      <w:p w:rsidR="00BB481C" w:rsidRDefault="00BB481C" w:rsidP="00654C78">
                        <w:pPr>
                          <w:pStyle w:val="Heading1"/>
                          <w:spacing w:before="0" w:after="150"/>
                          <w:ind w:firstLine="720"/>
                          <w:jc w:val="both"/>
                          <w:rPr>
                            <w:rFonts w:ascii="Times New Roman" w:eastAsia="Times New Roman" w:hAnsi="Times New Roman" w:cs="Times New Roman"/>
                            <w:color w:val="221E1F"/>
                            <w:spacing w:val="-8"/>
                            <w:sz w:val="24"/>
                            <w:szCs w:val="24"/>
                          </w:rPr>
                        </w:pPr>
                        <w:r w:rsidRPr="00B70E9C" w:rsidDel="00B64552">
                          <w:rPr>
                            <w:rFonts w:ascii="Times New Roman" w:eastAsia="Times New Roman" w:hAnsi="Times New Roman" w:cs="Times New Roman"/>
                            <w:i/>
                            <w:iCs/>
                            <w:color w:val="221E1F"/>
                            <w:spacing w:val="-18"/>
                            <w:sz w:val="30"/>
                            <w:szCs w:val="30"/>
                          </w:rPr>
                          <w:t xml:space="preserve"> </w:t>
                        </w:r>
                        <w:r w:rsidRPr="00B70E9C">
                          <w:rPr>
                            <w:rFonts w:ascii="Times New Roman" w:eastAsia="Times New Roman" w:hAnsi="Times New Roman" w:cs="Times New Roman"/>
                            <w:i/>
                            <w:iCs/>
                            <w:color w:val="221E1F"/>
                            <w:spacing w:val="-8"/>
                            <w:sz w:val="24"/>
                            <w:szCs w:val="24"/>
                          </w:rPr>
                          <w:t>Fitch Ratings</w:t>
                        </w:r>
                        <w:r w:rsidRPr="00B64552">
                          <w:rPr>
                            <w:rFonts w:ascii="Times New Roman" w:eastAsia="Times New Roman" w:hAnsi="Times New Roman" w:cs="Times New Roman"/>
                            <w:color w:val="221E1F"/>
                            <w:spacing w:val="-8"/>
                            <w:sz w:val="24"/>
                            <w:szCs w:val="24"/>
                          </w:rPr>
                          <w:t xml:space="preserve"> потврдио </w:t>
                        </w:r>
                        <w:r>
                          <w:rPr>
                            <w:rFonts w:ascii="Times New Roman" w:eastAsia="Times New Roman" w:hAnsi="Times New Roman" w:cs="Times New Roman"/>
                            <w:color w:val="221E1F"/>
                            <w:spacing w:val="-8"/>
                            <w:sz w:val="24"/>
                            <w:szCs w:val="24"/>
                          </w:rPr>
                          <w:t xml:space="preserve">је </w:t>
                        </w:r>
                        <w:r w:rsidRPr="00B64552">
                          <w:rPr>
                            <w:rFonts w:ascii="Times New Roman" w:eastAsia="Times New Roman" w:hAnsi="Times New Roman" w:cs="Times New Roman"/>
                            <w:color w:val="221E1F"/>
                            <w:spacing w:val="-8"/>
                            <w:sz w:val="24"/>
                            <w:szCs w:val="24"/>
                          </w:rPr>
                          <w:t xml:space="preserve">кредитни рејтинг Србије на нивоу од „ББ+“, уз стабилне изгледе за </w:t>
                        </w:r>
                        <w:r>
                          <w:rPr>
                            <w:rFonts w:ascii="Times New Roman" w:eastAsia="Times New Roman" w:hAnsi="Times New Roman" w:cs="Times New Roman"/>
                            <w:color w:val="221E1F"/>
                            <w:spacing w:val="-8"/>
                            <w:sz w:val="24"/>
                            <w:szCs w:val="24"/>
                            <w:lang w:val="en-GB"/>
                          </w:rPr>
                          <w:t xml:space="preserve"> </w:t>
                        </w:r>
                        <w:r w:rsidRPr="00B64552">
                          <w:rPr>
                            <w:rFonts w:ascii="Times New Roman" w:eastAsia="Times New Roman" w:hAnsi="Times New Roman" w:cs="Times New Roman"/>
                            <w:color w:val="221E1F"/>
                            <w:spacing w:val="-8"/>
                            <w:sz w:val="24"/>
                            <w:szCs w:val="24"/>
                          </w:rPr>
                          <w:t>даље повећање</w:t>
                        </w:r>
                        <w:r>
                          <w:rPr>
                            <w:rFonts w:ascii="Times New Roman" w:eastAsia="Times New Roman" w:hAnsi="Times New Roman" w:cs="Times New Roman"/>
                            <w:color w:val="221E1F"/>
                            <w:spacing w:val="-8"/>
                            <w:sz w:val="24"/>
                            <w:szCs w:val="24"/>
                          </w:rPr>
                          <w:t xml:space="preserve">. </w:t>
                        </w:r>
                      </w:p>
                      <w:p w:rsidR="00BB481C" w:rsidRPr="00D03FDF" w:rsidRDefault="00BB481C" w:rsidP="00654C78">
                        <w:pPr>
                          <w:ind w:left="3600"/>
                          <w:jc w:val="both"/>
                          <w:rPr>
                            <w:rFonts w:ascii="Times New Roman" w:eastAsia="Times New Roman" w:hAnsi="Times New Roman" w:cs="Times New Roman"/>
                            <w:spacing w:val="-8"/>
                            <w:sz w:val="24"/>
                            <w:szCs w:val="24"/>
                            <w:lang w:val="en-GB"/>
                          </w:rPr>
                        </w:pPr>
                        <w:r w:rsidRPr="00D03FDF">
                          <w:rPr>
                            <w:rFonts w:ascii="Times New Roman" w:eastAsia="Times New Roman" w:hAnsi="Times New Roman" w:cs="Times New Roman"/>
                            <w:spacing w:val="-8"/>
                            <w:sz w:val="24"/>
                            <w:szCs w:val="24"/>
                            <w:lang w:val="en-GB"/>
                          </w:rPr>
                          <w:t>“</w:t>
                        </w:r>
                        <w:r w:rsidRPr="00D03FDF">
                          <w:rPr>
                            <w:rFonts w:ascii="Times New Roman" w:eastAsia="Times New Roman" w:hAnsi="Times New Roman" w:cs="Times New Roman"/>
                            <w:spacing w:val="-8"/>
                            <w:sz w:val="24"/>
                            <w:szCs w:val="24"/>
                          </w:rPr>
                          <w:t>Овим је потврђено да су успешно спроведене све економске мере које је Србија предузимала од почетка пандемије корона вируса, као и претходне мере фискалне консолидације. Велики шокови изазвани корона кризом су избегнути, задржали смо радна места, а држава и новим економским мерама наставља да своди последице на најмању могућу меру</w:t>
                        </w:r>
                        <w:r w:rsidRPr="00D03FDF">
                          <w:rPr>
                            <w:rFonts w:ascii="Times New Roman" w:eastAsia="Times New Roman" w:hAnsi="Times New Roman" w:cs="Times New Roman"/>
                            <w:spacing w:val="-8"/>
                            <w:sz w:val="24"/>
                            <w:szCs w:val="24"/>
                            <w:lang w:val="en-GB"/>
                          </w:rPr>
                          <w:t xml:space="preserve">. </w:t>
                        </w:r>
                      </w:p>
                      <w:p w:rsidR="00BB481C" w:rsidRPr="00D03FDF" w:rsidRDefault="00BB481C" w:rsidP="00654C78">
                        <w:pPr>
                          <w:ind w:left="3600"/>
                          <w:jc w:val="both"/>
                          <w:rPr>
                            <w:rFonts w:ascii="Times New Roman" w:eastAsia="Times New Roman" w:hAnsi="Times New Roman" w:cs="Times New Roman"/>
                            <w:spacing w:val="-8"/>
                            <w:sz w:val="24"/>
                            <w:szCs w:val="24"/>
                          </w:rPr>
                        </w:pPr>
                        <w:r w:rsidRPr="00D03FDF">
                          <w:rPr>
                            <w:rFonts w:ascii="Times New Roman" w:eastAsia="Times New Roman" w:hAnsi="Times New Roman" w:cs="Times New Roman"/>
                            <w:spacing w:val="-8"/>
                            <w:sz w:val="24"/>
                            <w:szCs w:val="24"/>
                          </w:rPr>
                          <w:t>Прошле године смо имали два пакета помоћи вредна 704 милијарде динара, дакле скоро 6 милијарди евра. Овај трећи пакет је вредан 257 милијарди динара, што је укупно 8 милијарди</w:t>
                        </w:r>
                        <w:r>
                          <w:rPr>
                            <w:rFonts w:ascii="Times New Roman" w:eastAsia="Times New Roman" w:hAnsi="Times New Roman" w:cs="Times New Roman"/>
                            <w:spacing w:val="-8"/>
                            <w:sz w:val="24"/>
                            <w:szCs w:val="24"/>
                          </w:rPr>
                          <w:t xml:space="preserve"> евра</w:t>
                        </w:r>
                        <w:r w:rsidRPr="00D03FDF">
                          <w:rPr>
                            <w:rFonts w:ascii="Times New Roman" w:eastAsia="Times New Roman" w:hAnsi="Times New Roman" w:cs="Times New Roman"/>
                            <w:spacing w:val="-8"/>
                            <w:sz w:val="24"/>
                            <w:szCs w:val="24"/>
                          </w:rPr>
                          <w:t>, а то је 17,2 одсто нашег БДП-а. То је огромна помоћ усмерена и ка привреди и ка грађанима, а с циљем да се ублаже негативне последице изазване пандемијом”.</w:t>
                        </w:r>
                      </w:p>
                      <w:p w:rsidR="00BB481C" w:rsidRDefault="00BB481C" w:rsidP="00654C78">
                        <w:pPr>
                          <w:ind w:left="1440" w:firstLine="720"/>
                        </w:pPr>
                        <w:r>
                          <w:rPr>
                            <w:rFonts w:ascii="Times New Roman" w:eastAsia="Times New Roman" w:hAnsi="Times New Roman" w:cs="Times New Roman"/>
                            <w:b/>
                            <w:i/>
                            <w:color w:val="143548"/>
                            <w:spacing w:val="-22"/>
                            <w:sz w:val="34"/>
                            <w:szCs w:val="34"/>
                          </w:rPr>
                          <w:t>Синиша</w:t>
                        </w:r>
                        <w:r>
                          <w:rPr>
                            <w:rFonts w:ascii="Times New Roman" w:eastAsia="Times New Roman" w:hAnsi="Times New Roman" w:cs="Times New Roman"/>
                            <w:b/>
                            <w:i/>
                            <w:spacing w:val="-9"/>
                            <w:sz w:val="34"/>
                            <w:szCs w:val="34"/>
                          </w:rPr>
                          <w:t xml:space="preserve"> </w:t>
                        </w:r>
                        <w:r>
                          <w:rPr>
                            <w:rFonts w:ascii="Times New Roman" w:eastAsia="Times New Roman" w:hAnsi="Times New Roman" w:cs="Times New Roman"/>
                            <w:b/>
                            <w:i/>
                            <w:color w:val="143548"/>
                            <w:spacing w:val="-20"/>
                            <w:sz w:val="34"/>
                            <w:szCs w:val="34"/>
                          </w:rPr>
                          <w:t>Мали,</w:t>
                        </w:r>
                        <w:r>
                          <w:rPr>
                            <w:rFonts w:ascii="Times New Roman" w:eastAsia="Times New Roman" w:hAnsi="Times New Roman" w:cs="Times New Roman"/>
                            <w:b/>
                            <w:i/>
                            <w:spacing w:val="-9"/>
                            <w:sz w:val="34"/>
                            <w:szCs w:val="34"/>
                          </w:rPr>
                          <w:t xml:space="preserve"> </w:t>
                        </w:r>
                        <w:r>
                          <w:rPr>
                            <w:rFonts w:ascii="Times New Roman" w:eastAsia="Times New Roman" w:hAnsi="Times New Roman" w:cs="Times New Roman"/>
                            <w:b/>
                            <w:i/>
                            <w:spacing w:val="-9"/>
                            <w:sz w:val="34"/>
                            <w:szCs w:val="34"/>
                            <w:lang w:val="en-GB"/>
                          </w:rPr>
                          <w:t xml:space="preserve"> </w:t>
                        </w:r>
                        <w:r>
                          <w:rPr>
                            <w:rFonts w:ascii="Times New Roman" w:eastAsia="Times New Roman" w:hAnsi="Times New Roman" w:cs="Times New Roman"/>
                            <w:b/>
                            <w:i/>
                            <w:color w:val="143548"/>
                            <w:spacing w:val="-20"/>
                            <w:sz w:val="34"/>
                            <w:szCs w:val="34"/>
                          </w:rPr>
                          <w:t>министар</w:t>
                        </w:r>
                        <w:r>
                          <w:rPr>
                            <w:rFonts w:ascii="Times New Roman" w:eastAsia="Times New Roman" w:hAnsi="Times New Roman" w:cs="Times New Roman"/>
                            <w:b/>
                            <w:i/>
                            <w:spacing w:val="-10"/>
                            <w:sz w:val="34"/>
                            <w:szCs w:val="34"/>
                          </w:rPr>
                          <w:t xml:space="preserve"> </w:t>
                        </w:r>
                        <w:r>
                          <w:rPr>
                            <w:rFonts w:ascii="Times New Roman" w:eastAsia="Times New Roman" w:hAnsi="Times New Roman" w:cs="Times New Roman"/>
                            <w:b/>
                            <w:i/>
                            <w:color w:val="143548"/>
                            <w:spacing w:val="-19"/>
                            <w:sz w:val="34"/>
                            <w:szCs w:val="34"/>
                          </w:rPr>
                          <w:t>финансија</w:t>
                        </w:r>
                      </w:p>
                      <w:p w:rsidR="00BB481C" w:rsidRPr="00D03FDF" w:rsidRDefault="00BB481C" w:rsidP="00654C78">
                        <w:pPr>
                          <w:ind w:left="3600"/>
                        </w:pPr>
                      </w:p>
                    </w:txbxContent>
                  </v:textbox>
                </v:shape>
                <w10:wrap anchorx="margin" anchory="page"/>
              </v:group>
            </w:pict>
          </mc:Fallback>
        </mc:AlternateContent>
      </w:r>
    </w:p>
    <w:p w:rsidR="009D3066" w:rsidRPr="0081082A" w:rsidRDefault="00387010" w:rsidP="006D1C0C">
      <w:pPr>
        <w:shd w:val="clear" w:color="auto" w:fill="FFFFFF"/>
        <w:spacing w:before="0" w:after="100" w:afterAutospacing="1" w:line="240" w:lineRule="auto"/>
        <w:ind w:firstLine="708"/>
        <w:jc w:val="both"/>
        <w:rPr>
          <w:rFonts w:ascii="Times New Roman" w:eastAsia="Times New Roman" w:hAnsi="Times New Roman" w:cs="Times New Roman"/>
          <w:sz w:val="24"/>
          <w:szCs w:val="24"/>
          <w:lang w:val="sr-Cyrl-RS" w:eastAsia="en-GB"/>
        </w:rPr>
      </w:pPr>
      <w:r w:rsidRPr="0081082A">
        <w:rPr>
          <w:rFonts w:ascii="Times New Roman" w:eastAsia="Times New Roman" w:hAnsi="Times New Roman" w:cs="Times New Roman"/>
          <w:noProof/>
          <w:sz w:val="24"/>
          <w:szCs w:val="24"/>
        </w:rPr>
        <mc:AlternateContent>
          <mc:Choice Requires="wps">
            <w:drawing>
              <wp:anchor distT="45720" distB="45720" distL="114300" distR="114300" simplePos="0" relativeHeight="251692032" behindDoc="0" locked="0" layoutInCell="1" allowOverlap="1" wp14:anchorId="046CFC16" wp14:editId="640F9BA7">
                <wp:simplePos x="0" y="0"/>
                <wp:positionH relativeFrom="column">
                  <wp:posOffset>2914650</wp:posOffset>
                </wp:positionH>
                <wp:positionV relativeFrom="paragraph">
                  <wp:posOffset>151130</wp:posOffset>
                </wp:positionV>
                <wp:extent cx="2698115" cy="2686050"/>
                <wp:effectExtent l="0" t="0" r="26035"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115" cy="2686050"/>
                        </a:xfrm>
                        <a:prstGeom prst="rect">
                          <a:avLst/>
                        </a:prstGeom>
                        <a:solidFill>
                          <a:srgbClr val="FFFFFF"/>
                        </a:solidFill>
                        <a:ln w="9525">
                          <a:solidFill>
                            <a:srgbClr val="000000"/>
                          </a:solidFill>
                          <a:miter lim="800000"/>
                          <a:headEnd/>
                          <a:tailEnd/>
                        </a:ln>
                      </wps:spPr>
                      <wps:txbx>
                        <w:txbxContent>
                          <w:p w:rsidR="00BB481C" w:rsidRDefault="00BB481C">
                            <w:r>
                              <w:rPr>
                                <w:noProof/>
                              </w:rPr>
                              <w:drawing>
                                <wp:inline distT="0" distB="0" distL="0" distR="0" wp14:anchorId="18DF9881" wp14:editId="54EA4A61">
                                  <wp:extent cx="2546350" cy="264795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46350" cy="264795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8" type="#_x0000_t202" style="position:absolute;left:0;text-align:left;margin-left:229.5pt;margin-top:11.9pt;width:212.45pt;height:211.5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">
                <v:textbox>
                  <w:txbxContent>
                    <w:p w:rsidR="00BB481C" w:rsidRDefault="00BB481C">
                      <w:r>
                        <w:rPr>
                          <w:noProof/>
                        </w:rPr>
                        <w:drawing>
                          <wp:inline distT="0" distB="0" distL="0" distR="0" wp14:anchorId="18DF9881" wp14:editId="54EA4A61">
                            <wp:extent cx="2546350" cy="264795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46350" cy="2647950"/>
                                    </a:xfrm>
                                    <a:prstGeom prst="rect">
                                      <a:avLst/>
                                    </a:prstGeom>
                                    <a:noFill/>
                                    <a:ln>
                                      <a:noFill/>
                                    </a:ln>
                                  </pic:spPr>
                                </pic:pic>
                              </a:graphicData>
                            </a:graphic>
                          </wp:inline>
                        </w:drawing>
                      </w:r>
                    </w:p>
                  </w:txbxContent>
                </v:textbox>
                <w10:wrap type="square"/>
              </v:shape>
            </w:pict>
          </mc:Fallback>
        </mc:AlternateContent>
      </w:r>
      <w:r w:rsidR="00FC2D13" w:rsidRPr="0081082A">
        <w:rPr>
          <w:rFonts w:ascii="Times New Roman" w:eastAsia="Times New Roman" w:hAnsi="Times New Roman" w:cs="Times New Roman"/>
          <w:sz w:val="24"/>
          <w:szCs w:val="24"/>
          <w:lang w:val="sr-Cyrl-RS" w:eastAsia="en-GB"/>
        </w:rPr>
        <w:t>„Република Србија је у претходном периоду остварила велики успех на два фронта – у борби за спас економије и у борби за здравље грађана. </w:t>
      </w:r>
      <w:r w:rsidR="009D3066" w:rsidRPr="0081082A">
        <w:rPr>
          <w:rFonts w:ascii="Times New Roman" w:eastAsia="Times New Roman" w:hAnsi="Times New Roman" w:cs="Times New Roman"/>
          <w:sz w:val="24"/>
          <w:szCs w:val="24"/>
          <w:lang w:val="sr-Cyrl-RS" w:eastAsia="en-GB"/>
        </w:rPr>
        <w:t>Реаговали смо правовремено и ефикасно, дефинисањем и спровођењем два пакета помоћи привреди и грађанима с циљем ублажавања последица пандемије вируса корона. Тренутно спроводимо и трећи пакет подршке и заиста, никада у историји, није се догодило да држава на себе преузме највећи терет кризе. Урадили смо то јер смо увек ту за привреду и грађане, и нисмо погрешили. Наша економија је опстала упркос огромној светској економској кризи. Нисмо имали масовна отпуштања, затварања фабрика, нисмо имали проблема са набавком маски, рес</w:t>
      </w:r>
      <w:r w:rsidR="006D1C0C" w:rsidRPr="0081082A">
        <w:rPr>
          <w:rFonts w:ascii="Times New Roman" w:eastAsia="Times New Roman" w:hAnsi="Times New Roman" w:cs="Times New Roman"/>
          <w:sz w:val="24"/>
          <w:szCs w:val="24"/>
          <w:lang w:val="sr-Cyrl-RS" w:eastAsia="en-GB"/>
        </w:rPr>
        <w:t xml:space="preserve">пиратора и остале </w:t>
      </w:r>
      <w:r w:rsidR="009D3066" w:rsidRPr="0081082A">
        <w:rPr>
          <w:rFonts w:ascii="Times New Roman" w:eastAsia="Times New Roman" w:hAnsi="Times New Roman" w:cs="Times New Roman"/>
          <w:sz w:val="24"/>
          <w:szCs w:val="24"/>
          <w:lang w:val="sr-Cyrl-RS" w:eastAsia="en-GB"/>
        </w:rPr>
        <w:t>медицинске опреме.</w:t>
      </w:r>
      <w:r w:rsidR="009D3066" w:rsidRPr="0081082A">
        <w:rPr>
          <w:noProof/>
          <w:lang w:val="sr-Cyrl-RS"/>
        </w:rPr>
        <w:t xml:space="preserve"> </w:t>
      </w:r>
      <w:r w:rsidR="009D3066" w:rsidRPr="0081082A">
        <w:rPr>
          <w:rFonts w:ascii="Times New Roman" w:eastAsia="Times New Roman" w:hAnsi="Times New Roman" w:cs="Times New Roman"/>
          <w:sz w:val="24"/>
          <w:szCs w:val="24"/>
          <w:lang w:val="sr-Cyrl-RS" w:eastAsia="en-GB"/>
        </w:rPr>
        <w:t xml:space="preserve">Држава је за три пакета помоћи грађанима и привреди издвојила око осам милијарди евра, што је више </w:t>
      </w:r>
      <w:r w:rsidR="00EE4919" w:rsidRPr="0081082A">
        <w:rPr>
          <w:rFonts w:ascii="Times New Roman" w:eastAsia="Times New Roman" w:hAnsi="Times New Roman" w:cs="Times New Roman"/>
          <w:sz w:val="24"/>
          <w:szCs w:val="24"/>
          <w:lang w:val="sr-Cyrl-RS" w:eastAsia="en-GB"/>
        </w:rPr>
        <w:t xml:space="preserve">од </w:t>
      </w:r>
      <w:r w:rsidR="009D3066" w:rsidRPr="0081082A">
        <w:rPr>
          <w:rFonts w:ascii="Times New Roman" w:eastAsia="Times New Roman" w:hAnsi="Times New Roman" w:cs="Times New Roman"/>
          <w:sz w:val="24"/>
          <w:szCs w:val="24"/>
          <w:lang w:val="sr-Cyrl-RS" w:eastAsia="en-GB"/>
        </w:rPr>
        <w:t>17 одсто нашег БДП-а, а пре свега захваљујући одговорној фискалној, економској политици коју водимо годинама уназад и чињеници да је наша земља четири године имала суфицит у буџету. </w:t>
      </w:r>
    </w:p>
    <w:p w:rsidR="009D3066" w:rsidRPr="0081082A" w:rsidRDefault="009D3066" w:rsidP="006D1C0C">
      <w:pPr>
        <w:shd w:val="clear" w:color="auto" w:fill="FFFFFF"/>
        <w:spacing w:before="0" w:after="100" w:afterAutospacing="1" w:line="240" w:lineRule="auto"/>
        <w:ind w:firstLine="708"/>
        <w:jc w:val="both"/>
        <w:rPr>
          <w:rFonts w:ascii="Times New Roman" w:eastAsia="Times New Roman" w:hAnsi="Times New Roman" w:cs="Times New Roman"/>
          <w:sz w:val="24"/>
          <w:szCs w:val="24"/>
          <w:lang w:val="sr-Cyrl-RS" w:eastAsia="en-GB"/>
        </w:rPr>
      </w:pPr>
      <w:r w:rsidRPr="0081082A">
        <w:rPr>
          <w:rFonts w:ascii="Times New Roman" w:eastAsia="Times New Roman" w:hAnsi="Times New Roman" w:cs="Times New Roman"/>
          <w:sz w:val="24"/>
          <w:szCs w:val="24"/>
          <w:lang w:val="sr-Cyrl-RS" w:eastAsia="en-GB"/>
        </w:rPr>
        <w:t>Србија је међу најбољима у Европи по питању стопе привредног раста. Јасно је да сви траже начин да убрзају раст својих економија, да крену да напредују што брже и што више јер се ту крије кључ за раст плата, пензија, за капиталне инвестиције, за улагања у здравство, образовање, културу. То је уједно и циљ наше економске политике. Зато се и ове године, иако још траје пандемија, боримо да имамо највиши раст БДП-а у Европи. До таквог успеха, између осталог, дошло је захваљујући тешким мерама фискалне консолидације и успешној реформи управљања јавним финансијама, које смо спровели у претходном периоду. Упркос великим улагањима и издвајањима државе, јавни дуг ће остати стабилан и на нивоу испод 60 одсто, односно испод нивоа Мастрихта. Прошла година је била успешна и по питању стопе незапослености, која је пала на 9 процената у односу на резултат из 2019. године, када је била 10,4 одсто. Прошле године имали смо више од три милијарде евра страних директних инвестиција у нашу земљу. То значи нова радна места, нова улагања, нове технологије које стижу у Републику Србију и то потврђује да је</w:t>
      </w:r>
      <w:r w:rsidR="00E9233C" w:rsidRPr="0081082A">
        <w:rPr>
          <w:rFonts w:ascii="Times New Roman" w:eastAsia="Times New Roman" w:hAnsi="Times New Roman" w:cs="Times New Roman"/>
          <w:sz w:val="24"/>
          <w:szCs w:val="24"/>
          <w:lang w:val="sr-Cyrl-RS" w:eastAsia="en-GB"/>
        </w:rPr>
        <w:t xml:space="preserve"> поверење инвеститора задржано.</w:t>
      </w:r>
      <w:r w:rsidRPr="0081082A">
        <w:rPr>
          <w:rFonts w:ascii="Times New Roman" w:eastAsia="Times New Roman" w:hAnsi="Times New Roman" w:cs="Times New Roman"/>
          <w:sz w:val="24"/>
          <w:szCs w:val="24"/>
          <w:lang w:val="sr-Cyrl-RS" w:eastAsia="en-GB"/>
        </w:rPr>
        <w:t xml:space="preserve"> </w:t>
      </w:r>
    </w:p>
    <w:p w:rsidR="009C38AD" w:rsidRPr="0081082A" w:rsidRDefault="009D3066" w:rsidP="006D1C0C">
      <w:pPr>
        <w:shd w:val="clear" w:color="auto" w:fill="FFFFFF"/>
        <w:spacing w:before="0" w:after="100" w:afterAutospacing="1" w:line="240" w:lineRule="auto"/>
        <w:ind w:firstLine="708"/>
        <w:jc w:val="both"/>
        <w:rPr>
          <w:rFonts w:ascii="Times New Roman" w:eastAsia="Times New Roman" w:hAnsi="Times New Roman" w:cs="Times New Roman"/>
          <w:sz w:val="24"/>
          <w:szCs w:val="24"/>
          <w:lang w:val="sr-Cyrl-RS" w:eastAsia="en-GB"/>
        </w:rPr>
      </w:pPr>
      <w:r w:rsidRPr="0081082A">
        <w:rPr>
          <w:rFonts w:ascii="Times New Roman" w:eastAsia="Times New Roman" w:hAnsi="Times New Roman" w:cs="Times New Roman"/>
          <w:sz w:val="24"/>
          <w:szCs w:val="24"/>
          <w:lang w:val="sr-Cyrl-RS" w:eastAsia="en-GB"/>
        </w:rPr>
        <w:t xml:space="preserve">У протекла два месеца дефинисали смо основне развојне и реформске циљеве, који се, између осталог, односе на реформе јавних предузећа, Пореске управе, на зелену агенду, односно на све оно што треба да допринесе бољем и ефикаснијем </w:t>
      </w:r>
      <w:r w:rsidRPr="0081082A">
        <w:rPr>
          <w:rFonts w:ascii="Times New Roman" w:eastAsia="Times New Roman" w:hAnsi="Times New Roman" w:cs="Times New Roman"/>
          <w:sz w:val="24"/>
          <w:szCs w:val="24"/>
          <w:lang w:val="sr-Cyrl-RS" w:eastAsia="en-GB"/>
        </w:rPr>
        <w:lastRenderedPageBreak/>
        <w:t>функционисању наше економије и подизању животног стандарда грађана. Управо то је политика од које нећемо и не смемо одустати – политика борбе за нашу економију, за сваког инвеститора, за сваку фабрику, за свако радно место, односно за бољи и квалитетнији живот свих грађана Србије</w:t>
      </w:r>
      <w:r w:rsidR="007E728E" w:rsidRPr="0081082A">
        <w:rPr>
          <w:rFonts w:ascii="Times New Roman" w:eastAsia="Times New Roman" w:hAnsi="Times New Roman" w:cs="Times New Roman"/>
          <w:sz w:val="24"/>
          <w:szCs w:val="24"/>
          <w:lang w:val="sr-Cyrl-RS" w:eastAsia="en-GB"/>
        </w:rPr>
        <w:t>”</w:t>
      </w:r>
      <w:r w:rsidRPr="0081082A">
        <w:rPr>
          <w:rFonts w:ascii="Times New Roman" w:eastAsia="Times New Roman" w:hAnsi="Times New Roman" w:cs="Times New Roman"/>
          <w:sz w:val="24"/>
          <w:szCs w:val="24"/>
          <w:lang w:val="sr-Cyrl-RS" w:eastAsia="en-GB"/>
        </w:rPr>
        <w:t>.</w:t>
      </w:r>
      <w:r w:rsidR="00E9233C" w:rsidRPr="0081082A">
        <w:rPr>
          <w:rFonts w:ascii="Times New Roman" w:eastAsia="Times New Roman" w:hAnsi="Times New Roman" w:cs="Times New Roman"/>
          <w:sz w:val="24"/>
          <w:szCs w:val="24"/>
          <w:lang w:val="sr-Cyrl-RS" w:eastAsia="en-GB"/>
        </w:rPr>
        <w:t xml:space="preserve"> </w:t>
      </w:r>
    </w:p>
    <w:p w:rsidR="004B28A6" w:rsidRPr="0081082A" w:rsidRDefault="004B28A6" w:rsidP="004B28A6">
      <w:pPr>
        <w:spacing w:line="240" w:lineRule="auto"/>
        <w:jc w:val="center"/>
        <w:rPr>
          <w:sz w:val="22"/>
          <w:szCs w:val="16"/>
          <w:lang w:val="sr-Cyrl-RS"/>
        </w:rPr>
      </w:pPr>
      <w:r w:rsidRPr="0081082A">
        <w:rPr>
          <w:rFonts w:ascii="Cambria" w:eastAsia="Times New Roman" w:hAnsi="Cambria" w:cs="Cambria"/>
          <w:sz w:val="22"/>
          <w:szCs w:val="16"/>
          <w:u w:val="single"/>
          <w:lang w:val="sr-Cyrl-RS" w:eastAsia="en-GB"/>
        </w:rPr>
        <w:t>Синиша</w:t>
      </w:r>
      <w:r w:rsidRPr="0081082A">
        <w:rPr>
          <w:rFonts w:ascii="Algerian" w:eastAsia="Times New Roman" w:hAnsi="Algerian" w:cs="Times New Roman"/>
          <w:sz w:val="22"/>
          <w:szCs w:val="16"/>
          <w:u w:val="single"/>
          <w:lang w:val="sr-Cyrl-RS" w:eastAsia="en-GB"/>
        </w:rPr>
        <w:t xml:space="preserve"> </w:t>
      </w:r>
      <w:r w:rsidRPr="0081082A">
        <w:rPr>
          <w:rFonts w:ascii="Cambria" w:eastAsia="Times New Roman" w:hAnsi="Cambria" w:cs="Cambria"/>
          <w:sz w:val="22"/>
          <w:szCs w:val="16"/>
          <w:u w:val="single"/>
          <w:lang w:val="sr-Cyrl-RS" w:eastAsia="en-GB"/>
        </w:rPr>
        <w:t>Мали</w:t>
      </w:r>
      <w:r w:rsidRPr="0081082A">
        <w:rPr>
          <w:rFonts w:ascii="Algerian" w:eastAsia="Times New Roman" w:hAnsi="Algerian" w:cs="Times New Roman"/>
          <w:sz w:val="22"/>
          <w:szCs w:val="16"/>
          <w:u w:val="single"/>
          <w:lang w:val="sr-Cyrl-RS" w:eastAsia="en-GB"/>
        </w:rPr>
        <w:t xml:space="preserve">, </w:t>
      </w:r>
      <w:r w:rsidRPr="0081082A">
        <w:rPr>
          <w:rFonts w:ascii="Cambria" w:eastAsia="Times New Roman" w:hAnsi="Cambria" w:cs="Cambria"/>
          <w:sz w:val="22"/>
          <w:szCs w:val="16"/>
          <w:u w:val="single"/>
          <w:lang w:val="sr-Cyrl-RS" w:eastAsia="en-GB"/>
        </w:rPr>
        <w:t>министар</w:t>
      </w:r>
      <w:r w:rsidRPr="0081082A">
        <w:rPr>
          <w:rFonts w:ascii="Algerian" w:eastAsia="Times New Roman" w:hAnsi="Algerian" w:cs="Times New Roman"/>
          <w:sz w:val="22"/>
          <w:szCs w:val="16"/>
          <w:u w:val="single"/>
          <w:lang w:val="sr-Cyrl-RS" w:eastAsia="en-GB"/>
        </w:rPr>
        <w:t xml:space="preserve"> </w:t>
      </w:r>
      <w:r w:rsidRPr="0081082A">
        <w:rPr>
          <w:rFonts w:ascii="Cambria" w:eastAsia="Times New Roman" w:hAnsi="Cambria" w:cs="Cambria"/>
          <w:sz w:val="22"/>
          <w:szCs w:val="16"/>
          <w:u w:val="single"/>
          <w:lang w:val="sr-Cyrl-RS" w:eastAsia="en-GB"/>
        </w:rPr>
        <w:t>финансија</w:t>
      </w:r>
    </w:p>
    <w:p w:rsidR="00E9233C" w:rsidRPr="0081082A" w:rsidRDefault="00E9233C" w:rsidP="00E9233C">
      <w:pPr>
        <w:pStyle w:val="Heading2"/>
        <w:jc w:val="center"/>
        <w:rPr>
          <w:rFonts w:ascii="Times New Roman" w:hAnsi="Times New Roman"/>
          <w:sz w:val="40"/>
          <w:lang w:val="sr-Cyrl-RS"/>
        </w:rPr>
      </w:pPr>
      <w:r w:rsidRPr="0081082A">
        <w:rPr>
          <w:rFonts w:ascii="Times New Roman" w:hAnsi="Times New Roman"/>
          <w:sz w:val="40"/>
          <w:lang w:val="sr-Cyrl-RS"/>
        </w:rPr>
        <w:t>I ДЕО</w:t>
      </w:r>
    </w:p>
    <w:p w:rsidR="00E9233C" w:rsidRPr="0081082A" w:rsidRDefault="00E9233C" w:rsidP="00E9233C">
      <w:pPr>
        <w:pStyle w:val="Heading2"/>
        <w:jc w:val="center"/>
        <w:rPr>
          <w:rFonts w:ascii="Times New Roman" w:hAnsi="Times New Roman"/>
          <w:sz w:val="24"/>
          <w:lang w:val="sr-Cyrl-RS"/>
        </w:rPr>
      </w:pPr>
      <w:r w:rsidRPr="0081082A">
        <w:rPr>
          <w:rFonts w:ascii="Times New Roman" w:hAnsi="Times New Roman"/>
          <w:sz w:val="24"/>
          <w:lang w:val="sr-Cyrl-RS"/>
        </w:rPr>
        <w:t>УВОД</w:t>
      </w:r>
    </w:p>
    <w:p w:rsidR="000473AA" w:rsidRPr="0081082A" w:rsidRDefault="00011580" w:rsidP="004A0DE4">
      <w:pPr>
        <w:spacing w:after="0" w:line="240" w:lineRule="auto"/>
        <w:ind w:firstLine="706"/>
        <w:jc w:val="both"/>
        <w:rPr>
          <w:rFonts w:ascii="Times New Roman" w:hAnsi="Times New Roman"/>
          <w:sz w:val="24"/>
          <w:lang w:val="sr-Cyrl-RS"/>
        </w:rPr>
      </w:pPr>
      <w:r w:rsidRPr="0081082A">
        <w:rPr>
          <w:rFonts w:ascii="Times New Roman" w:eastAsia="Calibri" w:hAnsi="Times New Roman" w:cs="Times New Roman"/>
          <w:sz w:val="24"/>
          <w:szCs w:val="24"/>
          <w:lang w:val="sr-Cyrl-RS"/>
        </w:rPr>
        <w:t xml:space="preserve">Програм реформе управљања јавним финансијама </w:t>
      </w:r>
      <w:r w:rsidR="00EA418B">
        <w:rPr>
          <w:rFonts w:ascii="Times New Roman" w:eastAsia="Calibri" w:hAnsi="Times New Roman" w:cs="Times New Roman"/>
          <w:sz w:val="24"/>
          <w:szCs w:val="24"/>
          <w:lang w:val="sr-Cyrl-RS"/>
        </w:rPr>
        <w:t xml:space="preserve">за период </w:t>
      </w:r>
      <w:r w:rsidRPr="0081082A">
        <w:rPr>
          <w:rFonts w:ascii="Times New Roman" w:eastAsia="Calibri" w:hAnsi="Times New Roman" w:cs="Times New Roman"/>
          <w:sz w:val="24"/>
          <w:szCs w:val="24"/>
          <w:lang w:val="sr-Cyrl-RS"/>
        </w:rPr>
        <w:t>2021-2025</w:t>
      </w:r>
      <w:r w:rsidR="00EA418B">
        <w:rPr>
          <w:rFonts w:ascii="Times New Roman" w:eastAsia="Calibri" w:hAnsi="Times New Roman" w:cs="Times New Roman"/>
          <w:sz w:val="24"/>
          <w:szCs w:val="24"/>
          <w:lang w:val="sr-Cyrl-RS"/>
        </w:rPr>
        <w:t>. године</w:t>
      </w:r>
      <w:bookmarkStart w:id="2" w:name="_GoBack"/>
      <w:bookmarkEnd w:id="2"/>
      <w:r w:rsidRPr="0081082A">
        <w:rPr>
          <w:rFonts w:ascii="Times New Roman" w:eastAsia="Calibri" w:hAnsi="Times New Roman" w:cs="Times New Roman"/>
          <w:sz w:val="24"/>
          <w:szCs w:val="24"/>
          <w:lang w:val="sr-Cyrl-RS"/>
        </w:rPr>
        <w:t xml:space="preserve"> (у даљем тексту: </w:t>
      </w:r>
      <w:r w:rsidR="00C53A7C" w:rsidRPr="0081082A">
        <w:rPr>
          <w:rFonts w:ascii="Times New Roman" w:eastAsia="Calibri" w:hAnsi="Times New Roman" w:cs="Times New Roman"/>
          <w:sz w:val="24"/>
          <w:szCs w:val="24"/>
          <w:lang w:val="sr-Cyrl-RS"/>
        </w:rPr>
        <w:t>ПРУЈФ</w:t>
      </w:r>
      <w:r w:rsidRPr="0081082A">
        <w:rPr>
          <w:rFonts w:ascii="Times New Roman" w:eastAsia="Calibri" w:hAnsi="Times New Roman" w:cs="Times New Roman"/>
          <w:sz w:val="24"/>
          <w:szCs w:val="24"/>
          <w:lang w:val="sr-Cyrl-RS"/>
        </w:rPr>
        <w:t>) представља документ јавне политике којим се настављају започете рефо</w:t>
      </w:r>
      <w:r w:rsidR="0081082A">
        <w:rPr>
          <w:rFonts w:ascii="Times New Roman" w:eastAsia="Calibri" w:hAnsi="Times New Roman" w:cs="Times New Roman"/>
          <w:sz w:val="24"/>
          <w:szCs w:val="24"/>
          <w:lang w:val="sr-Cyrl-RS"/>
        </w:rPr>
        <w:t>р</w:t>
      </w:r>
      <w:r w:rsidRPr="0081082A">
        <w:rPr>
          <w:rFonts w:ascii="Times New Roman" w:eastAsia="Calibri" w:hAnsi="Times New Roman" w:cs="Times New Roman"/>
          <w:sz w:val="24"/>
          <w:szCs w:val="24"/>
          <w:lang w:val="sr-Cyrl-RS"/>
        </w:rPr>
        <w:t>ме</w:t>
      </w:r>
      <w:r w:rsidR="00B40F25">
        <w:rPr>
          <w:rFonts w:ascii="Times New Roman" w:eastAsia="Calibri" w:hAnsi="Times New Roman" w:cs="Times New Roman"/>
          <w:sz w:val="24"/>
          <w:szCs w:val="24"/>
          <w:lang w:val="sr-Cyrl-RS"/>
        </w:rPr>
        <w:t xml:space="preserve"> подсис</w:t>
      </w:r>
      <w:r w:rsidR="000473AA" w:rsidRPr="0081082A">
        <w:rPr>
          <w:rFonts w:ascii="Times New Roman" w:eastAsia="Calibri" w:hAnsi="Times New Roman" w:cs="Times New Roman"/>
          <w:sz w:val="24"/>
          <w:szCs w:val="24"/>
          <w:lang w:val="sr-Cyrl-RS"/>
        </w:rPr>
        <w:t xml:space="preserve">тема управљања јавним финансијама </w:t>
      </w:r>
      <w:r w:rsidR="002C50C8" w:rsidRPr="0081082A">
        <w:rPr>
          <w:rFonts w:ascii="Times New Roman" w:eastAsia="Calibri" w:hAnsi="Times New Roman" w:cs="Times New Roman"/>
          <w:sz w:val="24"/>
          <w:szCs w:val="24"/>
          <w:lang w:val="sr-Cyrl-RS"/>
        </w:rPr>
        <w:t xml:space="preserve">(у даљем тексту: УЈФ) </w:t>
      </w:r>
      <w:r w:rsidR="000473AA" w:rsidRPr="0081082A">
        <w:rPr>
          <w:rFonts w:ascii="Times New Roman" w:eastAsia="Calibri" w:hAnsi="Times New Roman" w:cs="Times New Roman"/>
          <w:sz w:val="24"/>
          <w:szCs w:val="24"/>
          <w:lang w:val="sr-Cyrl-RS"/>
        </w:rPr>
        <w:t>у претходном пето</w:t>
      </w:r>
      <w:r w:rsidR="00A87A3D">
        <w:rPr>
          <w:rFonts w:ascii="Times New Roman" w:eastAsia="Calibri" w:hAnsi="Times New Roman" w:cs="Times New Roman"/>
          <w:sz w:val="24"/>
          <w:szCs w:val="24"/>
          <w:lang w:val="sr-Cyrl-RS"/>
        </w:rPr>
        <w:t>г</w:t>
      </w:r>
      <w:r w:rsidR="000473AA" w:rsidRPr="0081082A">
        <w:rPr>
          <w:rFonts w:ascii="Times New Roman" w:eastAsia="Calibri" w:hAnsi="Times New Roman" w:cs="Times New Roman"/>
          <w:sz w:val="24"/>
          <w:szCs w:val="24"/>
          <w:lang w:val="sr-Cyrl-RS"/>
        </w:rPr>
        <w:t>о</w:t>
      </w:r>
      <w:r w:rsidR="00A87A3D">
        <w:rPr>
          <w:rFonts w:ascii="Times New Roman" w:eastAsia="Calibri" w:hAnsi="Times New Roman" w:cs="Times New Roman"/>
          <w:sz w:val="24"/>
          <w:szCs w:val="24"/>
          <w:lang w:val="sr-Cyrl-RS"/>
        </w:rPr>
        <w:t>д</w:t>
      </w:r>
      <w:r w:rsidR="000473AA" w:rsidRPr="0081082A">
        <w:rPr>
          <w:rFonts w:ascii="Times New Roman" w:eastAsia="Calibri" w:hAnsi="Times New Roman" w:cs="Times New Roman"/>
          <w:sz w:val="24"/>
          <w:szCs w:val="24"/>
          <w:lang w:val="sr-Cyrl-RS"/>
        </w:rPr>
        <w:t>ишњем периоду. П</w:t>
      </w:r>
      <w:r w:rsidR="000473AA" w:rsidRPr="0081082A">
        <w:rPr>
          <w:rFonts w:ascii="Times New Roman" w:hAnsi="Times New Roman"/>
          <w:sz w:val="24"/>
          <w:lang w:val="sr-Cyrl-RS"/>
        </w:rPr>
        <w:t xml:space="preserve">рви </w:t>
      </w:r>
      <w:r w:rsidR="00E41446" w:rsidRPr="0081082A">
        <w:rPr>
          <w:rFonts w:ascii="Times New Roman" w:hAnsi="Times New Roman"/>
          <w:sz w:val="24"/>
          <w:lang w:val="sr-Cyrl-RS"/>
        </w:rPr>
        <w:t>ПРУЈФ</w:t>
      </w:r>
      <w:r w:rsidR="000473AA" w:rsidRPr="0081082A">
        <w:rPr>
          <w:rFonts w:ascii="Times New Roman" w:hAnsi="Times New Roman"/>
          <w:sz w:val="24"/>
          <w:lang w:val="sr-Cyrl-RS"/>
        </w:rPr>
        <w:t xml:space="preserve"> 2016-2020, усвојен </w:t>
      </w:r>
      <w:r w:rsidR="002C50C8" w:rsidRPr="0081082A">
        <w:rPr>
          <w:rFonts w:ascii="Times New Roman" w:eastAsia="Calibri" w:hAnsi="Times New Roman" w:cs="Times New Roman"/>
          <w:sz w:val="24"/>
          <w:szCs w:val="24"/>
          <w:lang w:val="sr-Cyrl-RS"/>
        </w:rPr>
        <w:t xml:space="preserve">је </w:t>
      </w:r>
      <w:r w:rsidR="000473AA" w:rsidRPr="0081082A">
        <w:rPr>
          <w:rFonts w:ascii="Times New Roman" w:hAnsi="Times New Roman"/>
          <w:sz w:val="24"/>
          <w:lang w:val="sr-Cyrl-RS"/>
        </w:rPr>
        <w:t xml:space="preserve">крајем 2015. године, </w:t>
      </w:r>
      <w:r w:rsidR="002C50C8" w:rsidRPr="0081082A">
        <w:rPr>
          <w:rFonts w:ascii="Times New Roman" w:eastAsia="Calibri" w:hAnsi="Times New Roman" w:cs="Times New Roman"/>
          <w:sz w:val="24"/>
          <w:szCs w:val="24"/>
          <w:lang w:val="sr-Cyrl-RS"/>
        </w:rPr>
        <w:t>када</w:t>
      </w:r>
      <w:r w:rsidR="000473AA" w:rsidRPr="0081082A">
        <w:rPr>
          <w:rFonts w:ascii="Times New Roman" w:hAnsi="Times New Roman"/>
          <w:sz w:val="24"/>
          <w:lang w:val="sr-Cyrl-RS"/>
        </w:rPr>
        <w:t xml:space="preserve"> је </w:t>
      </w:r>
      <w:r w:rsidR="000473AA" w:rsidRPr="0081082A">
        <w:rPr>
          <w:rFonts w:ascii="Times New Roman" w:eastAsia="Calibri" w:hAnsi="Times New Roman" w:cs="Times New Roman"/>
          <w:sz w:val="24"/>
          <w:szCs w:val="24"/>
          <w:lang w:val="sr-Cyrl-RS"/>
        </w:rPr>
        <w:t xml:space="preserve">по први пут </w:t>
      </w:r>
      <w:r w:rsidR="000473AA" w:rsidRPr="0081082A">
        <w:rPr>
          <w:rFonts w:ascii="Times New Roman" w:hAnsi="Times New Roman"/>
          <w:sz w:val="24"/>
          <w:lang w:val="sr-Cyrl-RS"/>
        </w:rPr>
        <w:t xml:space="preserve">успостављен кредибилан оквир за праћење напретка у кључним </w:t>
      </w:r>
      <w:r w:rsidR="007B096F" w:rsidRPr="0081082A">
        <w:rPr>
          <w:rFonts w:ascii="Times New Roman" w:hAnsi="Times New Roman"/>
          <w:sz w:val="24"/>
          <w:lang w:val="sr-Cyrl-RS"/>
        </w:rPr>
        <w:t xml:space="preserve">подсистемима </w:t>
      </w:r>
      <w:r w:rsidR="000473AA" w:rsidRPr="0081082A">
        <w:rPr>
          <w:rFonts w:ascii="Times New Roman" w:hAnsi="Times New Roman"/>
          <w:sz w:val="24"/>
          <w:lang w:val="sr-Cyrl-RS"/>
        </w:rPr>
        <w:t>УЈФ, као и мапа пута за реализацију реформских корака који су постављени као кључни циљеви Владе.</w:t>
      </w:r>
      <w:r w:rsidR="000473AA" w:rsidRPr="0081082A">
        <w:rPr>
          <w:rFonts w:ascii="Times New Roman" w:eastAsia="Calibri" w:hAnsi="Times New Roman" w:cs="Times New Roman"/>
          <w:sz w:val="24"/>
          <w:szCs w:val="24"/>
          <w:lang w:val="sr-Cyrl-RS"/>
        </w:rPr>
        <w:t xml:space="preserve"> Пре усвајања и реализације </w:t>
      </w:r>
      <w:r w:rsidR="00C53A7C" w:rsidRPr="0081082A">
        <w:rPr>
          <w:rFonts w:ascii="Times New Roman" w:eastAsia="Calibri" w:hAnsi="Times New Roman" w:cs="Times New Roman"/>
          <w:sz w:val="24"/>
          <w:szCs w:val="24"/>
          <w:lang w:val="sr-Cyrl-RS"/>
        </w:rPr>
        <w:t xml:space="preserve">првог </w:t>
      </w:r>
      <w:r w:rsidR="00354D77" w:rsidRPr="0081082A">
        <w:rPr>
          <w:rFonts w:ascii="Times New Roman" w:eastAsia="Calibri" w:hAnsi="Times New Roman" w:cs="Times New Roman"/>
          <w:sz w:val="24"/>
          <w:szCs w:val="24"/>
          <w:lang w:val="sr-Cyrl-RS"/>
        </w:rPr>
        <w:t>ПРУЈФ</w:t>
      </w:r>
      <w:r w:rsidR="007B096F" w:rsidRPr="0081082A">
        <w:rPr>
          <w:rFonts w:ascii="Times New Roman" w:eastAsia="Calibri" w:hAnsi="Times New Roman" w:cs="Times New Roman"/>
          <w:sz w:val="24"/>
          <w:szCs w:val="24"/>
          <w:lang w:val="sr-Cyrl-RS"/>
        </w:rPr>
        <w:t>,</w:t>
      </w:r>
      <w:r w:rsidR="000473AA" w:rsidRPr="0081082A">
        <w:rPr>
          <w:rFonts w:ascii="Times New Roman" w:eastAsia="Calibri" w:hAnsi="Times New Roman" w:cs="Times New Roman"/>
          <w:sz w:val="24"/>
          <w:szCs w:val="24"/>
          <w:lang w:val="sr-Cyrl-RS"/>
        </w:rPr>
        <w:t xml:space="preserve"> улагани су напори у </w:t>
      </w:r>
      <w:r w:rsidRPr="0081082A">
        <w:rPr>
          <w:rFonts w:ascii="Times New Roman" w:hAnsi="Times New Roman"/>
          <w:sz w:val="24"/>
          <w:lang w:val="sr-Cyrl-RS"/>
        </w:rPr>
        <w:t xml:space="preserve">реформисање </w:t>
      </w:r>
      <w:r w:rsidR="002C50C8" w:rsidRPr="0081082A">
        <w:rPr>
          <w:rFonts w:ascii="Times New Roman" w:eastAsia="Calibri" w:hAnsi="Times New Roman" w:cs="Times New Roman"/>
          <w:sz w:val="24"/>
          <w:szCs w:val="24"/>
          <w:lang w:val="sr-Cyrl-RS"/>
        </w:rPr>
        <w:t xml:space="preserve">појединих </w:t>
      </w:r>
      <w:r w:rsidR="007B096F" w:rsidRPr="0081082A">
        <w:rPr>
          <w:rFonts w:ascii="Times New Roman" w:eastAsia="Calibri" w:hAnsi="Times New Roman" w:cs="Times New Roman"/>
          <w:sz w:val="24"/>
          <w:szCs w:val="24"/>
          <w:lang w:val="sr-Cyrl-RS"/>
        </w:rPr>
        <w:t>под</w:t>
      </w:r>
      <w:r w:rsidRPr="0081082A">
        <w:rPr>
          <w:rFonts w:ascii="Times New Roman" w:hAnsi="Times New Roman"/>
          <w:sz w:val="24"/>
          <w:lang w:val="sr-Cyrl-RS"/>
        </w:rPr>
        <w:t>система</w:t>
      </w:r>
      <w:r w:rsidR="00C407C0" w:rsidRPr="0081082A">
        <w:rPr>
          <w:rFonts w:ascii="Times New Roman" w:eastAsia="Calibri" w:hAnsi="Times New Roman" w:cs="Times New Roman"/>
          <w:sz w:val="24"/>
          <w:szCs w:val="24"/>
          <w:lang w:val="sr-Cyrl-RS"/>
        </w:rPr>
        <w:t xml:space="preserve"> </w:t>
      </w:r>
      <w:r w:rsidR="002C50C8" w:rsidRPr="0081082A">
        <w:rPr>
          <w:rFonts w:ascii="Times New Roman" w:eastAsia="Calibri" w:hAnsi="Times New Roman" w:cs="Times New Roman"/>
          <w:sz w:val="24"/>
          <w:szCs w:val="24"/>
          <w:lang w:val="sr-Cyrl-RS"/>
        </w:rPr>
        <w:t>УЈФ. Ово</w:t>
      </w:r>
      <w:r w:rsidR="000473AA" w:rsidRPr="0081082A">
        <w:rPr>
          <w:rFonts w:ascii="Times New Roman" w:eastAsia="Calibri" w:hAnsi="Times New Roman" w:cs="Times New Roman"/>
          <w:sz w:val="24"/>
          <w:szCs w:val="24"/>
          <w:lang w:val="sr-Cyrl-RS"/>
        </w:rPr>
        <w:t xml:space="preserve"> је </w:t>
      </w:r>
      <w:r w:rsidR="000473AA" w:rsidRPr="0081082A">
        <w:rPr>
          <w:rFonts w:ascii="Times New Roman" w:hAnsi="Times New Roman"/>
          <w:sz w:val="24"/>
          <w:lang w:val="sr-Cyrl-RS"/>
        </w:rPr>
        <w:t xml:space="preserve">довело </w:t>
      </w:r>
      <w:r w:rsidRPr="0081082A">
        <w:rPr>
          <w:rFonts w:ascii="Times New Roman" w:hAnsi="Times New Roman"/>
          <w:sz w:val="24"/>
          <w:lang w:val="sr-Cyrl-RS"/>
        </w:rPr>
        <w:t xml:space="preserve">до неуједначености у </w:t>
      </w:r>
      <w:r w:rsidR="007B096F" w:rsidRPr="0081082A">
        <w:rPr>
          <w:rFonts w:ascii="Times New Roman" w:hAnsi="Times New Roman"/>
          <w:sz w:val="24"/>
          <w:lang w:val="sr-Cyrl-RS"/>
        </w:rPr>
        <w:t>некима од њих,</w:t>
      </w:r>
      <w:r w:rsidRPr="0081082A">
        <w:rPr>
          <w:rFonts w:ascii="Times New Roman" w:hAnsi="Times New Roman"/>
          <w:sz w:val="24"/>
          <w:lang w:val="sr-Cyrl-RS"/>
        </w:rPr>
        <w:t xml:space="preserve"> те је постало јасно да је неопходно креирати један свеобухватни оквир који би служио као смерница реформама</w:t>
      </w:r>
      <w:r w:rsidR="00C53A7C" w:rsidRPr="0081082A">
        <w:rPr>
          <w:rFonts w:ascii="Times New Roman" w:hAnsi="Times New Roman"/>
          <w:sz w:val="24"/>
          <w:lang w:val="sr-Cyrl-RS"/>
        </w:rPr>
        <w:t>, ускладио њихов редослед</w:t>
      </w:r>
      <w:r w:rsidRPr="0081082A">
        <w:rPr>
          <w:rFonts w:ascii="Times New Roman" w:hAnsi="Times New Roman"/>
          <w:sz w:val="24"/>
          <w:lang w:val="sr-Cyrl-RS"/>
        </w:rPr>
        <w:t xml:space="preserve"> и идентификовао све недостатке у кључним </w:t>
      </w:r>
      <w:r w:rsidR="007B096F" w:rsidRPr="0081082A">
        <w:rPr>
          <w:rFonts w:ascii="Times New Roman" w:hAnsi="Times New Roman"/>
          <w:sz w:val="24"/>
          <w:lang w:val="sr-Cyrl-RS"/>
        </w:rPr>
        <w:t>под</w:t>
      </w:r>
      <w:r w:rsidRPr="0081082A">
        <w:rPr>
          <w:rFonts w:ascii="Times New Roman" w:hAnsi="Times New Roman"/>
          <w:sz w:val="24"/>
          <w:lang w:val="sr-Cyrl-RS"/>
        </w:rPr>
        <w:t>систем</w:t>
      </w:r>
      <w:r w:rsidR="007B096F" w:rsidRPr="0081082A">
        <w:rPr>
          <w:rFonts w:ascii="Times New Roman" w:hAnsi="Times New Roman"/>
          <w:sz w:val="24"/>
          <w:lang w:val="sr-Cyrl-RS"/>
        </w:rPr>
        <w:t>им</w:t>
      </w:r>
      <w:r w:rsidRPr="0081082A">
        <w:rPr>
          <w:rFonts w:ascii="Times New Roman" w:hAnsi="Times New Roman"/>
          <w:sz w:val="24"/>
          <w:lang w:val="sr-Cyrl-RS"/>
        </w:rPr>
        <w:t xml:space="preserve">а УЈФ, </w:t>
      </w:r>
      <w:r w:rsidR="002C50C8" w:rsidRPr="0081082A">
        <w:rPr>
          <w:rFonts w:ascii="Times New Roman" w:eastAsia="Calibri" w:hAnsi="Times New Roman" w:cs="Times New Roman"/>
          <w:sz w:val="24"/>
          <w:szCs w:val="24"/>
          <w:lang w:val="sr-Cyrl-RS"/>
        </w:rPr>
        <w:t>уз јачање његовог институционалног</w:t>
      </w:r>
      <w:r w:rsidRPr="0081082A">
        <w:rPr>
          <w:rFonts w:ascii="Times New Roman" w:hAnsi="Times New Roman"/>
          <w:sz w:val="24"/>
          <w:lang w:val="sr-Cyrl-RS"/>
        </w:rPr>
        <w:t xml:space="preserve"> и </w:t>
      </w:r>
      <w:r w:rsidR="002C50C8" w:rsidRPr="0081082A">
        <w:rPr>
          <w:rFonts w:ascii="Times New Roman" w:eastAsia="Calibri" w:hAnsi="Times New Roman" w:cs="Times New Roman"/>
          <w:sz w:val="24"/>
          <w:szCs w:val="24"/>
          <w:lang w:val="sr-Cyrl-RS"/>
        </w:rPr>
        <w:t>правног оквира</w:t>
      </w:r>
      <w:r w:rsidRPr="0081082A">
        <w:rPr>
          <w:rFonts w:ascii="Times New Roman" w:hAnsi="Times New Roman"/>
          <w:sz w:val="24"/>
          <w:lang w:val="sr-Cyrl-RS"/>
        </w:rPr>
        <w:t xml:space="preserve"> у складу са међународним стандардима</w:t>
      </w:r>
      <w:r w:rsidR="00C53A7C" w:rsidRPr="0081082A">
        <w:rPr>
          <w:rFonts w:ascii="Times New Roman" w:hAnsi="Times New Roman"/>
          <w:sz w:val="24"/>
          <w:lang w:val="sr-Cyrl-RS"/>
        </w:rPr>
        <w:t xml:space="preserve"> и обавезама из процеса ЕУ интеграција</w:t>
      </w:r>
      <w:r w:rsidRPr="0081082A">
        <w:rPr>
          <w:rFonts w:ascii="Times New Roman" w:hAnsi="Times New Roman"/>
          <w:sz w:val="24"/>
          <w:lang w:val="sr-Cyrl-RS"/>
        </w:rPr>
        <w:t xml:space="preserve">. </w:t>
      </w:r>
    </w:p>
    <w:p w:rsidR="000473AA" w:rsidRPr="0081082A" w:rsidRDefault="000473AA" w:rsidP="004A0DE4">
      <w:pPr>
        <w:spacing w:after="0" w:line="240" w:lineRule="auto"/>
        <w:ind w:firstLine="706"/>
        <w:jc w:val="both"/>
        <w:rPr>
          <w:rFonts w:ascii="Times New Roman" w:hAnsi="Times New Roman"/>
          <w:sz w:val="24"/>
          <w:lang w:val="sr-Cyrl-RS"/>
        </w:rPr>
      </w:pPr>
      <w:r w:rsidRPr="0081082A">
        <w:rPr>
          <w:rFonts w:ascii="Times New Roman" w:eastAsia="Calibri" w:hAnsi="Times New Roman" w:cs="Times New Roman"/>
          <w:sz w:val="24"/>
          <w:szCs w:val="24"/>
          <w:lang w:val="sr-Cyrl-RS"/>
        </w:rPr>
        <w:t xml:space="preserve">Програм који је </w:t>
      </w:r>
      <w:r w:rsidR="00C407C0" w:rsidRPr="0081082A">
        <w:rPr>
          <w:rFonts w:ascii="Times New Roman" w:eastAsia="Calibri" w:hAnsi="Times New Roman" w:cs="Times New Roman"/>
          <w:sz w:val="24"/>
          <w:szCs w:val="24"/>
          <w:lang w:val="sr-Cyrl-RS"/>
        </w:rPr>
        <w:t>усвојен</w:t>
      </w:r>
      <w:r w:rsidRPr="0081082A">
        <w:rPr>
          <w:rFonts w:ascii="Times New Roman" w:eastAsia="Calibri" w:hAnsi="Times New Roman" w:cs="Times New Roman"/>
          <w:sz w:val="24"/>
          <w:szCs w:val="24"/>
          <w:lang w:val="sr-Cyrl-RS"/>
        </w:rPr>
        <w:t xml:space="preserve"> за период 2015-2020</w:t>
      </w:r>
      <w:r w:rsidR="00966FAA" w:rsidRPr="0081082A">
        <w:rPr>
          <w:rFonts w:ascii="Times New Roman" w:eastAsia="Calibri" w:hAnsi="Times New Roman" w:cs="Times New Roman"/>
          <w:sz w:val="24"/>
          <w:szCs w:val="24"/>
          <w:lang w:val="sr-Cyrl-RS"/>
        </w:rPr>
        <w:t>. године</w:t>
      </w:r>
      <w:r w:rsidRPr="0081082A">
        <w:rPr>
          <w:rFonts w:ascii="Times New Roman" w:eastAsia="Calibri" w:hAnsi="Times New Roman" w:cs="Times New Roman"/>
          <w:sz w:val="24"/>
          <w:szCs w:val="24"/>
          <w:lang w:val="sr-Cyrl-RS"/>
        </w:rPr>
        <w:t xml:space="preserve"> </w:t>
      </w:r>
      <w:r w:rsidR="002C50C8" w:rsidRPr="0081082A">
        <w:rPr>
          <w:rFonts w:ascii="Times New Roman" w:eastAsia="Calibri" w:hAnsi="Times New Roman" w:cs="Times New Roman"/>
          <w:sz w:val="24"/>
          <w:szCs w:val="24"/>
          <w:lang w:val="sr-Cyrl-RS"/>
        </w:rPr>
        <w:t xml:space="preserve">ревидиран </w:t>
      </w:r>
      <w:r w:rsidRPr="0081082A">
        <w:rPr>
          <w:rFonts w:ascii="Times New Roman" w:eastAsia="Calibri" w:hAnsi="Times New Roman" w:cs="Times New Roman"/>
          <w:sz w:val="24"/>
          <w:szCs w:val="24"/>
          <w:lang w:val="sr-Cyrl-RS"/>
        </w:rPr>
        <w:t>је</w:t>
      </w:r>
      <w:r w:rsidRPr="0081082A">
        <w:rPr>
          <w:rFonts w:ascii="Times New Roman" w:hAnsi="Times New Roman"/>
          <w:sz w:val="24"/>
          <w:lang w:val="sr-Cyrl-RS"/>
        </w:rPr>
        <w:t xml:space="preserve"> након три године од почетка реализације</w:t>
      </w:r>
      <w:r w:rsidR="007B096F" w:rsidRPr="0081082A">
        <w:rPr>
          <w:rFonts w:ascii="Times New Roman" w:hAnsi="Times New Roman"/>
          <w:sz w:val="24"/>
          <w:lang w:val="sr-Cyrl-RS"/>
        </w:rPr>
        <w:t>,</w:t>
      </w:r>
      <w:r w:rsidRPr="0081082A">
        <w:rPr>
          <w:rFonts w:ascii="Times New Roman" w:hAnsi="Times New Roman"/>
          <w:sz w:val="24"/>
          <w:lang w:val="sr-Cyrl-RS"/>
        </w:rPr>
        <w:t xml:space="preserve"> за период од јулa 2019. до децембра 2020. године, с обзиром </w:t>
      </w:r>
      <w:r w:rsidR="002C50C8" w:rsidRPr="0081082A">
        <w:rPr>
          <w:rFonts w:ascii="Times New Roman" w:eastAsia="Calibri" w:hAnsi="Times New Roman" w:cs="Times New Roman"/>
          <w:sz w:val="24"/>
          <w:szCs w:val="24"/>
          <w:lang w:val="sr-Cyrl-RS"/>
        </w:rPr>
        <w:t xml:space="preserve">на то </w:t>
      </w:r>
      <w:r w:rsidRPr="0081082A">
        <w:rPr>
          <w:rFonts w:ascii="Times New Roman" w:hAnsi="Times New Roman"/>
          <w:sz w:val="24"/>
          <w:lang w:val="sr-Cyrl-RS"/>
        </w:rPr>
        <w:t>да</w:t>
      </w:r>
      <w:r w:rsidR="00C407C0" w:rsidRPr="0081082A">
        <w:rPr>
          <w:rFonts w:ascii="Times New Roman" w:hAnsi="Times New Roman"/>
          <w:sz w:val="24"/>
          <w:lang w:val="sr-Cyrl-RS"/>
        </w:rPr>
        <w:t xml:space="preserve"> су у току реализације чланови </w:t>
      </w:r>
      <w:r w:rsidR="00C407C0" w:rsidRPr="0081082A">
        <w:rPr>
          <w:rFonts w:ascii="Times New Roman" w:eastAsia="Calibri" w:hAnsi="Times New Roman" w:cs="Times New Roman"/>
          <w:sz w:val="24"/>
          <w:szCs w:val="24"/>
          <w:lang w:val="sr-Cyrl-RS"/>
        </w:rPr>
        <w:t>Р</w:t>
      </w:r>
      <w:r w:rsidRPr="0081082A">
        <w:rPr>
          <w:rFonts w:ascii="Times New Roman" w:hAnsi="Times New Roman"/>
          <w:sz w:val="24"/>
          <w:lang w:val="sr-Cyrl-RS"/>
        </w:rPr>
        <w:t>адне групе</w:t>
      </w:r>
      <w:r w:rsidR="005158D4" w:rsidRPr="0081082A">
        <w:rPr>
          <w:rFonts w:ascii="Times New Roman" w:eastAsia="Calibri" w:hAnsi="Times New Roman" w:cs="Times New Roman"/>
          <w:sz w:val="24"/>
          <w:szCs w:val="24"/>
          <w:lang w:val="sr-Cyrl-RS"/>
        </w:rPr>
        <w:t xml:space="preserve"> </w:t>
      </w:r>
      <w:r w:rsidR="005158D4" w:rsidRPr="0081082A">
        <w:rPr>
          <w:rFonts w:ascii="Times New Roman" w:hAnsi="Times New Roman"/>
          <w:sz w:val="24"/>
          <w:lang w:val="sr-Cyrl-RS"/>
        </w:rPr>
        <w:t xml:space="preserve">за израду, праћење и извештавање о спровођењу Програма реформе управљања јавним финансијама (у даљем тексту: Радна група </w:t>
      </w:r>
      <w:r w:rsidR="000B309B" w:rsidRPr="0081082A">
        <w:rPr>
          <w:rFonts w:ascii="Times New Roman" w:hAnsi="Times New Roman"/>
          <w:sz w:val="24"/>
          <w:lang w:val="sr-Cyrl-RS"/>
        </w:rPr>
        <w:t>ПРУЈФ</w:t>
      </w:r>
      <w:r w:rsidR="005158D4" w:rsidRPr="0081082A">
        <w:rPr>
          <w:rFonts w:ascii="Times New Roman" w:hAnsi="Times New Roman"/>
          <w:sz w:val="24"/>
          <w:lang w:val="sr-Cyrl-RS"/>
        </w:rPr>
        <w:t xml:space="preserve">) и Техничког секретаријата </w:t>
      </w:r>
      <w:r w:rsidR="000B309B" w:rsidRPr="0081082A">
        <w:rPr>
          <w:rFonts w:ascii="Times New Roman" w:hAnsi="Times New Roman"/>
          <w:sz w:val="24"/>
          <w:lang w:val="sr-Cyrl-RS"/>
        </w:rPr>
        <w:t>ПРУЈФ</w:t>
      </w:r>
      <w:r w:rsidR="005158D4" w:rsidRPr="0081082A">
        <w:rPr>
          <w:rFonts w:ascii="Times New Roman" w:eastAsia="Calibri" w:hAnsi="Times New Roman" w:cs="Times New Roman"/>
          <w:sz w:val="24"/>
          <w:szCs w:val="24"/>
          <w:lang w:val="sr-Cyrl-RS"/>
        </w:rPr>
        <w:t xml:space="preserve">, </w:t>
      </w:r>
      <w:r w:rsidR="00C407C0" w:rsidRPr="0081082A">
        <w:rPr>
          <w:rFonts w:ascii="Times New Roman" w:eastAsia="Calibri" w:hAnsi="Times New Roman" w:cs="Times New Roman"/>
          <w:sz w:val="24"/>
          <w:szCs w:val="24"/>
          <w:lang w:val="sr-Cyrl-RS"/>
        </w:rPr>
        <w:t>уз сагласност Европске комисије</w:t>
      </w:r>
      <w:r w:rsidR="000B309B" w:rsidRPr="0081082A">
        <w:rPr>
          <w:rFonts w:ascii="Times New Roman" w:eastAsia="Calibri" w:hAnsi="Times New Roman" w:cs="Times New Roman"/>
          <w:sz w:val="24"/>
          <w:szCs w:val="24"/>
          <w:lang w:val="sr-Cyrl-RS"/>
        </w:rPr>
        <w:t xml:space="preserve"> (у даљем тексту: ЕК)</w:t>
      </w:r>
      <w:r w:rsidR="00C407C0" w:rsidRPr="0081082A">
        <w:rPr>
          <w:rFonts w:ascii="Times New Roman" w:eastAsia="Calibri" w:hAnsi="Times New Roman" w:cs="Times New Roman"/>
          <w:sz w:val="24"/>
          <w:szCs w:val="24"/>
          <w:lang w:val="sr-Cyrl-RS"/>
        </w:rPr>
        <w:t xml:space="preserve"> као кључног партнера у спровођењу реформе</w:t>
      </w:r>
      <w:r w:rsidR="002C50C8" w:rsidRPr="0081082A">
        <w:rPr>
          <w:rFonts w:ascii="Times New Roman" w:eastAsia="Calibri" w:hAnsi="Times New Roman" w:cs="Times New Roman"/>
          <w:sz w:val="24"/>
          <w:szCs w:val="24"/>
          <w:lang w:val="sr-Cyrl-RS"/>
        </w:rPr>
        <w:t xml:space="preserve"> УЈФ,</w:t>
      </w:r>
      <w:r w:rsidR="00C407C0" w:rsidRPr="0081082A">
        <w:rPr>
          <w:rFonts w:ascii="Times New Roman" w:eastAsia="Calibri" w:hAnsi="Times New Roman" w:cs="Times New Roman"/>
          <w:sz w:val="24"/>
          <w:szCs w:val="24"/>
          <w:lang w:val="sr-Cyrl-RS"/>
        </w:rPr>
        <w:t xml:space="preserve"> дошли до закључка да је неопходно </w:t>
      </w:r>
      <w:r w:rsidR="00531A6E" w:rsidRPr="0081082A">
        <w:rPr>
          <w:rFonts w:ascii="Times New Roman" w:eastAsia="Calibri" w:hAnsi="Times New Roman" w:cs="Times New Roman"/>
          <w:sz w:val="24"/>
          <w:szCs w:val="24"/>
          <w:lang w:val="sr-Cyrl-RS"/>
        </w:rPr>
        <w:t xml:space="preserve">додатно унапредити и </w:t>
      </w:r>
      <w:r w:rsidR="00C407C0" w:rsidRPr="0081082A">
        <w:rPr>
          <w:rFonts w:ascii="Times New Roman" w:eastAsia="Calibri" w:hAnsi="Times New Roman" w:cs="Times New Roman"/>
          <w:sz w:val="24"/>
          <w:szCs w:val="24"/>
          <w:lang w:val="sr-Cyrl-RS"/>
        </w:rPr>
        <w:t>дефинисати механизме за праћење напретка појединачних мера</w:t>
      </w:r>
      <w:r w:rsidR="006069E9" w:rsidRPr="0081082A">
        <w:rPr>
          <w:rFonts w:ascii="Times New Roman" w:eastAsia="Calibri" w:hAnsi="Times New Roman" w:cs="Times New Roman"/>
          <w:sz w:val="24"/>
          <w:szCs w:val="24"/>
          <w:lang w:val="sr-Cyrl-RS"/>
        </w:rPr>
        <w:t>,</w:t>
      </w:r>
      <w:r w:rsidR="00C407C0" w:rsidRPr="0081082A">
        <w:rPr>
          <w:rFonts w:ascii="Times New Roman" w:eastAsia="Calibri" w:hAnsi="Times New Roman" w:cs="Times New Roman"/>
          <w:sz w:val="24"/>
          <w:szCs w:val="24"/>
          <w:lang w:val="sr-Cyrl-RS"/>
        </w:rPr>
        <w:t xml:space="preserve"> као и саме мере. </w:t>
      </w:r>
    </w:p>
    <w:p w:rsidR="00890BB4" w:rsidRPr="0081082A" w:rsidRDefault="000473AA" w:rsidP="004A0DE4">
      <w:pPr>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Крајем 2019. године, у оквиру почетка припреме нове кровне Стратегије реформе јавне управе</w:t>
      </w:r>
      <w:r w:rsidR="00531A6E" w:rsidRPr="0081082A">
        <w:rPr>
          <w:rFonts w:ascii="Times New Roman" w:hAnsi="Times New Roman"/>
          <w:sz w:val="24"/>
          <w:lang w:val="sr-Cyrl-RS"/>
        </w:rPr>
        <w:t xml:space="preserve"> 2021-2030</w:t>
      </w:r>
      <w:r w:rsidRPr="0081082A">
        <w:rPr>
          <w:rFonts w:ascii="Times New Roman" w:hAnsi="Times New Roman"/>
          <w:sz w:val="24"/>
          <w:lang w:val="sr-Cyrl-RS"/>
        </w:rPr>
        <w:t>, започет је и процес припреме новог Програма реформе управљања јавним финансијама за период 2021-2025. Прва фаза подразумевала је, у складу са Законом о планском систему</w:t>
      </w:r>
      <w:r w:rsidR="002C50C8" w:rsidRPr="0081082A">
        <w:rPr>
          <w:rFonts w:ascii="Times New Roman" w:eastAsia="Calibri" w:hAnsi="Times New Roman" w:cs="Times New Roman"/>
          <w:sz w:val="24"/>
          <w:szCs w:val="24"/>
          <w:lang w:val="sr-Cyrl-RS"/>
        </w:rPr>
        <w:t xml:space="preserve"> Републике Србије</w:t>
      </w:r>
      <w:r w:rsidR="002A61BC" w:rsidRPr="0081082A">
        <w:rPr>
          <w:rFonts w:ascii="Times New Roman" w:eastAsia="Calibri" w:hAnsi="Times New Roman" w:cs="Times New Roman"/>
          <w:sz w:val="24"/>
          <w:szCs w:val="24"/>
          <w:lang w:val="sr-Cyrl-RS"/>
        </w:rPr>
        <w:t xml:space="preserve"> („Службени гласник РС</w:t>
      </w:r>
      <w:r w:rsidR="007E728E" w:rsidRPr="0081082A">
        <w:rPr>
          <w:rFonts w:ascii="Times New Roman" w:eastAsia="Calibri" w:hAnsi="Times New Roman" w:cs="Times New Roman"/>
          <w:sz w:val="24"/>
          <w:szCs w:val="24"/>
          <w:lang w:val="sr-Cyrl-RS"/>
        </w:rPr>
        <w:t>”</w:t>
      </w:r>
      <w:r w:rsidR="002A61BC" w:rsidRPr="0081082A">
        <w:rPr>
          <w:rFonts w:ascii="Times New Roman" w:eastAsia="Calibri" w:hAnsi="Times New Roman" w:cs="Times New Roman"/>
          <w:sz w:val="24"/>
          <w:szCs w:val="24"/>
          <w:lang w:val="sr-Cyrl-RS"/>
        </w:rPr>
        <w:t>, број 30/18)</w:t>
      </w:r>
      <w:r w:rsidRPr="0081082A">
        <w:rPr>
          <w:rFonts w:ascii="Times New Roman" w:hAnsi="Times New Roman"/>
          <w:sz w:val="24"/>
          <w:lang w:val="sr-Cyrl-RS"/>
        </w:rPr>
        <w:t xml:space="preserve">, анализу тренутног стања у </w:t>
      </w:r>
      <w:r w:rsidR="007B096F" w:rsidRPr="0081082A">
        <w:rPr>
          <w:rFonts w:ascii="Times New Roman" w:hAnsi="Times New Roman"/>
          <w:sz w:val="24"/>
          <w:lang w:val="sr-Cyrl-RS"/>
        </w:rPr>
        <w:t xml:space="preserve">свим подсистемима </w:t>
      </w:r>
      <w:r w:rsidR="002C50C8" w:rsidRPr="0081082A">
        <w:rPr>
          <w:rFonts w:ascii="Times New Roman" w:eastAsia="Calibri" w:hAnsi="Times New Roman" w:cs="Times New Roman"/>
          <w:sz w:val="24"/>
          <w:szCs w:val="24"/>
          <w:lang w:val="sr-Cyrl-RS"/>
        </w:rPr>
        <w:t xml:space="preserve">УЈФ </w:t>
      </w:r>
      <w:r w:rsidRPr="0081082A">
        <w:rPr>
          <w:rFonts w:ascii="Times New Roman" w:hAnsi="Times New Roman"/>
          <w:sz w:val="24"/>
          <w:lang w:val="sr-Cyrl-RS"/>
        </w:rPr>
        <w:t xml:space="preserve">и формулацију општег циља новог Програма. </w:t>
      </w:r>
      <w:r w:rsidR="002C50C8" w:rsidRPr="0081082A">
        <w:rPr>
          <w:rFonts w:ascii="Times New Roman" w:eastAsia="Calibri" w:hAnsi="Times New Roman" w:cs="Times New Roman"/>
          <w:sz w:val="24"/>
          <w:szCs w:val="24"/>
          <w:lang w:val="sr-Cyrl-RS"/>
        </w:rPr>
        <w:t>Стога су околности</w:t>
      </w:r>
      <w:r w:rsidR="00C407C0" w:rsidRPr="0081082A">
        <w:rPr>
          <w:rFonts w:ascii="Times New Roman" w:eastAsia="Calibri" w:hAnsi="Times New Roman" w:cs="Times New Roman"/>
          <w:sz w:val="24"/>
          <w:szCs w:val="24"/>
          <w:lang w:val="sr-Cyrl-RS"/>
        </w:rPr>
        <w:t xml:space="preserve"> у којима је започета припрема новог Програма </w:t>
      </w:r>
      <w:r w:rsidR="002C50C8" w:rsidRPr="0081082A">
        <w:rPr>
          <w:rFonts w:ascii="Times New Roman" w:eastAsia="Calibri" w:hAnsi="Times New Roman" w:cs="Times New Roman"/>
          <w:sz w:val="24"/>
          <w:szCs w:val="24"/>
          <w:lang w:val="sr-Cyrl-RS"/>
        </w:rPr>
        <w:t>представљал</w:t>
      </w:r>
      <w:r w:rsidR="007B096F" w:rsidRPr="0081082A">
        <w:rPr>
          <w:rFonts w:ascii="Times New Roman" w:eastAsia="Calibri" w:hAnsi="Times New Roman" w:cs="Times New Roman"/>
          <w:sz w:val="24"/>
          <w:szCs w:val="24"/>
          <w:lang w:val="sr-Cyrl-RS"/>
        </w:rPr>
        <w:t>е</w:t>
      </w:r>
      <w:r w:rsidR="00C653DB" w:rsidRPr="0081082A">
        <w:rPr>
          <w:rFonts w:ascii="Times New Roman" w:eastAsia="Calibri" w:hAnsi="Times New Roman" w:cs="Times New Roman"/>
          <w:sz w:val="24"/>
          <w:szCs w:val="24"/>
          <w:lang w:val="sr-Cyrl-RS"/>
        </w:rPr>
        <w:t xml:space="preserve"> додат</w:t>
      </w:r>
      <w:r w:rsidR="006660D4" w:rsidRPr="0081082A">
        <w:rPr>
          <w:rFonts w:ascii="Times New Roman" w:eastAsia="Calibri" w:hAnsi="Times New Roman" w:cs="Times New Roman"/>
          <w:sz w:val="24"/>
          <w:szCs w:val="24"/>
          <w:lang w:val="sr-Cyrl-RS"/>
        </w:rPr>
        <w:t>ни</w:t>
      </w:r>
      <w:r w:rsidR="00C653DB" w:rsidRPr="0081082A">
        <w:rPr>
          <w:rFonts w:ascii="Times New Roman" w:eastAsia="Calibri" w:hAnsi="Times New Roman" w:cs="Times New Roman"/>
          <w:sz w:val="24"/>
          <w:szCs w:val="24"/>
          <w:lang w:val="sr-Cyrl-RS"/>
        </w:rPr>
        <w:t xml:space="preserve"> подстрек за детаљну анализу постигнутог и правилан одабир мера</w:t>
      </w:r>
      <w:r w:rsidR="005703FA" w:rsidRPr="0081082A">
        <w:rPr>
          <w:rFonts w:ascii="Times New Roman" w:eastAsia="Calibri" w:hAnsi="Times New Roman" w:cs="Times New Roman"/>
          <w:sz w:val="24"/>
          <w:szCs w:val="24"/>
          <w:lang w:val="sr-Cyrl-RS"/>
        </w:rPr>
        <w:t xml:space="preserve">, као и утврђивање њиховог временског оквира, редоследа и финансијских ефеката, које ће на прави начин </w:t>
      </w:r>
      <w:r w:rsidR="00000957" w:rsidRPr="0081082A">
        <w:rPr>
          <w:rFonts w:ascii="Times New Roman" w:eastAsia="Calibri" w:hAnsi="Times New Roman" w:cs="Times New Roman"/>
          <w:sz w:val="24"/>
          <w:szCs w:val="24"/>
          <w:lang w:val="sr-Cyrl-RS"/>
        </w:rPr>
        <w:t>додатно унапредити</w:t>
      </w:r>
      <w:r w:rsidR="006660D4" w:rsidRPr="0081082A">
        <w:rPr>
          <w:rFonts w:ascii="Times New Roman" w:eastAsia="Calibri" w:hAnsi="Times New Roman" w:cs="Times New Roman"/>
          <w:sz w:val="24"/>
          <w:szCs w:val="24"/>
          <w:lang w:val="sr-Cyrl-RS"/>
        </w:rPr>
        <w:t xml:space="preserve"> </w:t>
      </w:r>
      <w:r w:rsidR="005703FA" w:rsidRPr="0081082A">
        <w:rPr>
          <w:rFonts w:ascii="Times New Roman" w:eastAsia="Calibri" w:hAnsi="Times New Roman" w:cs="Times New Roman"/>
          <w:sz w:val="24"/>
          <w:szCs w:val="24"/>
          <w:lang w:val="sr-Cyrl-RS"/>
        </w:rPr>
        <w:t>ефикасно и делотворно управља</w:t>
      </w:r>
      <w:r w:rsidR="00000957" w:rsidRPr="0081082A">
        <w:rPr>
          <w:rFonts w:ascii="Times New Roman" w:eastAsia="Calibri" w:hAnsi="Times New Roman" w:cs="Times New Roman"/>
          <w:sz w:val="24"/>
          <w:szCs w:val="24"/>
          <w:lang w:val="sr-Cyrl-RS"/>
        </w:rPr>
        <w:t>ње јавним средствима</w:t>
      </w:r>
      <w:r w:rsidR="005703FA" w:rsidRPr="0081082A">
        <w:rPr>
          <w:rFonts w:ascii="Times New Roman" w:eastAsia="Calibri" w:hAnsi="Times New Roman" w:cs="Times New Roman"/>
          <w:sz w:val="24"/>
          <w:szCs w:val="24"/>
          <w:lang w:val="sr-Cyrl-RS"/>
        </w:rPr>
        <w:t>.</w:t>
      </w:r>
      <w:r w:rsidR="00890BB4" w:rsidRPr="0081082A">
        <w:rPr>
          <w:rFonts w:ascii="Times New Roman" w:hAnsi="Times New Roman"/>
          <w:sz w:val="24"/>
          <w:lang w:val="sr-Cyrl-RS"/>
        </w:rPr>
        <w:t xml:space="preserve"> </w:t>
      </w:r>
    </w:p>
    <w:p w:rsidR="007718D7" w:rsidRPr="0081082A" w:rsidRDefault="00471C9C" w:rsidP="004A0DE4">
      <w:pPr>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Разлог доношења новог ПРУЈФ је истицање</w:t>
      </w:r>
      <w:r w:rsidR="00CE6F45" w:rsidRPr="0081082A">
        <w:rPr>
          <w:rFonts w:ascii="Times New Roman" w:hAnsi="Times New Roman"/>
          <w:sz w:val="24"/>
          <w:lang w:val="sr-Cyrl-RS"/>
        </w:rPr>
        <w:t xml:space="preserve"> важења</w:t>
      </w:r>
      <w:r w:rsidRPr="0081082A">
        <w:rPr>
          <w:rFonts w:ascii="Times New Roman" w:hAnsi="Times New Roman"/>
          <w:sz w:val="24"/>
          <w:lang w:val="sr-Cyrl-RS"/>
        </w:rPr>
        <w:t xml:space="preserve"> претходног ПРУЈФ</w:t>
      </w:r>
      <w:r w:rsidR="00CE6F45" w:rsidRPr="0081082A">
        <w:rPr>
          <w:rFonts w:ascii="Times New Roman" w:hAnsi="Times New Roman"/>
          <w:sz w:val="24"/>
          <w:lang w:val="sr-Cyrl-RS"/>
        </w:rPr>
        <w:t xml:space="preserve"> и потреба за наставком реформи у овој области</w:t>
      </w:r>
      <w:r w:rsidRPr="0081082A">
        <w:rPr>
          <w:rFonts w:ascii="Times New Roman" w:hAnsi="Times New Roman"/>
          <w:sz w:val="24"/>
          <w:lang w:val="sr-Cyrl-RS"/>
        </w:rPr>
        <w:t xml:space="preserve">. </w:t>
      </w:r>
      <w:r w:rsidR="00890BB4" w:rsidRPr="0081082A">
        <w:rPr>
          <w:rFonts w:ascii="Times New Roman" w:hAnsi="Times New Roman"/>
          <w:sz w:val="24"/>
          <w:lang w:val="sr-Cyrl-RS"/>
        </w:rPr>
        <w:t xml:space="preserve">ПРУЈФ са пратећим Акционим планом припремила је Радна група за израду, праћење и извештавање о спровођењу </w:t>
      </w:r>
      <w:r w:rsidR="00890BB4" w:rsidRPr="0081082A">
        <w:rPr>
          <w:rFonts w:ascii="Times New Roman" w:eastAsia="Calibri" w:hAnsi="Times New Roman" w:cs="Times New Roman"/>
          <w:sz w:val="24"/>
          <w:szCs w:val="24"/>
          <w:lang w:val="sr-Cyrl-RS"/>
        </w:rPr>
        <w:t>ПРУЈФ</w:t>
      </w:r>
      <w:r w:rsidR="00890BB4" w:rsidRPr="0081082A">
        <w:rPr>
          <w:rFonts w:ascii="Times New Roman" w:hAnsi="Times New Roman"/>
          <w:sz w:val="24"/>
          <w:lang w:val="sr-Cyrl-RS"/>
        </w:rPr>
        <w:t xml:space="preserve"> 2021-2025</w:t>
      </w:r>
      <w:r w:rsidR="00966FAA" w:rsidRPr="0081082A">
        <w:rPr>
          <w:rFonts w:ascii="Times New Roman" w:hAnsi="Times New Roman"/>
          <w:sz w:val="24"/>
          <w:lang w:val="sr-Cyrl-RS"/>
        </w:rPr>
        <w:t>,</w:t>
      </w:r>
      <w:r w:rsidR="00890BB4" w:rsidRPr="0081082A">
        <w:rPr>
          <w:rFonts w:ascii="Times New Roman" w:eastAsia="Calibri" w:hAnsi="Times New Roman" w:cs="Times New Roman"/>
          <w:sz w:val="24"/>
          <w:szCs w:val="24"/>
          <w:lang w:val="sr-Cyrl-RS"/>
        </w:rPr>
        <w:t xml:space="preserve"> </w:t>
      </w:r>
      <w:r w:rsidR="00890BB4" w:rsidRPr="0081082A">
        <w:rPr>
          <w:rFonts w:ascii="Times New Roman" w:hAnsi="Times New Roman"/>
          <w:sz w:val="24"/>
          <w:lang w:val="sr-Cyrl-RS"/>
        </w:rPr>
        <w:t xml:space="preserve">коју чине представници следећих институција: Министарство финансија, Канцеларија за јавне набавке, Републички </w:t>
      </w:r>
      <w:r w:rsidR="00B56AFD" w:rsidRPr="0081082A">
        <w:rPr>
          <w:rFonts w:ascii="Times New Roman" w:hAnsi="Times New Roman"/>
          <w:sz w:val="24"/>
          <w:lang w:val="sr-Cyrl-RS"/>
        </w:rPr>
        <w:t xml:space="preserve">секретаријат </w:t>
      </w:r>
      <w:r w:rsidR="00890BB4" w:rsidRPr="0081082A">
        <w:rPr>
          <w:rFonts w:ascii="Times New Roman" w:hAnsi="Times New Roman"/>
          <w:sz w:val="24"/>
          <w:lang w:val="sr-Cyrl-RS"/>
        </w:rPr>
        <w:t xml:space="preserve">за јавне политике, Генерални секретаријат Владе, Министарство државне управе и локалне самоуправе, Служба за управљање кадровима, Министарство за европске интеграције, Канцеларија за ревизију </w:t>
      </w:r>
      <w:r w:rsidR="00890BB4" w:rsidRPr="0081082A">
        <w:rPr>
          <w:rFonts w:ascii="Times New Roman" w:hAnsi="Times New Roman"/>
          <w:sz w:val="24"/>
          <w:lang w:val="sr-Cyrl-RS"/>
        </w:rPr>
        <w:lastRenderedPageBreak/>
        <w:t>система управљања средствима Европске уније, Државна ревизорска институција</w:t>
      </w:r>
      <w:r w:rsidR="0006580D" w:rsidRPr="0081082A">
        <w:rPr>
          <w:rFonts w:ascii="Times New Roman" w:hAnsi="Times New Roman"/>
          <w:sz w:val="24"/>
          <w:lang w:val="sr-Cyrl-RS"/>
        </w:rPr>
        <w:t xml:space="preserve"> (у даљем тексту: ДРИ)</w:t>
      </w:r>
      <w:r w:rsidR="00890BB4" w:rsidRPr="0081082A">
        <w:rPr>
          <w:rFonts w:ascii="Times New Roman" w:hAnsi="Times New Roman"/>
          <w:sz w:val="24"/>
          <w:lang w:val="sr-Cyrl-RS"/>
        </w:rPr>
        <w:t xml:space="preserve">, Одбор </w:t>
      </w:r>
      <w:r w:rsidR="006660D4" w:rsidRPr="0081082A">
        <w:rPr>
          <w:rFonts w:ascii="Times New Roman" w:hAnsi="Times New Roman"/>
          <w:sz w:val="24"/>
          <w:lang w:val="sr-Cyrl-RS"/>
        </w:rPr>
        <w:t xml:space="preserve">Народне скупштине </w:t>
      </w:r>
      <w:r w:rsidR="002B333E" w:rsidRPr="0081082A">
        <w:rPr>
          <w:rFonts w:ascii="Times New Roman" w:hAnsi="Times New Roman"/>
          <w:sz w:val="24"/>
          <w:lang w:val="sr-Cyrl-RS"/>
        </w:rPr>
        <w:t>за финансије, р</w:t>
      </w:r>
      <w:r w:rsidR="00890BB4" w:rsidRPr="0081082A">
        <w:rPr>
          <w:rFonts w:ascii="Times New Roman" w:hAnsi="Times New Roman"/>
          <w:sz w:val="24"/>
          <w:lang w:val="sr-Cyrl-RS"/>
        </w:rPr>
        <w:t>епублички буџет и контролу трошења јавних средстава</w:t>
      </w:r>
      <w:r w:rsidR="009C38AD" w:rsidRPr="0081082A">
        <w:rPr>
          <w:rFonts w:ascii="Times New Roman" w:hAnsi="Times New Roman"/>
          <w:sz w:val="24"/>
          <w:lang w:val="sr-Cyrl-RS"/>
        </w:rPr>
        <w:t xml:space="preserve">, </w:t>
      </w:r>
      <w:r w:rsidR="006660D4" w:rsidRPr="0081082A">
        <w:rPr>
          <w:rFonts w:ascii="Times New Roman" w:hAnsi="Times New Roman"/>
          <w:sz w:val="24"/>
          <w:lang w:val="sr-Cyrl-RS"/>
        </w:rPr>
        <w:t xml:space="preserve">и </w:t>
      </w:r>
      <w:r w:rsidR="009C38AD" w:rsidRPr="0081082A">
        <w:rPr>
          <w:rFonts w:ascii="Times New Roman" w:hAnsi="Times New Roman"/>
          <w:sz w:val="24"/>
          <w:lang w:val="sr-Cyrl-RS"/>
        </w:rPr>
        <w:t xml:space="preserve">основана </w:t>
      </w:r>
      <w:r w:rsidR="006660D4" w:rsidRPr="0081082A">
        <w:rPr>
          <w:rFonts w:ascii="Times New Roman" w:hAnsi="Times New Roman"/>
          <w:sz w:val="24"/>
          <w:lang w:val="sr-Cyrl-RS"/>
        </w:rPr>
        <w:t xml:space="preserve">је </w:t>
      </w:r>
      <w:r w:rsidR="009C38AD" w:rsidRPr="0081082A">
        <w:rPr>
          <w:rFonts w:ascii="Times New Roman" w:hAnsi="Times New Roman"/>
          <w:sz w:val="24"/>
          <w:lang w:val="sr-Cyrl-RS"/>
        </w:rPr>
        <w:t>решењем министра финансија</w:t>
      </w:r>
      <w:r w:rsidR="00890BB4" w:rsidRPr="0081082A">
        <w:rPr>
          <w:rFonts w:ascii="Times New Roman" w:hAnsi="Times New Roman"/>
          <w:sz w:val="24"/>
          <w:lang w:val="sr-Cyrl-RS"/>
        </w:rPr>
        <w:t xml:space="preserve">. </w:t>
      </w:r>
      <w:r w:rsidR="003B1E1D" w:rsidRPr="0081082A">
        <w:rPr>
          <w:rFonts w:ascii="Times New Roman" w:hAnsi="Times New Roman"/>
          <w:sz w:val="24"/>
          <w:lang w:val="sr-Cyrl-RS"/>
        </w:rPr>
        <w:t xml:space="preserve">Утицај реализације ПРУЈФ на </w:t>
      </w:r>
      <w:r w:rsidR="00F447DA" w:rsidRPr="0081082A">
        <w:rPr>
          <w:rFonts w:ascii="Times New Roman" w:hAnsi="Times New Roman"/>
          <w:sz w:val="24"/>
          <w:lang w:val="sr-Cyrl-RS"/>
        </w:rPr>
        <w:t xml:space="preserve">реформу система управљања </w:t>
      </w:r>
      <w:r w:rsidR="003B1E1D" w:rsidRPr="0081082A">
        <w:rPr>
          <w:rFonts w:ascii="Times New Roman" w:hAnsi="Times New Roman"/>
          <w:sz w:val="24"/>
          <w:lang w:val="sr-Cyrl-RS"/>
        </w:rPr>
        <w:t>јавни</w:t>
      </w:r>
      <w:r w:rsidR="00F447DA" w:rsidRPr="0081082A">
        <w:rPr>
          <w:rFonts w:ascii="Times New Roman" w:hAnsi="Times New Roman"/>
          <w:sz w:val="24"/>
          <w:lang w:val="sr-Cyrl-RS"/>
        </w:rPr>
        <w:t>м</w:t>
      </w:r>
      <w:r w:rsidR="003B1E1D" w:rsidRPr="0081082A">
        <w:rPr>
          <w:rFonts w:ascii="Times New Roman" w:hAnsi="Times New Roman"/>
          <w:sz w:val="24"/>
          <w:lang w:val="sr-Cyrl-RS"/>
        </w:rPr>
        <w:t xml:space="preserve"> финансија</w:t>
      </w:r>
      <w:r w:rsidR="00F447DA" w:rsidRPr="0081082A">
        <w:rPr>
          <w:rFonts w:ascii="Times New Roman" w:hAnsi="Times New Roman"/>
          <w:sz w:val="24"/>
          <w:lang w:val="sr-Cyrl-RS"/>
        </w:rPr>
        <w:t>ма</w:t>
      </w:r>
      <w:r w:rsidR="003B1E1D" w:rsidRPr="0081082A">
        <w:rPr>
          <w:rFonts w:ascii="Times New Roman" w:hAnsi="Times New Roman"/>
          <w:sz w:val="24"/>
          <w:lang w:val="sr-Cyrl-RS"/>
        </w:rPr>
        <w:t xml:space="preserve"> у Републици Србији има знатно шири утицај од самог унапређења рада</w:t>
      </w:r>
      <w:r w:rsidR="00D867A4" w:rsidRPr="0081082A">
        <w:rPr>
          <w:rFonts w:ascii="Times New Roman" w:hAnsi="Times New Roman"/>
          <w:sz w:val="24"/>
          <w:lang w:val="sr-Cyrl-RS"/>
        </w:rPr>
        <w:t xml:space="preserve"> и капацитета</w:t>
      </w:r>
      <w:r w:rsidR="003B1E1D" w:rsidRPr="0081082A">
        <w:rPr>
          <w:rFonts w:ascii="Times New Roman" w:hAnsi="Times New Roman"/>
          <w:sz w:val="24"/>
          <w:lang w:val="sr-Cyrl-RS"/>
        </w:rPr>
        <w:t xml:space="preserve"> институција носилаца реформских процеса и представља значајни допринос унапређењу </w:t>
      </w:r>
      <w:r w:rsidR="009C38AD" w:rsidRPr="0081082A">
        <w:rPr>
          <w:rFonts w:ascii="Times New Roman" w:hAnsi="Times New Roman"/>
          <w:sz w:val="24"/>
          <w:lang w:val="sr-Cyrl-RS"/>
        </w:rPr>
        <w:t xml:space="preserve">квалитета </w:t>
      </w:r>
      <w:r w:rsidR="003B1E1D" w:rsidRPr="0081082A">
        <w:rPr>
          <w:rFonts w:ascii="Times New Roman" w:hAnsi="Times New Roman"/>
          <w:sz w:val="24"/>
          <w:lang w:val="sr-Cyrl-RS"/>
        </w:rPr>
        <w:t>јавне управе.</w:t>
      </w:r>
      <w:r w:rsidR="009A0BC7" w:rsidRPr="0081082A">
        <w:rPr>
          <w:rFonts w:ascii="Times New Roman" w:hAnsi="Times New Roman"/>
          <w:sz w:val="24"/>
          <w:lang w:val="sr-Cyrl-RS"/>
        </w:rPr>
        <w:t xml:space="preserve"> </w:t>
      </w:r>
      <w:r w:rsidR="007718D7" w:rsidRPr="0081082A">
        <w:rPr>
          <w:rFonts w:ascii="Times New Roman" w:hAnsi="Times New Roman"/>
          <w:sz w:val="24"/>
          <w:lang w:val="sr-Cyrl-RS"/>
        </w:rPr>
        <w:t xml:space="preserve">У светлу глобалне пандемије </w:t>
      </w:r>
      <w:r w:rsidR="009A0BC7" w:rsidRPr="0081082A">
        <w:rPr>
          <w:rFonts w:ascii="Times New Roman" w:hAnsi="Times New Roman"/>
          <w:sz w:val="24"/>
          <w:lang w:val="sr-Cyrl-RS"/>
        </w:rPr>
        <w:t xml:space="preserve">болести </w:t>
      </w:r>
      <w:r w:rsidR="00191D99">
        <w:rPr>
          <w:rFonts w:ascii="Times New Roman" w:eastAsia="Calibri" w:hAnsi="Times New Roman" w:cs="Times New Roman"/>
          <w:sz w:val="24"/>
          <w:szCs w:val="24"/>
          <w:lang w:val="sr-Cyrl-RS"/>
        </w:rPr>
        <w:t>Ковид</w:t>
      </w:r>
      <w:r w:rsidR="00662B88" w:rsidRPr="0081082A">
        <w:rPr>
          <w:rFonts w:ascii="Times New Roman" w:eastAsia="Calibri" w:hAnsi="Times New Roman" w:cs="Times New Roman"/>
          <w:sz w:val="24"/>
          <w:szCs w:val="24"/>
          <w:lang w:val="sr-Cyrl-RS"/>
        </w:rPr>
        <w:t>-19</w:t>
      </w:r>
      <w:r w:rsidR="007718D7" w:rsidRPr="0081082A">
        <w:rPr>
          <w:rFonts w:ascii="Times New Roman" w:hAnsi="Times New Roman"/>
          <w:sz w:val="24"/>
          <w:lang w:val="sr-Cyrl-RS"/>
        </w:rPr>
        <w:t xml:space="preserve">, 2020. година представљала је годину пуну изазова, не само у области здравства већ и економије, због чега је проузроковала велики притисак на јавне финансије. Из овог разлога, државама је више него </w:t>
      </w:r>
      <w:r w:rsidR="007718D7" w:rsidRPr="0081082A">
        <w:rPr>
          <w:rFonts w:ascii="Times New Roman" w:eastAsia="Calibri" w:hAnsi="Times New Roman" w:cs="Times New Roman"/>
          <w:sz w:val="24"/>
          <w:szCs w:val="24"/>
          <w:lang w:val="sr-Cyrl-RS"/>
        </w:rPr>
        <w:t>икада</w:t>
      </w:r>
      <w:r w:rsidR="007718D7" w:rsidRPr="0081082A">
        <w:rPr>
          <w:rFonts w:ascii="Times New Roman" w:hAnsi="Times New Roman"/>
          <w:sz w:val="24"/>
          <w:lang w:val="sr-Cyrl-RS"/>
        </w:rPr>
        <w:t xml:space="preserve"> неопходно да обезбеде стабилан систем јавних финансија, који ће омогућити да се умање негативни ефекти проузроковани пандемијом, и пружи неопходна помоћ привреди и грађанима.</w:t>
      </w:r>
      <w:r w:rsidR="004A0DE4" w:rsidRPr="0081082A">
        <w:rPr>
          <w:rFonts w:ascii="Times New Roman" w:hAnsi="Times New Roman"/>
          <w:sz w:val="24"/>
          <w:lang w:val="sr-Cyrl-RS"/>
        </w:rPr>
        <w:t xml:space="preserve"> Фискална консолидација и структурне мере спроведене у претходном периоду омогућиле су стабилизацију јавних финансија Р</w:t>
      </w:r>
      <w:r w:rsidR="00B752DB" w:rsidRPr="0081082A">
        <w:rPr>
          <w:rFonts w:ascii="Times New Roman" w:hAnsi="Times New Roman"/>
          <w:sz w:val="24"/>
          <w:lang w:val="sr-Cyrl-RS"/>
        </w:rPr>
        <w:t xml:space="preserve">епублике </w:t>
      </w:r>
      <w:r w:rsidR="004A0DE4" w:rsidRPr="0081082A">
        <w:rPr>
          <w:rFonts w:ascii="Times New Roman" w:hAnsi="Times New Roman"/>
          <w:sz w:val="24"/>
          <w:lang w:val="sr-Cyrl-RS"/>
        </w:rPr>
        <w:t>С</w:t>
      </w:r>
      <w:r w:rsidR="00B752DB" w:rsidRPr="0081082A">
        <w:rPr>
          <w:rFonts w:ascii="Times New Roman" w:hAnsi="Times New Roman"/>
          <w:sz w:val="24"/>
          <w:lang w:val="sr-Cyrl-RS"/>
        </w:rPr>
        <w:t>рбије</w:t>
      </w:r>
      <w:r w:rsidR="004A0DE4" w:rsidRPr="0081082A">
        <w:rPr>
          <w:rFonts w:ascii="Times New Roman" w:hAnsi="Times New Roman"/>
          <w:sz w:val="24"/>
          <w:lang w:val="sr-Cyrl-RS"/>
        </w:rPr>
        <w:t xml:space="preserve"> и обезбедиле фискални простор за нове политике и </w:t>
      </w:r>
      <w:r w:rsidR="003E2A27" w:rsidRPr="0081082A">
        <w:rPr>
          <w:rFonts w:ascii="Times New Roman" w:hAnsi="Times New Roman"/>
          <w:sz w:val="24"/>
          <w:lang w:val="sr-Cyrl-RS"/>
        </w:rPr>
        <w:t>економске мере помоћи привреди и становништву.</w:t>
      </w:r>
      <w:r w:rsidR="007718D7" w:rsidRPr="0081082A">
        <w:rPr>
          <w:rFonts w:ascii="Times New Roman" w:hAnsi="Times New Roman"/>
          <w:sz w:val="24"/>
          <w:lang w:val="sr-Cyrl-RS"/>
        </w:rPr>
        <w:t xml:space="preserve"> Даље побољшање управљања јавним финансијама је нужно не само као подршка мерама фискалне консолидације и структурним реформама, већ и као процес који подиже квалитет државне управе и осигурава амбијент који је привлачно и пожељно тло за инвеститоре.</w:t>
      </w:r>
    </w:p>
    <w:p w:rsidR="005C1093" w:rsidRPr="0081082A" w:rsidRDefault="005C1093" w:rsidP="005C1093">
      <w:pPr>
        <w:shd w:val="clear" w:color="auto" w:fill="FFFFFF" w:themeFill="background1"/>
        <w:spacing w:after="0" w:line="240" w:lineRule="auto"/>
        <w:ind w:firstLine="706"/>
        <w:jc w:val="both"/>
        <w:rPr>
          <w:rFonts w:ascii="Times New Roman" w:hAnsi="Times New Roman"/>
          <w:sz w:val="24"/>
          <w:lang w:val="sr-Cyrl-RS"/>
        </w:rPr>
      </w:pPr>
      <w:r w:rsidRPr="0081082A">
        <w:rPr>
          <w:rFonts w:ascii="Times New Roman" w:eastAsia="Calibri" w:hAnsi="Times New Roman" w:cs="Times New Roman"/>
          <w:sz w:val="24"/>
          <w:szCs w:val="24"/>
          <w:lang w:val="sr-Cyrl-RS"/>
        </w:rPr>
        <w:t xml:space="preserve">ПРУЈФ се у великој мери ослања и на обавезе Републике Србије у процесу преговора о приступању ЕУ у преговарачким поглављима релевантним за ову реформу. Реформа управљања јавним финансијама, према новој методологији приступних преговора са ЕУ, спада у област кластера I - Основе у оквиру политике реформе јавне управе и има хоризонтални значај за многе области, као што је макроекономска стабилност, добра управа, пословно окружење, транспарентност и сл. </w:t>
      </w:r>
      <w:r w:rsidR="003A7435" w:rsidRPr="0081082A">
        <w:rPr>
          <w:rFonts w:ascii="Times New Roman" w:hAnsi="Times New Roman"/>
          <w:sz w:val="24"/>
          <w:lang w:val="sr-Cyrl-RS"/>
        </w:rPr>
        <w:t>Област управљања јавним финансијама није обухваћен</w:t>
      </w:r>
      <w:r w:rsidR="006660D4" w:rsidRPr="0081082A">
        <w:rPr>
          <w:rFonts w:ascii="Times New Roman" w:hAnsi="Times New Roman"/>
          <w:sz w:val="24"/>
          <w:lang w:val="sr-Cyrl-RS"/>
        </w:rPr>
        <w:t>а</w:t>
      </w:r>
      <w:r w:rsidR="003A7435" w:rsidRPr="0081082A">
        <w:rPr>
          <w:rFonts w:ascii="Times New Roman" w:hAnsi="Times New Roman"/>
          <w:sz w:val="24"/>
          <w:lang w:val="sr-Cyrl-RS"/>
        </w:rPr>
        <w:t xml:space="preserve"> једним преговарачким поглављем, већ је делимично садржа</w:t>
      </w:r>
      <w:r w:rsidR="006660D4" w:rsidRPr="0081082A">
        <w:rPr>
          <w:rFonts w:ascii="Times New Roman" w:hAnsi="Times New Roman"/>
          <w:sz w:val="24"/>
          <w:lang w:val="sr-Cyrl-RS"/>
        </w:rPr>
        <w:t>на</w:t>
      </w:r>
      <w:r w:rsidR="003A7435" w:rsidRPr="0081082A">
        <w:rPr>
          <w:rFonts w:ascii="Times New Roman" w:hAnsi="Times New Roman"/>
          <w:sz w:val="24"/>
          <w:lang w:val="sr-Cyrl-RS"/>
        </w:rPr>
        <w:t xml:space="preserve"> </w:t>
      </w:r>
      <w:r w:rsidR="006660D4" w:rsidRPr="0081082A">
        <w:rPr>
          <w:rFonts w:ascii="Times New Roman" w:hAnsi="Times New Roman"/>
          <w:sz w:val="24"/>
          <w:lang w:val="sr-Cyrl-RS"/>
        </w:rPr>
        <w:t xml:space="preserve">у </w:t>
      </w:r>
      <w:r w:rsidR="003A7435" w:rsidRPr="0081082A">
        <w:rPr>
          <w:rFonts w:ascii="Times New Roman" w:hAnsi="Times New Roman"/>
          <w:sz w:val="24"/>
          <w:lang w:val="sr-Cyrl-RS"/>
        </w:rPr>
        <w:t>следећи</w:t>
      </w:r>
      <w:r w:rsidR="006660D4" w:rsidRPr="0081082A">
        <w:rPr>
          <w:rFonts w:ascii="Times New Roman" w:hAnsi="Times New Roman"/>
          <w:sz w:val="24"/>
          <w:lang w:val="sr-Cyrl-RS"/>
        </w:rPr>
        <w:t>м</w:t>
      </w:r>
      <w:r w:rsidR="003A7435" w:rsidRPr="0081082A">
        <w:rPr>
          <w:rFonts w:ascii="Times New Roman" w:hAnsi="Times New Roman"/>
          <w:sz w:val="24"/>
          <w:lang w:val="sr-Cyrl-RS"/>
        </w:rPr>
        <w:t xml:space="preserve"> преговарачки</w:t>
      </w:r>
      <w:r w:rsidR="006660D4" w:rsidRPr="0081082A">
        <w:rPr>
          <w:rFonts w:ascii="Times New Roman" w:hAnsi="Times New Roman"/>
          <w:sz w:val="24"/>
          <w:lang w:val="sr-Cyrl-RS"/>
        </w:rPr>
        <w:t>м</w:t>
      </w:r>
      <w:r w:rsidR="003A7435" w:rsidRPr="0081082A">
        <w:rPr>
          <w:rFonts w:ascii="Times New Roman" w:hAnsi="Times New Roman"/>
          <w:sz w:val="24"/>
          <w:lang w:val="sr-Cyrl-RS"/>
        </w:rPr>
        <w:t xml:space="preserve"> поглављ</w:t>
      </w:r>
      <w:r w:rsidR="006660D4" w:rsidRPr="0081082A">
        <w:rPr>
          <w:rFonts w:ascii="Times New Roman" w:hAnsi="Times New Roman"/>
          <w:sz w:val="24"/>
          <w:lang w:val="sr-Cyrl-RS"/>
        </w:rPr>
        <w:t>има</w:t>
      </w:r>
      <w:r w:rsidR="003A7435" w:rsidRPr="0081082A">
        <w:rPr>
          <w:rFonts w:ascii="Times New Roman" w:hAnsi="Times New Roman"/>
          <w:sz w:val="24"/>
          <w:lang w:val="sr-Cyrl-RS"/>
        </w:rPr>
        <w:t xml:space="preserve">, а то су: поглавље 5 – Јавне набавке, 16 – опорезивање, 22 – Регионална политика и координација структурних инструмената, 17 - Економска и монетарна политика, 29 - Царинска унија, 32 - Финансијски надзор, 33 - Финансијске и буџетске одредбе, </w:t>
      </w:r>
      <w:r w:rsidRPr="0081082A">
        <w:rPr>
          <w:rFonts w:ascii="Times New Roman" w:eastAsia="Calibri" w:hAnsi="Times New Roman" w:cs="Times New Roman"/>
          <w:sz w:val="24"/>
          <w:szCs w:val="24"/>
          <w:lang w:val="sr-Cyrl-RS"/>
        </w:rPr>
        <w:t>којима у највећем броју случајева руководи Министарство финансија, а поједине области реформе управљања јавним финансијама обухваћене су и поглављима 23 - Правосуђе и основна права, као и 24 - Правда, слобода и безбедност. Реформа јавних финансија је и предмет посебног дијалога са Европском комисијом у оквиру Специјалне групе за реформу јавне управе која је формирана на основу Споразума о стабилизацији и придруживању са ЕУ. Мерила и обавезе преузете у процесу приступања ЕУ представљају значајне смернице за процес реформе управљања јавним финансијама и у наредном петогодишњем периоду.</w:t>
      </w:r>
    </w:p>
    <w:p w:rsidR="003A7435" w:rsidRPr="0081082A" w:rsidRDefault="003A7435" w:rsidP="003A7435">
      <w:pPr>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ПРУЈФ у претходном периоду служио је и као важан инструмент за програмирање</w:t>
      </w:r>
      <w:r w:rsidR="00A545D2" w:rsidRPr="0081082A">
        <w:rPr>
          <w:rFonts w:ascii="Times New Roman" w:hAnsi="Times New Roman"/>
          <w:sz w:val="24"/>
          <w:lang w:val="sr-Cyrl-RS"/>
        </w:rPr>
        <w:t>,</w:t>
      </w:r>
      <w:r w:rsidRPr="0081082A">
        <w:rPr>
          <w:rFonts w:ascii="Times New Roman" w:hAnsi="Times New Roman"/>
          <w:sz w:val="24"/>
          <w:lang w:val="sr-Cyrl-RS"/>
        </w:rPr>
        <w:t xml:space="preserve"> односно планирање донаторске помоћи, која је представљала значајну подршку у реализацији реформских мера. Значај напре</w:t>
      </w:r>
      <w:r w:rsidR="00912FE1" w:rsidRPr="0081082A">
        <w:rPr>
          <w:rFonts w:ascii="Times New Roman" w:hAnsi="Times New Roman"/>
          <w:sz w:val="24"/>
          <w:lang w:val="sr-Cyrl-RS"/>
        </w:rPr>
        <w:t>т</w:t>
      </w:r>
      <w:r w:rsidRPr="0081082A">
        <w:rPr>
          <w:rFonts w:ascii="Times New Roman" w:hAnsi="Times New Roman"/>
          <w:sz w:val="24"/>
          <w:lang w:val="sr-Cyrl-RS"/>
        </w:rPr>
        <w:t xml:space="preserve">ка у УЈФ огледа се и у чињеници да је УЈФ један од општих предуслова за коришћење средстава секторске буџетске подршке (у даљем тексту: СБС), као једног од модалитета коришћења претприступне помоћи Европске уније – ИПА. Од 2015. године, када је започело спровођење првог СБС-а у Србији у области реформе јавне управе, општи предуслови за коришћење инструмента СБС, који су у надлежности Министарства финансија - макроекономска стабилност, транспарентност буџета и успешна реформа УЈФ, оцењивани су позитивно. </w:t>
      </w:r>
    </w:p>
    <w:p w:rsidR="003A7435" w:rsidRPr="0081082A" w:rsidRDefault="003A7435" w:rsidP="003A7435">
      <w:pPr>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 xml:space="preserve">Резултати спроведених реформи огледају се и кроз испуњење предуслова за отварање преговарачких поглавља за чланство у Европској унији. У протеклом </w:t>
      </w:r>
      <w:r w:rsidRPr="0081082A">
        <w:rPr>
          <w:rFonts w:ascii="Times New Roman" w:hAnsi="Times New Roman"/>
          <w:sz w:val="24"/>
          <w:lang w:val="sr-Cyrl-RS"/>
        </w:rPr>
        <w:lastRenderedPageBreak/>
        <w:t>периоду отворена су следећа поглавља из области јавних фина</w:t>
      </w:r>
      <w:r w:rsidR="0039046A">
        <w:rPr>
          <w:rFonts w:ascii="Times New Roman" w:hAnsi="Times New Roman"/>
          <w:sz w:val="24"/>
          <w:lang w:val="sr-Cyrl-RS"/>
        </w:rPr>
        <w:t>н</w:t>
      </w:r>
      <w:r w:rsidRPr="0081082A">
        <w:rPr>
          <w:rFonts w:ascii="Times New Roman" w:hAnsi="Times New Roman"/>
          <w:sz w:val="24"/>
          <w:lang w:val="sr-Cyrl-RS"/>
        </w:rPr>
        <w:t>сија: 5 – Јавне набавке (децембар 2016. године), 17 - Економска и монетарна питања (децембар 2018. године), 29 - Царинска унија (јун 2017. године), 32 - Финансијски надзор (децембар 2015. године) и 33 - Финансијска и буџетска питања (јун 2018. године).</w:t>
      </w:r>
    </w:p>
    <w:p w:rsidR="003A7435" w:rsidRPr="0081082A" w:rsidRDefault="003A7435" w:rsidP="003A7435">
      <w:pPr>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Значај циљева одрживог развоја (ЦОР) УН Агенде 2030 препознат је у Влади, не само у припреми добровољног извештаја већ и у проце</w:t>
      </w:r>
      <w:r w:rsidR="00912FE1" w:rsidRPr="0081082A">
        <w:rPr>
          <w:rFonts w:ascii="Times New Roman" w:hAnsi="Times New Roman"/>
          <w:sz w:val="24"/>
          <w:lang w:val="sr-Cyrl-RS"/>
        </w:rPr>
        <w:t>с</w:t>
      </w:r>
      <w:r w:rsidRPr="0081082A">
        <w:rPr>
          <w:rFonts w:ascii="Times New Roman" w:hAnsi="Times New Roman"/>
          <w:sz w:val="24"/>
          <w:lang w:val="sr-Cyrl-RS"/>
        </w:rPr>
        <w:t>у припреме стратешких и планских документа. У вези са ПРУЈФ посебно је важна економска димен</w:t>
      </w:r>
      <w:r w:rsidR="00912FE1" w:rsidRPr="0081082A">
        <w:rPr>
          <w:rFonts w:ascii="Times New Roman" w:hAnsi="Times New Roman"/>
          <w:sz w:val="24"/>
          <w:lang w:val="sr-Cyrl-RS"/>
        </w:rPr>
        <w:t>з</w:t>
      </w:r>
      <w:r w:rsidRPr="0081082A">
        <w:rPr>
          <w:rFonts w:ascii="Times New Roman" w:hAnsi="Times New Roman"/>
          <w:sz w:val="24"/>
          <w:lang w:val="sr-Cyrl-RS"/>
        </w:rPr>
        <w:t>ија ЦОР, која се у оквиру 5 П (</w:t>
      </w:r>
      <w:r w:rsidRPr="0081082A">
        <w:rPr>
          <w:rFonts w:ascii="Times New Roman" w:hAnsi="Times New Roman"/>
          <w:i/>
          <w:iCs/>
          <w:sz w:val="24"/>
          <w:lang w:val="sr-Cyrl-RS"/>
        </w:rPr>
        <w:t>People, Planet, Prosperity, Peace and Рarnerships</w:t>
      </w:r>
      <w:r w:rsidRPr="0081082A">
        <w:rPr>
          <w:rFonts w:ascii="Times New Roman" w:hAnsi="Times New Roman"/>
          <w:sz w:val="24"/>
          <w:lang w:val="sr-Cyrl-RS"/>
        </w:rPr>
        <w:t>) препознаје</w:t>
      </w:r>
      <w:r w:rsidR="00912FE1" w:rsidRPr="0081082A">
        <w:rPr>
          <w:rFonts w:ascii="Times New Roman" w:hAnsi="Times New Roman"/>
          <w:sz w:val="24"/>
          <w:lang w:val="sr-Cyrl-RS"/>
        </w:rPr>
        <w:t>,</w:t>
      </w:r>
      <w:r w:rsidRPr="0081082A">
        <w:rPr>
          <w:rFonts w:ascii="Times New Roman" w:hAnsi="Times New Roman"/>
          <w:sz w:val="24"/>
          <w:lang w:val="sr-Cyrl-RS"/>
        </w:rPr>
        <w:t xml:space="preserve"> пре свега</w:t>
      </w:r>
      <w:r w:rsidR="00912FE1" w:rsidRPr="0081082A">
        <w:rPr>
          <w:rFonts w:ascii="Times New Roman" w:hAnsi="Times New Roman"/>
          <w:sz w:val="24"/>
          <w:lang w:val="sr-Cyrl-RS"/>
        </w:rPr>
        <w:t>,</w:t>
      </w:r>
      <w:r w:rsidRPr="0081082A">
        <w:rPr>
          <w:rFonts w:ascii="Times New Roman" w:hAnsi="Times New Roman"/>
          <w:sz w:val="24"/>
          <w:lang w:val="sr-Cyrl-RS"/>
        </w:rPr>
        <w:t xml:space="preserve"> кроз Просперитет, односно економски раст (ЦОР 8 и 9), као и Партнерства која обухватају институције, финансије и сарадњу (ЦОР 16 и 17). Економска димензија Агенде 2030, која се огледа у циљевима и подциљевима 8, 9, 10, 16 и 17, од кључног је значаја за РЈФ. Елементи подциљева из ове области односе се на обезбеђење стабилног макроекономског окружења и одговорне фискалне политике, као и промовисање развојно ор</w:t>
      </w:r>
      <w:r w:rsidR="000B3AFF">
        <w:rPr>
          <w:rFonts w:ascii="Times New Roman" w:hAnsi="Times New Roman"/>
          <w:sz w:val="24"/>
          <w:lang w:val="sr-Cyrl-RS"/>
        </w:rPr>
        <w:t>и</w:t>
      </w:r>
      <w:r w:rsidRPr="0081082A">
        <w:rPr>
          <w:rFonts w:ascii="Times New Roman" w:hAnsi="Times New Roman"/>
          <w:sz w:val="24"/>
          <w:lang w:val="sr-Cyrl-RS"/>
        </w:rPr>
        <w:t xml:space="preserve">јентисаних политика. Примера ради ЦОР 8 </w:t>
      </w:r>
      <w:r w:rsidR="00912FE1" w:rsidRPr="0081082A">
        <w:rPr>
          <w:rFonts w:ascii="Times New Roman" w:hAnsi="Times New Roman"/>
          <w:sz w:val="24"/>
          <w:lang w:val="sr-Cyrl-RS"/>
        </w:rPr>
        <w:t xml:space="preserve">- </w:t>
      </w:r>
      <w:r w:rsidRPr="0081082A">
        <w:rPr>
          <w:rFonts w:ascii="Times New Roman" w:hAnsi="Times New Roman"/>
          <w:sz w:val="24"/>
          <w:lang w:val="sr-Cyrl-RS"/>
        </w:rPr>
        <w:t xml:space="preserve">Промовисати континуиран, инклузиван и одржив економски раст, пуну и продуктивну запослености и достојанствен рад за све и ЦОР 10 </w:t>
      </w:r>
      <w:r w:rsidR="00912FE1" w:rsidRPr="0081082A">
        <w:rPr>
          <w:rFonts w:ascii="Times New Roman" w:hAnsi="Times New Roman"/>
          <w:sz w:val="24"/>
          <w:lang w:val="sr-Cyrl-RS"/>
        </w:rPr>
        <w:t xml:space="preserve">- </w:t>
      </w:r>
      <w:r w:rsidRPr="0081082A">
        <w:rPr>
          <w:rFonts w:ascii="Times New Roman" w:hAnsi="Times New Roman"/>
          <w:sz w:val="24"/>
          <w:lang w:val="sr-Cyrl-RS"/>
        </w:rPr>
        <w:t xml:space="preserve">Смањење неједнакости између и унутар држава, и посебно подциљ 10.4 </w:t>
      </w:r>
      <w:r w:rsidR="00912FE1" w:rsidRPr="0081082A">
        <w:rPr>
          <w:rFonts w:ascii="Times New Roman" w:hAnsi="Times New Roman"/>
          <w:sz w:val="24"/>
          <w:lang w:val="sr-Cyrl-RS"/>
        </w:rPr>
        <w:t xml:space="preserve">- </w:t>
      </w:r>
      <w:r w:rsidRPr="0081082A">
        <w:rPr>
          <w:rFonts w:ascii="Times New Roman" w:hAnsi="Times New Roman"/>
          <w:sz w:val="24"/>
          <w:lang w:val="sr-Cyrl-RS"/>
        </w:rPr>
        <w:t>Фискална политика и политика плата, важан су оквир за ПРУЈФ. ЦОР 16</w:t>
      </w:r>
      <w:r w:rsidR="00912FE1" w:rsidRPr="0081082A">
        <w:rPr>
          <w:rFonts w:ascii="Times New Roman" w:hAnsi="Times New Roman"/>
          <w:sz w:val="24"/>
          <w:lang w:val="sr-Cyrl-RS"/>
        </w:rPr>
        <w:t xml:space="preserve"> -</w:t>
      </w:r>
      <w:r w:rsidRPr="0081082A">
        <w:rPr>
          <w:rFonts w:ascii="Times New Roman" w:hAnsi="Times New Roman"/>
          <w:sz w:val="24"/>
          <w:lang w:val="sr-Cyrl-RS"/>
        </w:rPr>
        <w:t xml:space="preserve"> Мир, правда и снажне институције подржава развој ефикасних, одговорних и транспарентних институција на свим нивоима, где с</w:t>
      </w:r>
      <w:r w:rsidR="00912FE1" w:rsidRPr="0081082A">
        <w:rPr>
          <w:rFonts w:ascii="Times New Roman" w:hAnsi="Times New Roman"/>
          <w:sz w:val="24"/>
          <w:lang w:val="sr-Cyrl-RS"/>
        </w:rPr>
        <w:t>у</w:t>
      </w:r>
      <w:r w:rsidRPr="0081082A">
        <w:rPr>
          <w:rFonts w:ascii="Times New Roman" w:hAnsi="Times New Roman"/>
          <w:sz w:val="24"/>
          <w:lang w:val="sr-Cyrl-RS"/>
        </w:rPr>
        <w:t xml:space="preserve"> подциљеви 16.6 </w:t>
      </w:r>
      <w:r w:rsidR="00912FE1" w:rsidRPr="0081082A">
        <w:rPr>
          <w:rFonts w:ascii="Times New Roman" w:hAnsi="Times New Roman"/>
          <w:sz w:val="24"/>
          <w:lang w:val="sr-Cyrl-RS"/>
        </w:rPr>
        <w:t xml:space="preserve">- </w:t>
      </w:r>
      <w:r w:rsidRPr="0081082A">
        <w:rPr>
          <w:rFonts w:ascii="Times New Roman" w:hAnsi="Times New Roman"/>
          <w:sz w:val="24"/>
          <w:lang w:val="sr-Cyrl-RS"/>
        </w:rPr>
        <w:t>Развити ефикасн</w:t>
      </w:r>
      <w:r w:rsidR="00741233" w:rsidRPr="0081082A">
        <w:rPr>
          <w:rFonts w:ascii="Times New Roman" w:hAnsi="Times New Roman"/>
          <w:sz w:val="24"/>
          <w:lang w:val="sr-Cyrl-RS"/>
        </w:rPr>
        <w:t>е, одговорне и транспарентне ин</w:t>
      </w:r>
      <w:r w:rsidRPr="0081082A">
        <w:rPr>
          <w:rFonts w:ascii="Times New Roman" w:hAnsi="Times New Roman"/>
          <w:sz w:val="24"/>
          <w:lang w:val="sr-Cyrl-RS"/>
        </w:rPr>
        <w:t>ституције од посебног значаја за ПРУЈФ. Успешно спроведене мере фискалне политике и успостављање повољног пословног и инвестиционог амбијента током година</w:t>
      </w:r>
      <w:r w:rsidR="00912FE1" w:rsidRPr="0081082A">
        <w:rPr>
          <w:rFonts w:ascii="Times New Roman" w:hAnsi="Times New Roman"/>
          <w:sz w:val="24"/>
          <w:lang w:val="sr-Cyrl-RS"/>
        </w:rPr>
        <w:t>,</w:t>
      </w:r>
      <w:r w:rsidRPr="0081082A">
        <w:rPr>
          <w:rFonts w:ascii="Times New Roman" w:hAnsi="Times New Roman"/>
          <w:sz w:val="24"/>
          <w:lang w:val="sr-Cyrl-RS"/>
        </w:rPr>
        <w:t xml:space="preserve"> које су садржане у реформским мерама ПРУЈФ</w:t>
      </w:r>
      <w:r w:rsidR="00912FE1" w:rsidRPr="0081082A">
        <w:rPr>
          <w:rFonts w:ascii="Times New Roman" w:hAnsi="Times New Roman"/>
          <w:sz w:val="24"/>
          <w:lang w:val="sr-Cyrl-RS"/>
        </w:rPr>
        <w:t>,</w:t>
      </w:r>
      <w:r w:rsidRPr="0081082A">
        <w:rPr>
          <w:rFonts w:ascii="Times New Roman" w:hAnsi="Times New Roman"/>
          <w:sz w:val="24"/>
          <w:lang w:val="sr-Cyrl-RS"/>
        </w:rPr>
        <w:t xml:space="preserve"> су значајно допринеле побољшању свих економских токова у Републици Србији и остварењу ЦОР 17 </w:t>
      </w:r>
      <w:r w:rsidR="00912FE1" w:rsidRPr="0081082A">
        <w:rPr>
          <w:rFonts w:ascii="Times New Roman" w:hAnsi="Times New Roman"/>
          <w:sz w:val="24"/>
          <w:lang w:val="sr-Cyrl-RS"/>
        </w:rPr>
        <w:t xml:space="preserve">- </w:t>
      </w:r>
      <w:r w:rsidRPr="0081082A">
        <w:rPr>
          <w:rFonts w:ascii="Times New Roman" w:hAnsi="Times New Roman"/>
          <w:sz w:val="24"/>
          <w:lang w:val="sr-Cyrl-RS"/>
        </w:rPr>
        <w:t>Партнерством до циља</w:t>
      </w:r>
      <w:r w:rsidR="00912FE1" w:rsidRPr="0081082A">
        <w:rPr>
          <w:rFonts w:ascii="Times New Roman" w:hAnsi="Times New Roman"/>
          <w:sz w:val="24"/>
          <w:lang w:val="sr-Cyrl-RS"/>
        </w:rPr>
        <w:t>,</w:t>
      </w:r>
      <w:r w:rsidRPr="0081082A">
        <w:rPr>
          <w:rFonts w:ascii="Times New Roman" w:hAnsi="Times New Roman"/>
          <w:sz w:val="24"/>
          <w:lang w:val="sr-Cyrl-RS"/>
        </w:rPr>
        <w:t xml:space="preserve"> подциљеви 17.1 </w:t>
      </w:r>
      <w:r w:rsidR="00912FE1" w:rsidRPr="0081082A">
        <w:rPr>
          <w:rFonts w:ascii="Times New Roman" w:hAnsi="Times New Roman"/>
          <w:sz w:val="24"/>
          <w:lang w:val="sr-Cyrl-RS"/>
        </w:rPr>
        <w:t>-</w:t>
      </w:r>
      <w:r w:rsidRPr="0081082A">
        <w:rPr>
          <w:rFonts w:ascii="Times New Roman" w:hAnsi="Times New Roman"/>
          <w:sz w:val="24"/>
          <w:lang w:val="sr-Cyrl-RS"/>
        </w:rPr>
        <w:t xml:space="preserve"> Појачати мобилизацију домаћих ресурса и капацитета за прикупљање пореза и осталих прихода, и мобилисати додатна финансијска средства</w:t>
      </w:r>
      <w:r w:rsidR="00912FE1" w:rsidRPr="0081082A">
        <w:rPr>
          <w:rFonts w:ascii="Times New Roman" w:hAnsi="Times New Roman"/>
          <w:sz w:val="24"/>
          <w:lang w:val="sr-Cyrl-RS"/>
        </w:rPr>
        <w:t xml:space="preserve">, </w:t>
      </w:r>
      <w:r w:rsidRPr="0081082A">
        <w:rPr>
          <w:rFonts w:ascii="Times New Roman" w:hAnsi="Times New Roman"/>
          <w:sz w:val="24"/>
          <w:lang w:val="sr-Cyrl-RS"/>
        </w:rPr>
        <w:t xml:space="preserve"> 17.4 - Дугорочна одрживост дуга и 17.13 </w:t>
      </w:r>
      <w:r w:rsidR="00912FE1" w:rsidRPr="0081082A">
        <w:rPr>
          <w:rFonts w:ascii="Times New Roman" w:hAnsi="Times New Roman"/>
          <w:sz w:val="24"/>
          <w:lang w:val="sr-Cyrl-RS"/>
        </w:rPr>
        <w:t>-</w:t>
      </w:r>
      <w:r w:rsidRPr="0081082A">
        <w:rPr>
          <w:rFonts w:ascii="Times New Roman" w:hAnsi="Times New Roman"/>
          <w:sz w:val="24"/>
          <w:lang w:val="sr-Cyrl-RS"/>
        </w:rPr>
        <w:t xml:space="preserve"> Унапредити глобалну макроекономску стабилност кроз координацију политика. Коначно, ПРУЈФ у својој основи представља стратешки корак у правцу унапређења могућности за успешнију реализацију свих ЦОР на хоризонталном нивоу.</w:t>
      </w:r>
    </w:p>
    <w:p w:rsidR="00B12E23" w:rsidRPr="00A1663C" w:rsidRDefault="00B12E23" w:rsidP="00B12E23">
      <w:pPr>
        <w:spacing w:after="0" w:line="240" w:lineRule="auto"/>
        <w:ind w:firstLine="706"/>
        <w:jc w:val="both"/>
        <w:rPr>
          <w:rFonts w:ascii="Times New Roman" w:hAnsi="Times New Roman"/>
          <w:i/>
          <w:iCs/>
          <w:sz w:val="24"/>
          <w:szCs w:val="24"/>
          <w:lang w:val="sr-Cyrl-RS"/>
        </w:rPr>
      </w:pPr>
      <w:r w:rsidRPr="0081082A">
        <w:rPr>
          <w:rFonts w:ascii="Times New Roman" w:hAnsi="Times New Roman"/>
          <w:sz w:val="24"/>
          <w:lang w:val="sr-Cyrl-RS"/>
        </w:rPr>
        <w:t xml:space="preserve">ПРУЈФ планира мере јавних политика водећи рачуна да се обезбеди усклађеност са циљевима развоја јавне управе, као и континуитет у спровођењу реформи у области управљања јавним финансијама. Пре отпочињања израде ПРУЈФ приступило се </w:t>
      </w:r>
      <w:r w:rsidRPr="0081082A">
        <w:rPr>
          <w:rFonts w:ascii="Times New Roman" w:hAnsi="Times New Roman"/>
          <w:i/>
          <w:iCs/>
          <w:sz w:val="24"/>
          <w:lang w:val="sr-Cyrl-RS"/>
        </w:rPr>
        <w:t>ex-post</w:t>
      </w:r>
      <w:r w:rsidRPr="0081082A">
        <w:rPr>
          <w:rFonts w:ascii="Times New Roman" w:hAnsi="Times New Roman"/>
          <w:sz w:val="24"/>
          <w:lang w:val="sr-Cyrl-RS"/>
        </w:rPr>
        <w:t xml:space="preserve"> анализи ефеката ПРУЈФ 2016-2020 и </w:t>
      </w:r>
      <w:r w:rsidRPr="0081082A">
        <w:rPr>
          <w:rFonts w:ascii="Times New Roman" w:hAnsi="Times New Roman"/>
          <w:i/>
          <w:iCs/>
          <w:sz w:val="24"/>
          <w:lang w:val="sr-Cyrl-RS"/>
        </w:rPr>
        <w:t>ex-ante</w:t>
      </w:r>
      <w:r w:rsidRPr="0081082A">
        <w:rPr>
          <w:rFonts w:ascii="Times New Roman" w:hAnsi="Times New Roman"/>
          <w:sz w:val="24"/>
          <w:lang w:val="sr-Cyrl-RS"/>
        </w:rPr>
        <w:t xml:space="preserve"> анализи за нови ПРУЈФ, у складу са Законом о планском систему</w:t>
      </w:r>
      <w:r w:rsidR="002A61BC" w:rsidRPr="0081082A">
        <w:rPr>
          <w:lang w:val="sr-Cyrl-RS"/>
        </w:rPr>
        <w:t xml:space="preserve"> </w:t>
      </w:r>
      <w:r w:rsidR="002A61BC" w:rsidRPr="0081082A">
        <w:rPr>
          <w:rFonts w:ascii="Times New Roman" w:hAnsi="Times New Roman"/>
          <w:sz w:val="24"/>
          <w:lang w:val="sr-Cyrl-RS"/>
        </w:rPr>
        <w:t>Републике Србије</w:t>
      </w:r>
      <w:r w:rsidRPr="0081082A">
        <w:rPr>
          <w:rFonts w:ascii="Times New Roman" w:hAnsi="Times New Roman"/>
          <w:sz w:val="24"/>
          <w:lang w:val="sr-Cyrl-RS"/>
        </w:rPr>
        <w:t xml:space="preserve">, а свеукупни резултати у реформи УЈФ приказани су у одељку: </w:t>
      </w:r>
      <w:r w:rsidRPr="00A1663C">
        <w:rPr>
          <w:rFonts w:ascii="Times New Roman" w:hAnsi="Times New Roman"/>
          <w:i/>
          <w:iCs/>
          <w:sz w:val="24"/>
          <w:szCs w:val="24"/>
          <w:lang w:val="sr-Cyrl-RS"/>
        </w:rPr>
        <w:t>ОПИС ПОСТОЈЕЋЕГ СТАЊА: НАЈВАЖНИЈИ РЕЗУЛТАТИ СПРОВЕДЕНИХ РЕФОРМСКИХ МЕРА У ПЕРИОДУ 2016-2020. ГОДИНЕ</w:t>
      </w:r>
      <w:r w:rsidRPr="0081082A">
        <w:rPr>
          <w:rFonts w:ascii="Times New Roman" w:hAnsi="Times New Roman"/>
          <w:sz w:val="24"/>
          <w:lang w:val="sr-Cyrl-RS"/>
        </w:rPr>
        <w:t>, и затим детаљно у оквиру сваког посебног циља ПРУЈФ. Имајући у виду да је ПРУЈФ 2016-2020 усвојен пре ступања на снагу Закона о планском систему</w:t>
      </w:r>
      <w:r w:rsidR="002A61BC" w:rsidRPr="0081082A">
        <w:rPr>
          <w:lang w:val="sr-Cyrl-RS"/>
        </w:rPr>
        <w:t xml:space="preserve"> </w:t>
      </w:r>
      <w:r w:rsidR="002A61BC" w:rsidRPr="0081082A">
        <w:rPr>
          <w:rFonts w:ascii="Times New Roman" w:hAnsi="Times New Roman"/>
          <w:sz w:val="24"/>
          <w:lang w:val="sr-Cyrl-RS"/>
        </w:rPr>
        <w:t>Републике Србије</w:t>
      </w:r>
      <w:r w:rsidR="00912FE1" w:rsidRPr="0081082A">
        <w:rPr>
          <w:rFonts w:ascii="Times New Roman" w:hAnsi="Times New Roman"/>
          <w:sz w:val="24"/>
          <w:lang w:val="sr-Cyrl-RS"/>
        </w:rPr>
        <w:t>,</w:t>
      </w:r>
      <w:r w:rsidRPr="0081082A">
        <w:rPr>
          <w:rFonts w:ascii="Times New Roman" w:hAnsi="Times New Roman"/>
          <w:sz w:val="24"/>
          <w:lang w:val="sr-Cyrl-RS"/>
        </w:rPr>
        <w:t xml:space="preserve"> присутне су неусклађености са прописаном методологијом. Приликом израде ПРУЈФ посебна пажња посвећена је конзистентности овог планског документа са другим важећим документима јавних политика, као и усклађеност са преузетим међународним и законским обавезама, што је приказано у одељку под називом: </w:t>
      </w:r>
      <w:r w:rsidRPr="00A1663C">
        <w:rPr>
          <w:rFonts w:ascii="Times New Roman" w:hAnsi="Times New Roman"/>
          <w:i/>
          <w:iCs/>
          <w:sz w:val="24"/>
          <w:szCs w:val="24"/>
          <w:lang w:val="sr-Cyrl-RS"/>
        </w:rPr>
        <w:t>ВЕЗА</w:t>
      </w:r>
      <w:r w:rsidRPr="00A1663C">
        <w:rPr>
          <w:rFonts w:ascii="Times New Roman" w:hAnsi="Times New Roman"/>
          <w:sz w:val="24"/>
          <w:szCs w:val="24"/>
          <w:lang w:val="sr-Cyrl-RS"/>
        </w:rPr>
        <w:t xml:space="preserve"> </w:t>
      </w:r>
      <w:r w:rsidRPr="00A1663C">
        <w:rPr>
          <w:rFonts w:ascii="Times New Roman" w:hAnsi="Times New Roman"/>
          <w:i/>
          <w:iCs/>
          <w:sz w:val="24"/>
          <w:szCs w:val="24"/>
          <w:lang w:val="sr-Cyrl-RS"/>
        </w:rPr>
        <w:t>ПРУЈФ СА СТРАТЕШКИМ И ЗАКОНОДАВНИМ ОКВИРОМ, МЕЂУНАРОДНИМ СТАНДАРДИМА И ПРОЦЕСОМ ЕВРОПСКИХ ИНТЕГРАЦИЈА</w:t>
      </w:r>
      <w:r w:rsidRPr="0081082A">
        <w:rPr>
          <w:rFonts w:ascii="Times New Roman" w:hAnsi="Times New Roman"/>
          <w:i/>
          <w:iCs/>
          <w:sz w:val="18"/>
          <w:szCs w:val="14"/>
          <w:lang w:val="sr-Cyrl-RS"/>
        </w:rPr>
        <w:t xml:space="preserve">. </w:t>
      </w:r>
      <w:r w:rsidRPr="0081082A">
        <w:rPr>
          <w:rFonts w:ascii="Times New Roman" w:hAnsi="Times New Roman"/>
          <w:sz w:val="24"/>
          <w:lang w:val="sr-Cyrl-RS"/>
        </w:rPr>
        <w:t>Након тога у одељку:</w:t>
      </w:r>
      <w:r w:rsidRPr="0081082A">
        <w:rPr>
          <w:rFonts w:ascii="Times New Roman" w:hAnsi="Times New Roman"/>
          <w:i/>
          <w:iCs/>
          <w:sz w:val="18"/>
          <w:szCs w:val="14"/>
          <w:lang w:val="sr-Cyrl-RS"/>
        </w:rPr>
        <w:t xml:space="preserve"> </w:t>
      </w:r>
      <w:r w:rsidRPr="00A1663C">
        <w:rPr>
          <w:rFonts w:ascii="Times New Roman" w:hAnsi="Times New Roman"/>
          <w:i/>
          <w:iCs/>
          <w:sz w:val="24"/>
          <w:szCs w:val="24"/>
          <w:lang w:val="sr-Cyrl-RS"/>
        </w:rPr>
        <w:t>ДЕФИНИСАНЕ ЖЕЉЕНЕ ПРОМЕНЕ</w:t>
      </w:r>
      <w:r w:rsidRPr="0081082A">
        <w:rPr>
          <w:rFonts w:ascii="Times New Roman" w:hAnsi="Times New Roman"/>
          <w:sz w:val="24"/>
          <w:lang w:val="sr-Cyrl-RS"/>
        </w:rPr>
        <w:t xml:space="preserve"> приказана је жељена промена у области реформе управљања јавним финансијама, док се у одељку: </w:t>
      </w:r>
      <w:r w:rsidR="00690A3D" w:rsidRPr="00690A3D">
        <w:rPr>
          <w:rFonts w:ascii="Times New Roman" w:hAnsi="Times New Roman"/>
          <w:i/>
          <w:iCs/>
          <w:sz w:val="24"/>
          <w:szCs w:val="24"/>
          <w:lang w:val="sr-Cyrl-RS"/>
        </w:rPr>
        <w:t>ЦИЉЕВИ ПРУЈФ</w:t>
      </w:r>
      <w:r w:rsidR="00690A3D" w:rsidRPr="00690A3D">
        <w:rPr>
          <w:rFonts w:ascii="Times New Roman" w:hAnsi="Times New Roman"/>
          <w:sz w:val="24"/>
          <w:szCs w:val="24"/>
          <w:lang w:val="sr-Cyrl-RS"/>
        </w:rPr>
        <w:t xml:space="preserve"> </w:t>
      </w:r>
      <w:r w:rsidRPr="0081082A">
        <w:rPr>
          <w:rFonts w:ascii="Times New Roman" w:hAnsi="Times New Roman"/>
          <w:sz w:val="24"/>
          <w:lang w:val="sr-Cyrl-RS"/>
        </w:rPr>
        <w:t xml:space="preserve">дефинишу посебни циљеви који се желе постићи кроз одговарајуће мере у шест различитих области ПРУЈФ, у којима је најпре описан напредак постигнут у претходном периоду, а затим планирана унапређења дефинисана по мерама. Посебни </w:t>
      </w:r>
      <w:r w:rsidRPr="0081082A">
        <w:rPr>
          <w:rFonts w:ascii="Times New Roman" w:hAnsi="Times New Roman"/>
          <w:sz w:val="24"/>
          <w:lang w:val="sr-Cyrl-RS"/>
        </w:rPr>
        <w:lastRenderedPageBreak/>
        <w:t xml:space="preserve">циљ IV </w:t>
      </w:r>
      <w:r w:rsidR="00912FE1" w:rsidRPr="0081082A">
        <w:rPr>
          <w:rFonts w:ascii="Times New Roman" w:hAnsi="Times New Roman"/>
          <w:sz w:val="24"/>
          <w:lang w:val="sr-Cyrl-RS"/>
        </w:rPr>
        <w:t xml:space="preserve">- </w:t>
      </w:r>
      <w:r w:rsidRPr="0081082A">
        <w:rPr>
          <w:rFonts w:ascii="Times New Roman" w:hAnsi="Times New Roman"/>
          <w:sz w:val="24"/>
          <w:lang w:val="sr-Cyrl-RS"/>
        </w:rPr>
        <w:t xml:space="preserve">Унапређење примене система интерне </w:t>
      </w:r>
      <w:r w:rsidR="00B103AC" w:rsidRPr="0081082A">
        <w:rPr>
          <w:rFonts w:ascii="Times New Roman" w:hAnsi="Times New Roman"/>
          <w:sz w:val="24"/>
          <w:lang w:val="sr-Cyrl-RS"/>
        </w:rPr>
        <w:t xml:space="preserve">финансијске </w:t>
      </w:r>
      <w:r w:rsidRPr="0081082A">
        <w:rPr>
          <w:rFonts w:ascii="Times New Roman" w:hAnsi="Times New Roman"/>
          <w:sz w:val="24"/>
          <w:lang w:val="sr-Cyrl-RS"/>
        </w:rPr>
        <w:t>контроле у јавном сектору је конципиран у складу са COSO оквиром, и по својој структури се разликује од осталих посебних циљева</w:t>
      </w:r>
      <w:r w:rsidR="00912FE1" w:rsidRPr="0081082A">
        <w:rPr>
          <w:rFonts w:ascii="Times New Roman" w:hAnsi="Times New Roman"/>
          <w:sz w:val="24"/>
          <w:lang w:val="sr-Cyrl-RS"/>
        </w:rPr>
        <w:t>,</w:t>
      </w:r>
      <w:r w:rsidRPr="0081082A">
        <w:rPr>
          <w:rFonts w:ascii="Times New Roman" w:hAnsi="Times New Roman"/>
          <w:sz w:val="24"/>
          <w:lang w:val="sr-Cyrl-RS"/>
        </w:rPr>
        <w:t xml:space="preserve"> пре свега имајући у </w:t>
      </w:r>
      <w:r w:rsidR="008C0EC8">
        <w:rPr>
          <w:rFonts w:ascii="Times New Roman" w:hAnsi="Times New Roman"/>
          <w:sz w:val="24"/>
          <w:lang w:val="sr-Cyrl-RS"/>
        </w:rPr>
        <w:t>виду хоризонтални значај ове об</w:t>
      </w:r>
      <w:r w:rsidRPr="0081082A">
        <w:rPr>
          <w:rFonts w:ascii="Times New Roman" w:hAnsi="Times New Roman"/>
          <w:sz w:val="24"/>
          <w:lang w:val="sr-Cyrl-RS"/>
        </w:rPr>
        <w:t xml:space="preserve">ласти за реформу управљања јавним финансијама и реформу јавне управе у целини, те даје преглед и међусобних веза посебних циљева.  Мере дефинисане ПРУЈФ се надаље развијају кроз Акциони план за спровођење ПРУЈФ. Када је реч о носиоцима мера и активности ПРУЈФ, то су пре свега институције из којих су делегирани чланови Радне групе за за израду, праћење и извештавање о спровођењу </w:t>
      </w:r>
      <w:r w:rsidRPr="0081082A">
        <w:rPr>
          <w:rFonts w:ascii="Times New Roman" w:eastAsia="Calibri" w:hAnsi="Times New Roman" w:cs="Times New Roman"/>
          <w:sz w:val="24"/>
          <w:szCs w:val="24"/>
          <w:lang w:val="sr-Cyrl-RS"/>
        </w:rPr>
        <w:t>ПРУЈФ</w:t>
      </w:r>
      <w:r w:rsidRPr="0081082A">
        <w:rPr>
          <w:rFonts w:ascii="Times New Roman" w:hAnsi="Times New Roman"/>
          <w:sz w:val="24"/>
          <w:lang w:val="sr-Cyrl-RS"/>
        </w:rPr>
        <w:t xml:space="preserve"> 2021-2025.</w:t>
      </w:r>
      <w:r w:rsidR="00AC7E63" w:rsidRPr="0081082A">
        <w:rPr>
          <w:rFonts w:ascii="Times New Roman" w:hAnsi="Times New Roman"/>
          <w:sz w:val="24"/>
          <w:lang w:val="sr-Cyrl-RS"/>
        </w:rPr>
        <w:t xml:space="preserve"> </w:t>
      </w:r>
      <w:r w:rsidRPr="0081082A">
        <w:rPr>
          <w:rFonts w:ascii="Times New Roman" w:hAnsi="Times New Roman"/>
          <w:sz w:val="24"/>
          <w:lang w:val="sr-Cyrl-RS"/>
        </w:rPr>
        <w:t xml:space="preserve">Посебна пажња посвећена је ризицима и мерама за њихово отклањање у одељку: </w:t>
      </w:r>
      <w:r w:rsidRPr="00A1663C">
        <w:rPr>
          <w:rFonts w:ascii="Times New Roman" w:hAnsi="Times New Roman"/>
          <w:i/>
          <w:iCs/>
          <w:sz w:val="24"/>
          <w:szCs w:val="24"/>
          <w:lang w:val="sr-Cyrl-RS"/>
        </w:rPr>
        <w:t>УПРАВЉАЊЕ РИЗИЦИМА</w:t>
      </w:r>
      <w:r w:rsidRPr="0081082A">
        <w:rPr>
          <w:rFonts w:ascii="Times New Roman" w:hAnsi="Times New Roman"/>
          <w:sz w:val="24"/>
          <w:lang w:val="sr-Cyrl-RS"/>
        </w:rPr>
        <w:t>. Консултативни процес је описан у посебном одељку. Коначно</w:t>
      </w:r>
      <w:r w:rsidR="00AC7E63" w:rsidRPr="0081082A">
        <w:rPr>
          <w:rFonts w:ascii="Times New Roman" w:hAnsi="Times New Roman"/>
          <w:sz w:val="24"/>
          <w:lang w:val="sr-Cyrl-RS"/>
        </w:rPr>
        <w:t>,</w:t>
      </w:r>
      <w:r w:rsidRPr="0081082A">
        <w:rPr>
          <w:rFonts w:ascii="Times New Roman" w:hAnsi="Times New Roman"/>
          <w:sz w:val="24"/>
          <w:lang w:val="sr-Cyrl-RS"/>
        </w:rPr>
        <w:t xml:space="preserve"> механизам извештавања биће настављен по узору на модел успостављен у претходном ПРУЈФ, који се показао као веома успешан, и описан је у одељку: </w:t>
      </w:r>
      <w:r w:rsidRPr="00A1663C">
        <w:rPr>
          <w:rFonts w:ascii="Times New Roman" w:hAnsi="Times New Roman"/>
          <w:i/>
          <w:iCs/>
          <w:sz w:val="24"/>
          <w:szCs w:val="24"/>
          <w:lang w:val="sr-Cyrl-RS"/>
        </w:rPr>
        <w:t xml:space="preserve">ПРАЋЕЊЕ РЕАЛИЗАЦИЈЕ, ЕВАЛУАЦИЈА И ПРОЦЕС ИЗВЕШТАВАЊА О СПРОВОЂЕЊУ ПРУЈФ 2021-2025. </w:t>
      </w:r>
    </w:p>
    <w:p w:rsidR="00DC4B06" w:rsidRPr="0081082A" w:rsidRDefault="00DC4B06">
      <w:pPr>
        <w:rPr>
          <w:rFonts w:ascii="Times New Roman" w:hAnsi="Times New Roman"/>
          <w:sz w:val="24"/>
          <w:lang w:val="sr-Cyrl-RS"/>
        </w:rPr>
      </w:pPr>
    </w:p>
    <w:p w:rsidR="00DC4B06" w:rsidRPr="0081082A" w:rsidRDefault="00DC4B06" w:rsidP="00DC4B06">
      <w:pPr>
        <w:pStyle w:val="Heading2"/>
        <w:pBdr>
          <w:left w:val="single" w:sz="24" w:space="2" w:color="DEEAF6" w:themeColor="accent1" w:themeTint="33"/>
        </w:pBdr>
        <w:jc w:val="center"/>
        <w:rPr>
          <w:rFonts w:ascii="Times New Roman" w:hAnsi="Times New Roman"/>
          <w:sz w:val="24"/>
          <w:lang w:val="sr-Cyrl-RS"/>
        </w:rPr>
      </w:pPr>
      <w:r w:rsidRPr="0081082A">
        <w:rPr>
          <w:rFonts w:ascii="Times New Roman" w:hAnsi="Times New Roman"/>
          <w:sz w:val="24"/>
          <w:lang w:val="sr-Cyrl-RS"/>
        </w:rPr>
        <w:t>САЖЕТИ ПРЕГЛЕД</w:t>
      </w:r>
    </w:p>
    <w:p w:rsidR="00DC4B06" w:rsidRPr="0081082A" w:rsidRDefault="00DC4B06" w:rsidP="00B12E23">
      <w:pPr>
        <w:spacing w:after="0" w:line="240" w:lineRule="auto"/>
        <w:ind w:firstLine="706"/>
        <w:jc w:val="both"/>
        <w:rPr>
          <w:rFonts w:ascii="Times New Roman" w:hAnsi="Times New Roman"/>
          <w:sz w:val="24"/>
          <w:lang w:val="sr-Cyrl-RS"/>
        </w:rPr>
      </w:pPr>
    </w:p>
    <w:p w:rsidR="00FC2914" w:rsidRPr="0081082A" w:rsidRDefault="00FB048C" w:rsidP="00BB5654">
      <w:pPr>
        <w:spacing w:before="120" w:after="0" w:line="240" w:lineRule="auto"/>
        <w:jc w:val="both"/>
        <w:rPr>
          <w:rFonts w:ascii="Times New Roman" w:hAnsi="Times New Roman"/>
          <w:sz w:val="24"/>
          <w:lang w:val="sr-Cyrl-RS"/>
        </w:rPr>
      </w:pPr>
      <w:r w:rsidRPr="0081082A">
        <w:rPr>
          <w:rFonts w:ascii="Times New Roman" w:hAnsi="Times New Roman"/>
          <w:sz w:val="24"/>
          <w:lang w:val="sr-Cyrl-RS"/>
        </w:rPr>
        <w:tab/>
        <w:t>Програм реформе управља</w:t>
      </w:r>
      <w:r w:rsidR="00A1663C">
        <w:rPr>
          <w:rFonts w:ascii="Times New Roman" w:hAnsi="Times New Roman"/>
          <w:sz w:val="24"/>
          <w:lang w:val="sr-Cyrl-RS"/>
        </w:rPr>
        <w:t>ња јавним финансијама 2021-2025</w:t>
      </w:r>
      <w:r w:rsidRPr="0081082A">
        <w:rPr>
          <w:rFonts w:ascii="Times New Roman" w:hAnsi="Times New Roman"/>
          <w:sz w:val="24"/>
          <w:lang w:val="sr-Cyrl-RS"/>
        </w:rPr>
        <w:t xml:space="preserve"> представља континуитет реформи које су 2015. године по први пут дефинисане Програмом који усваја Влада, са јасно приказаним мерама, активностима, показатељима учинка, временским оквиром за реализацију и проценом финансијских средстава неопходних за његову реализацију. </w:t>
      </w:r>
      <w:r w:rsidR="00282921" w:rsidRPr="0081082A">
        <w:rPr>
          <w:rFonts w:ascii="Times New Roman" w:hAnsi="Times New Roman"/>
          <w:sz w:val="24"/>
          <w:lang w:val="sr-Cyrl-RS"/>
        </w:rPr>
        <w:t>Министарство финансија, у сарадњи са партнерским институцијама, сваке године припрема Извештај о реализацији Програма, који служи и као контролни механизам који указује на евентуална ка</w:t>
      </w:r>
      <w:r w:rsidR="00032C0E" w:rsidRPr="0081082A">
        <w:rPr>
          <w:rFonts w:ascii="Times New Roman" w:hAnsi="Times New Roman"/>
          <w:sz w:val="24"/>
          <w:lang w:val="sr-Cyrl-RS"/>
        </w:rPr>
        <w:t>ш</w:t>
      </w:r>
      <w:r w:rsidR="00282921" w:rsidRPr="0081082A">
        <w:rPr>
          <w:rFonts w:ascii="Times New Roman" w:hAnsi="Times New Roman"/>
          <w:sz w:val="24"/>
          <w:lang w:val="sr-Cyrl-RS"/>
        </w:rPr>
        <w:t xml:space="preserve">њења или изазове у процесу спровођења реформских корака. Новим Програмом обухваћене су, као и раније, све фазе буџетског циклуса, и сврстане су у шест посебних циљева Програма. Програм ће у наредном петогодишњем периоду представљати основу за даљи напредак и модернизацију у области управљања јавним финансијама. </w:t>
      </w:r>
      <w:r w:rsidRPr="0081082A">
        <w:rPr>
          <w:rFonts w:ascii="Times New Roman" w:hAnsi="Times New Roman"/>
          <w:sz w:val="24"/>
          <w:lang w:val="sr-Cyrl-RS"/>
        </w:rPr>
        <w:t xml:space="preserve"> </w:t>
      </w:r>
    </w:p>
    <w:p w:rsidR="00426E69" w:rsidRPr="0081082A" w:rsidRDefault="00FC2914" w:rsidP="00BB5654">
      <w:pPr>
        <w:spacing w:before="120" w:after="0" w:line="240" w:lineRule="auto"/>
        <w:ind w:firstLine="706"/>
        <w:jc w:val="both"/>
        <w:rPr>
          <w:rFonts w:ascii="Times New Roman" w:eastAsia="Calibri" w:hAnsi="Times New Roman" w:cs="Times New Roman"/>
          <w:bCs/>
          <w:sz w:val="24"/>
          <w:szCs w:val="24"/>
          <w:shd w:val="clear" w:color="auto" w:fill="FFFFFF"/>
          <w:lang w:val="sr-Cyrl-RS"/>
        </w:rPr>
      </w:pPr>
      <w:r w:rsidRPr="0081082A">
        <w:rPr>
          <w:rFonts w:ascii="Times New Roman" w:hAnsi="Times New Roman"/>
          <w:sz w:val="24"/>
          <w:lang w:val="sr-Cyrl-RS"/>
        </w:rPr>
        <w:tab/>
      </w:r>
      <w:r w:rsidR="00426E69" w:rsidRPr="0081082A">
        <w:rPr>
          <w:rFonts w:ascii="Times New Roman" w:hAnsi="Times New Roman" w:cs="Times New Roman"/>
          <w:sz w:val="24"/>
          <w:lang w:val="sr-Cyrl-RS"/>
        </w:rPr>
        <w:t>У</w:t>
      </w:r>
      <w:r w:rsidR="000470CE" w:rsidRPr="0081082A">
        <w:rPr>
          <w:rFonts w:ascii="Times New Roman" w:hAnsi="Times New Roman" w:cs="Times New Roman"/>
          <w:sz w:val="24"/>
          <w:lang w:val="sr-Cyrl-RS"/>
        </w:rPr>
        <w:t>напређење</w:t>
      </w:r>
      <w:r w:rsidR="00426E69" w:rsidRPr="0081082A">
        <w:rPr>
          <w:rFonts w:ascii="Times New Roman" w:hAnsi="Times New Roman" w:cs="Times New Roman"/>
          <w:sz w:val="24"/>
          <w:lang w:val="sr-Cyrl-RS"/>
        </w:rPr>
        <w:t xml:space="preserve"> програмског буџета треба </w:t>
      </w:r>
      <w:r w:rsidR="000470CE" w:rsidRPr="0081082A">
        <w:rPr>
          <w:rFonts w:ascii="Times New Roman" w:hAnsi="Times New Roman" w:cs="Times New Roman"/>
          <w:sz w:val="24"/>
          <w:lang w:val="sr-Cyrl-RS"/>
        </w:rPr>
        <w:t xml:space="preserve">да се настави кроз унапређење извештавања о учинку, али и </w:t>
      </w:r>
      <w:r w:rsidR="00426E69" w:rsidRPr="0081082A">
        <w:rPr>
          <w:rFonts w:ascii="Times New Roman" w:hAnsi="Times New Roman" w:cs="Times New Roman"/>
          <w:sz w:val="24"/>
          <w:lang w:val="sr-Cyrl-RS"/>
        </w:rPr>
        <w:t>да допринесе квалитету вишегодишњег планирања. Имајући у виду значај</w:t>
      </w:r>
      <w:r w:rsidR="00E92595" w:rsidRPr="0081082A">
        <w:rPr>
          <w:rFonts w:ascii="Times New Roman" w:hAnsi="Times New Roman" w:cs="Times New Roman"/>
          <w:sz w:val="24"/>
          <w:lang w:val="sr-Cyrl-RS"/>
        </w:rPr>
        <w:t xml:space="preserve"> капиталних издатака</w:t>
      </w:r>
      <w:r w:rsidR="00426E69" w:rsidRPr="0081082A">
        <w:rPr>
          <w:rFonts w:ascii="Times New Roman" w:hAnsi="Times New Roman" w:cs="Times New Roman"/>
          <w:sz w:val="24"/>
          <w:lang w:val="sr-Cyrl-RS"/>
        </w:rPr>
        <w:t xml:space="preserve">, управљање инвестицијама представља </w:t>
      </w:r>
      <w:r w:rsidR="00426E69" w:rsidRPr="0081082A">
        <w:rPr>
          <w:rFonts w:ascii="Times New Roman" w:eastAsia="Calibri" w:hAnsi="Times New Roman" w:cs="Times New Roman"/>
          <w:bCs/>
          <w:sz w:val="24"/>
          <w:szCs w:val="24"/>
          <w:shd w:val="clear" w:color="auto" w:fill="FFFFFF"/>
          <w:lang w:val="sr-Cyrl-RS"/>
        </w:rPr>
        <w:t xml:space="preserve">један од најважнијих приоритетних циљева Владе. </w:t>
      </w:r>
      <w:r w:rsidR="00E92595" w:rsidRPr="0081082A">
        <w:rPr>
          <w:rFonts w:ascii="Times New Roman" w:eastAsia="Calibri" w:hAnsi="Times New Roman" w:cs="Times New Roman"/>
          <w:bCs/>
          <w:sz w:val="24"/>
          <w:szCs w:val="24"/>
          <w:shd w:val="clear" w:color="auto" w:fill="FFFFFF"/>
          <w:lang w:val="sr-Cyrl-RS"/>
        </w:rPr>
        <w:t>А</w:t>
      </w:r>
      <w:r w:rsidR="00426E69" w:rsidRPr="0081082A">
        <w:rPr>
          <w:rFonts w:ascii="Times New Roman" w:eastAsia="Calibri" w:hAnsi="Times New Roman" w:cs="Times New Roman"/>
          <w:bCs/>
          <w:sz w:val="24"/>
          <w:szCs w:val="24"/>
          <w:shd w:val="clear" w:color="auto" w:fill="FFFFFF"/>
          <w:lang w:val="sr-Cyrl-RS"/>
        </w:rPr>
        <w:t xml:space="preserve">нализе </w:t>
      </w:r>
      <w:r w:rsidR="00E92595" w:rsidRPr="0081082A">
        <w:rPr>
          <w:rFonts w:ascii="Times New Roman" w:eastAsia="Calibri" w:hAnsi="Times New Roman" w:cs="Times New Roman"/>
          <w:bCs/>
          <w:sz w:val="24"/>
          <w:szCs w:val="24"/>
          <w:shd w:val="clear" w:color="auto" w:fill="FFFFFF"/>
          <w:lang w:val="sr-Cyrl-RS"/>
        </w:rPr>
        <w:t xml:space="preserve">које су спроведене указале су да </w:t>
      </w:r>
      <w:r w:rsidR="00426E69" w:rsidRPr="0081082A">
        <w:rPr>
          <w:rFonts w:ascii="Times New Roman" w:eastAsia="Calibri" w:hAnsi="Times New Roman" w:cs="Times New Roman"/>
          <w:bCs/>
          <w:sz w:val="24"/>
          <w:szCs w:val="24"/>
          <w:shd w:val="clear" w:color="auto" w:fill="FFFFFF"/>
          <w:lang w:val="sr-Cyrl-RS"/>
        </w:rPr>
        <w:t xml:space="preserve">недостатак средстава није био разлог </w:t>
      </w:r>
      <w:r w:rsidR="00E92595" w:rsidRPr="0081082A">
        <w:rPr>
          <w:rFonts w:ascii="Times New Roman" w:eastAsia="Calibri" w:hAnsi="Times New Roman" w:cs="Times New Roman"/>
          <w:bCs/>
          <w:sz w:val="24"/>
          <w:szCs w:val="24"/>
          <w:shd w:val="clear" w:color="auto" w:fill="FFFFFF"/>
          <w:lang w:val="sr-Cyrl-RS"/>
        </w:rPr>
        <w:t>за</w:t>
      </w:r>
      <w:r w:rsidR="00426E69" w:rsidRPr="0081082A">
        <w:rPr>
          <w:rFonts w:ascii="Times New Roman" w:eastAsia="Calibri" w:hAnsi="Times New Roman" w:cs="Times New Roman"/>
          <w:bCs/>
          <w:sz w:val="24"/>
          <w:szCs w:val="24"/>
          <w:shd w:val="clear" w:color="auto" w:fill="FFFFFF"/>
          <w:lang w:val="sr-Cyrl-RS"/>
        </w:rPr>
        <w:t xml:space="preserve"> </w:t>
      </w:r>
      <w:r w:rsidR="00E92595" w:rsidRPr="0081082A">
        <w:rPr>
          <w:rFonts w:ascii="Times New Roman" w:eastAsia="Calibri" w:hAnsi="Times New Roman" w:cs="Times New Roman"/>
          <w:bCs/>
          <w:sz w:val="24"/>
          <w:szCs w:val="24"/>
          <w:shd w:val="clear" w:color="auto" w:fill="FFFFFF"/>
          <w:lang w:val="sr-Cyrl-RS"/>
        </w:rPr>
        <w:t xml:space="preserve">лошу </w:t>
      </w:r>
      <w:r w:rsidR="00426E69" w:rsidRPr="0081082A">
        <w:rPr>
          <w:rFonts w:ascii="Times New Roman" w:eastAsia="Calibri" w:hAnsi="Times New Roman" w:cs="Times New Roman"/>
          <w:bCs/>
          <w:sz w:val="24"/>
          <w:szCs w:val="24"/>
          <w:shd w:val="clear" w:color="auto" w:fill="FFFFFF"/>
          <w:lang w:val="sr-Cyrl-RS"/>
        </w:rPr>
        <w:t>реализациј</w:t>
      </w:r>
      <w:r w:rsidR="00E92595" w:rsidRPr="0081082A">
        <w:rPr>
          <w:rFonts w:ascii="Times New Roman" w:eastAsia="Calibri" w:hAnsi="Times New Roman" w:cs="Times New Roman"/>
          <w:bCs/>
          <w:sz w:val="24"/>
          <w:szCs w:val="24"/>
          <w:shd w:val="clear" w:color="auto" w:fill="FFFFFF"/>
          <w:lang w:val="sr-Cyrl-RS"/>
        </w:rPr>
        <w:t>у</w:t>
      </w:r>
      <w:r w:rsidR="00426E69" w:rsidRPr="0081082A">
        <w:rPr>
          <w:rFonts w:ascii="Times New Roman" w:eastAsia="Calibri" w:hAnsi="Times New Roman" w:cs="Times New Roman"/>
          <w:bCs/>
          <w:sz w:val="24"/>
          <w:szCs w:val="24"/>
          <w:shd w:val="clear" w:color="auto" w:fill="FFFFFF"/>
          <w:lang w:val="sr-Cyrl-RS"/>
        </w:rPr>
        <w:t xml:space="preserve"> капиталних издатака, али је неспорно да непрепознавање могућих фискалних ризика може утицати на стабилност јавних финансија. У циљу ефикасног управљања имовином и обавезама</w:t>
      </w:r>
      <w:r w:rsidR="004107F5" w:rsidRPr="0081082A">
        <w:rPr>
          <w:rFonts w:ascii="Times New Roman" w:eastAsia="Calibri" w:hAnsi="Times New Roman" w:cs="Times New Roman"/>
          <w:bCs/>
          <w:sz w:val="24"/>
          <w:szCs w:val="24"/>
          <w:shd w:val="clear" w:color="auto" w:fill="FFFFFF"/>
          <w:lang w:val="sr-Cyrl-RS"/>
        </w:rPr>
        <w:t>,</w:t>
      </w:r>
      <w:r w:rsidR="00426E69" w:rsidRPr="0081082A">
        <w:rPr>
          <w:rFonts w:ascii="Times New Roman" w:eastAsia="Calibri" w:hAnsi="Times New Roman" w:cs="Times New Roman"/>
          <w:bCs/>
          <w:sz w:val="24"/>
          <w:szCs w:val="24"/>
          <w:shd w:val="clear" w:color="auto" w:fill="FFFFFF"/>
          <w:lang w:val="sr-Cyrl-RS"/>
        </w:rPr>
        <w:t xml:space="preserve"> Министарство финансија предузима мере за јачање капацитета за праћење фискалних ризика.</w:t>
      </w:r>
    </w:p>
    <w:p w:rsidR="00426E69" w:rsidRPr="0081082A" w:rsidRDefault="00426E69" w:rsidP="00BB5654">
      <w:pPr>
        <w:spacing w:before="120"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П</w:t>
      </w:r>
      <w:r w:rsidR="003F5FAB" w:rsidRPr="0081082A">
        <w:rPr>
          <w:rFonts w:ascii="Times New Roman" w:hAnsi="Times New Roman" w:cs="Times New Roman"/>
          <w:sz w:val="24"/>
          <w:szCs w:val="24"/>
          <w:lang w:val="sr-Cyrl-RS"/>
        </w:rPr>
        <w:t xml:space="preserve">ореска </w:t>
      </w:r>
      <w:r w:rsidR="00A1663C" w:rsidRPr="0081082A">
        <w:rPr>
          <w:rFonts w:ascii="Times New Roman" w:hAnsi="Times New Roman" w:cs="Times New Roman"/>
          <w:sz w:val="24"/>
          <w:szCs w:val="24"/>
          <w:lang w:val="sr-Cyrl-RS"/>
        </w:rPr>
        <w:t xml:space="preserve">управа </w:t>
      </w:r>
      <w:r w:rsidRPr="0081082A">
        <w:rPr>
          <w:rFonts w:ascii="Times New Roman" w:hAnsi="Times New Roman" w:cs="Times New Roman"/>
          <w:sz w:val="24"/>
          <w:szCs w:val="24"/>
          <w:lang w:val="sr-Cyrl-RS"/>
        </w:rPr>
        <w:t xml:space="preserve">ће </w:t>
      </w:r>
      <w:r w:rsidR="00E92595" w:rsidRPr="0081082A">
        <w:rPr>
          <w:rFonts w:ascii="Times New Roman" w:hAnsi="Times New Roman" w:cs="Times New Roman"/>
          <w:sz w:val="24"/>
          <w:szCs w:val="24"/>
          <w:lang w:val="sr-Cyrl-RS"/>
        </w:rPr>
        <w:t>наставити реализацију</w:t>
      </w:r>
      <w:r w:rsidRPr="0081082A">
        <w:rPr>
          <w:rFonts w:ascii="Times New Roman" w:hAnsi="Times New Roman" w:cs="Times New Roman"/>
          <w:sz w:val="24"/>
          <w:szCs w:val="24"/>
          <w:lang w:val="sr-Cyrl-RS"/>
        </w:rPr>
        <w:t xml:space="preserve"> Програма трансформације. </w:t>
      </w:r>
      <w:r w:rsidR="00E92595" w:rsidRPr="0081082A">
        <w:rPr>
          <w:rFonts w:ascii="Times New Roman" w:hAnsi="Times New Roman" w:cs="Times New Roman"/>
          <w:sz w:val="24"/>
          <w:szCs w:val="24"/>
          <w:lang w:val="sr-Cyrl-RS"/>
        </w:rPr>
        <w:t>П</w:t>
      </w:r>
      <w:r w:rsidRPr="0081082A">
        <w:rPr>
          <w:rFonts w:ascii="Times New Roman" w:hAnsi="Times New Roman" w:cs="Times New Roman"/>
          <w:sz w:val="24"/>
          <w:szCs w:val="24"/>
          <w:lang w:val="sr-Cyrl-RS"/>
        </w:rPr>
        <w:t xml:space="preserve">ланиран је </w:t>
      </w:r>
      <w:r w:rsidR="00A1663C">
        <w:rPr>
          <w:rFonts w:ascii="Times New Roman" w:hAnsi="Times New Roman" w:cs="Times New Roman"/>
          <w:sz w:val="24"/>
          <w:szCs w:val="24"/>
          <w:lang w:val="sr-Cyrl-RS"/>
        </w:rPr>
        <w:t>даљи развој</w:t>
      </w:r>
      <w:r w:rsidRPr="0081082A">
        <w:rPr>
          <w:rFonts w:ascii="Times New Roman" w:hAnsi="Times New Roman" w:cs="Times New Roman"/>
          <w:sz w:val="24"/>
          <w:szCs w:val="24"/>
          <w:lang w:val="sr-Cyrl-RS"/>
        </w:rPr>
        <w:t xml:space="preserve"> основне пореске делатности. </w:t>
      </w:r>
      <w:r w:rsidRPr="0081082A">
        <w:rPr>
          <w:rFonts w:ascii="Times New Roman" w:hAnsi="Times New Roman"/>
          <w:sz w:val="24"/>
          <w:lang w:val="sr-Cyrl-RS"/>
        </w:rPr>
        <w:t>Сам</w:t>
      </w:r>
      <w:r w:rsidRPr="0081082A">
        <w:rPr>
          <w:rFonts w:ascii="Times New Roman" w:hAnsi="Times New Roman" w:cs="Times New Roman"/>
          <w:sz w:val="24"/>
          <w:szCs w:val="24"/>
          <w:lang w:val="sr-Cyrl-RS"/>
        </w:rPr>
        <w:t xml:space="preserve"> процес консолидације организационих јединица </w:t>
      </w:r>
      <w:r w:rsidR="00354C3B" w:rsidRPr="0081082A">
        <w:rPr>
          <w:rFonts w:ascii="Times New Roman" w:hAnsi="Times New Roman" w:cs="Times New Roman"/>
          <w:sz w:val="24"/>
          <w:szCs w:val="24"/>
          <w:lang w:val="sr-Cyrl-RS"/>
        </w:rPr>
        <w:t>Пореске управе</w:t>
      </w:r>
      <w:r w:rsidRPr="0081082A">
        <w:rPr>
          <w:rFonts w:ascii="Times New Roman" w:hAnsi="Times New Roman" w:cs="Times New Roman"/>
          <w:sz w:val="24"/>
          <w:szCs w:val="24"/>
          <w:lang w:val="sr-Cyrl-RS"/>
        </w:rPr>
        <w:t xml:space="preserve"> биће настављен сходно идентификованим потребама за новом организационом структуром</w:t>
      </w:r>
      <w:r w:rsidR="004107F5"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условљеном редизајном пословних процеса</w:t>
      </w:r>
      <w:r w:rsidR="001456B7"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унапређењем делотворности наплате пореза, као и смањењем трошкова у испуњавању пореских обавеза за пореске обвезнике. </w:t>
      </w:r>
      <w:r w:rsidR="00354C3B" w:rsidRPr="0081082A">
        <w:rPr>
          <w:rFonts w:ascii="Times New Roman" w:hAnsi="Times New Roman" w:cs="Times New Roman"/>
          <w:sz w:val="24"/>
          <w:szCs w:val="24"/>
          <w:lang w:val="sr-Cyrl-RS"/>
        </w:rPr>
        <w:t xml:space="preserve">И у наредном периоду посебна пажња биће посвећена </w:t>
      </w:r>
      <w:r w:rsidRPr="0081082A">
        <w:rPr>
          <w:rFonts w:ascii="Times New Roman" w:hAnsi="Times New Roman" w:cs="Times New Roman"/>
          <w:sz w:val="24"/>
          <w:szCs w:val="24"/>
          <w:lang w:val="sr-Cyrl-RS"/>
        </w:rPr>
        <w:t xml:space="preserve"> унапређењу постојећих и увођењу нових услуга, које ће се развијати у складу са потребама пореских обвезника, </w:t>
      </w:r>
      <w:r w:rsidR="00354C3B" w:rsidRPr="0081082A">
        <w:rPr>
          <w:rFonts w:ascii="Times New Roman" w:hAnsi="Times New Roman" w:cs="Times New Roman"/>
          <w:sz w:val="24"/>
          <w:szCs w:val="24"/>
          <w:lang w:val="sr-Cyrl-RS"/>
        </w:rPr>
        <w:t>са посебним акцентом</w:t>
      </w:r>
      <w:r w:rsidRPr="0081082A">
        <w:rPr>
          <w:rFonts w:ascii="Times New Roman" w:hAnsi="Times New Roman" w:cs="Times New Roman"/>
          <w:sz w:val="24"/>
          <w:szCs w:val="24"/>
          <w:lang w:val="sr-Cyrl-RS"/>
        </w:rPr>
        <w:t xml:space="preserve"> на електронск</w:t>
      </w:r>
      <w:r w:rsidR="00354C3B" w:rsidRPr="0081082A">
        <w:rPr>
          <w:rFonts w:ascii="Times New Roman" w:hAnsi="Times New Roman" w:cs="Times New Roman"/>
          <w:sz w:val="24"/>
          <w:szCs w:val="24"/>
          <w:lang w:val="sr-Cyrl-RS"/>
        </w:rPr>
        <w:t>у</w:t>
      </w:r>
      <w:r w:rsidRPr="0081082A">
        <w:rPr>
          <w:rFonts w:ascii="Times New Roman" w:hAnsi="Times New Roman" w:cs="Times New Roman"/>
          <w:sz w:val="24"/>
          <w:szCs w:val="24"/>
          <w:lang w:val="sr-Cyrl-RS"/>
        </w:rPr>
        <w:t xml:space="preserve"> комуникациј</w:t>
      </w:r>
      <w:r w:rsidR="00354C3B" w:rsidRPr="0081082A">
        <w:rPr>
          <w:rFonts w:ascii="Times New Roman" w:hAnsi="Times New Roman" w:cs="Times New Roman"/>
          <w:sz w:val="24"/>
          <w:szCs w:val="24"/>
          <w:lang w:val="sr-Cyrl-RS"/>
        </w:rPr>
        <w:t>у</w:t>
      </w:r>
      <w:r w:rsidRPr="0081082A">
        <w:rPr>
          <w:rFonts w:ascii="Times New Roman" w:hAnsi="Times New Roman" w:cs="Times New Roman"/>
          <w:sz w:val="24"/>
          <w:szCs w:val="24"/>
          <w:lang w:val="sr-Cyrl-RS"/>
        </w:rPr>
        <w:t xml:space="preserve"> преко једне контакт тачке – личног е-</w:t>
      </w:r>
      <w:r w:rsidR="00A1663C" w:rsidRPr="0081082A">
        <w:rPr>
          <w:rFonts w:ascii="Times New Roman" w:hAnsi="Times New Roman" w:cs="Times New Roman"/>
          <w:sz w:val="24"/>
          <w:szCs w:val="24"/>
          <w:lang w:val="sr-Cyrl-RS"/>
        </w:rPr>
        <w:t>портала</w:t>
      </w:r>
      <w:r w:rsidRPr="0081082A">
        <w:rPr>
          <w:rFonts w:ascii="Times New Roman" w:hAnsi="Times New Roman" w:cs="Times New Roman"/>
          <w:sz w:val="24"/>
          <w:szCs w:val="24"/>
          <w:lang w:val="sr-Cyrl-RS"/>
        </w:rPr>
        <w:t xml:space="preserve">. </w:t>
      </w:r>
    </w:p>
    <w:p w:rsidR="00426E69" w:rsidRPr="0081082A" w:rsidRDefault="00426E69" w:rsidP="00BB5654">
      <w:pPr>
        <w:spacing w:before="120"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lastRenderedPageBreak/>
        <w:t xml:space="preserve">Реформске мере </w:t>
      </w:r>
      <w:r w:rsidR="00A43C7D" w:rsidRPr="0081082A">
        <w:rPr>
          <w:rFonts w:ascii="Times New Roman" w:hAnsi="Times New Roman" w:cs="Times New Roman"/>
          <w:bCs/>
          <w:sz w:val="24"/>
          <w:szCs w:val="24"/>
          <w:lang w:val="sr-Cyrl-RS"/>
        </w:rPr>
        <w:t>у области управљања јавним дугом</w:t>
      </w:r>
      <w:r w:rsidRPr="0081082A">
        <w:rPr>
          <w:rFonts w:ascii="Times New Roman" w:hAnsi="Times New Roman" w:cs="Times New Roman"/>
          <w:bCs/>
          <w:sz w:val="24"/>
          <w:szCs w:val="24"/>
          <w:lang w:val="sr-Cyrl-RS"/>
        </w:rPr>
        <w:t xml:space="preserve"> су примарно оријентисане на унапређење ИТ система, јачање стратешког управљања и јачање административних капацитета. </w:t>
      </w:r>
      <w:r w:rsidR="008B77EB" w:rsidRPr="0081082A">
        <w:rPr>
          <w:rFonts w:ascii="Times New Roman" w:hAnsi="Times New Roman" w:cs="Times New Roman"/>
          <w:bCs/>
          <w:sz w:val="24"/>
          <w:szCs w:val="24"/>
          <w:lang w:val="sr-Cyrl-RS"/>
        </w:rPr>
        <w:t>П</w:t>
      </w:r>
      <w:r w:rsidRPr="0081082A">
        <w:rPr>
          <w:rFonts w:ascii="Times New Roman" w:hAnsi="Times New Roman" w:cs="Times New Roman"/>
          <w:bCs/>
          <w:sz w:val="24"/>
          <w:szCs w:val="24"/>
          <w:lang w:val="sr-Cyrl-RS"/>
        </w:rPr>
        <w:t xml:space="preserve">ланирано је </w:t>
      </w:r>
      <w:r w:rsidR="008B77EB" w:rsidRPr="0081082A">
        <w:rPr>
          <w:rFonts w:ascii="Times New Roman" w:hAnsi="Times New Roman" w:cs="Times New Roman"/>
          <w:bCs/>
          <w:sz w:val="24"/>
          <w:szCs w:val="24"/>
          <w:lang w:val="sr-Cyrl-RS"/>
        </w:rPr>
        <w:t xml:space="preserve">даље унапређење </w:t>
      </w:r>
      <w:r w:rsidRPr="0081082A">
        <w:rPr>
          <w:rFonts w:ascii="Times New Roman" w:hAnsi="Times New Roman" w:cs="Times New Roman"/>
          <w:bCs/>
          <w:sz w:val="24"/>
          <w:szCs w:val="24"/>
          <w:lang w:val="sr-Cyrl-RS"/>
        </w:rPr>
        <w:t xml:space="preserve">знања из области анализе ризика и трошкова. </w:t>
      </w:r>
      <w:r w:rsidR="008B77EB" w:rsidRPr="0081082A">
        <w:rPr>
          <w:rFonts w:ascii="Times New Roman" w:hAnsi="Times New Roman" w:cs="Times New Roman"/>
          <w:bCs/>
          <w:sz w:val="24"/>
          <w:szCs w:val="24"/>
          <w:lang w:val="sr-Cyrl-RS"/>
        </w:rPr>
        <w:t>П</w:t>
      </w:r>
      <w:r w:rsidRPr="0081082A">
        <w:rPr>
          <w:rFonts w:ascii="Times New Roman" w:hAnsi="Times New Roman" w:cs="Times New Roman"/>
          <w:bCs/>
          <w:sz w:val="24"/>
          <w:szCs w:val="24"/>
          <w:lang w:val="sr-Cyrl-RS"/>
        </w:rPr>
        <w:t>риступиће се изради софтверског решења новог модела за управљање ризицима, чија ће примена значајно допринети капацитетима Управе за јавни дуг у процесима анализе односа ризика и трошкова задуживања, те значајно допринети развоју стратегије задуживања Р</w:t>
      </w:r>
      <w:r w:rsidR="00154AE6" w:rsidRPr="0081082A">
        <w:rPr>
          <w:rFonts w:ascii="Times New Roman" w:hAnsi="Times New Roman" w:cs="Times New Roman"/>
          <w:bCs/>
          <w:sz w:val="24"/>
          <w:szCs w:val="24"/>
          <w:lang w:val="sr-Cyrl-RS"/>
        </w:rPr>
        <w:t>епублике Србије</w:t>
      </w:r>
      <w:r w:rsidRPr="0081082A">
        <w:rPr>
          <w:rFonts w:ascii="Times New Roman" w:hAnsi="Times New Roman" w:cs="Times New Roman"/>
          <w:bCs/>
          <w:sz w:val="24"/>
          <w:szCs w:val="24"/>
          <w:lang w:val="sr-Cyrl-RS"/>
        </w:rPr>
        <w:t xml:space="preserve"> на средњи и дужи рок. </w:t>
      </w:r>
    </w:p>
    <w:p w:rsidR="00426E69" w:rsidRPr="0081082A" w:rsidRDefault="00426E69" w:rsidP="00BB5654">
      <w:pPr>
        <w:spacing w:before="120"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наредн</w:t>
      </w:r>
      <w:r w:rsidR="00F11D28" w:rsidRPr="0081082A">
        <w:rPr>
          <w:rFonts w:ascii="Times New Roman" w:hAnsi="Times New Roman" w:cs="Times New Roman"/>
          <w:sz w:val="24"/>
          <w:szCs w:val="24"/>
          <w:lang w:val="sr-Cyrl-RS"/>
        </w:rPr>
        <w:t xml:space="preserve">ом периоду </w:t>
      </w:r>
      <w:r w:rsidRPr="0081082A">
        <w:rPr>
          <w:rFonts w:ascii="Times New Roman" w:hAnsi="Times New Roman" w:cs="Times New Roman"/>
          <w:sz w:val="24"/>
          <w:szCs w:val="24"/>
          <w:lang w:val="sr-Cyrl-RS"/>
        </w:rPr>
        <w:t>Канцеларија за јавне набавке остаће посвећена унапређењу електронског система јавних набавки, првенствено кроз надоградњу новог е</w:t>
      </w:r>
      <w:r w:rsidR="00F11D28" w:rsidRPr="0081082A">
        <w:rPr>
          <w:rFonts w:ascii="Times New Roman" w:hAnsi="Times New Roman" w:cs="Times New Roman"/>
          <w:sz w:val="24"/>
          <w:szCs w:val="24"/>
          <w:lang w:val="sr-Cyrl-RS"/>
        </w:rPr>
        <w:t>-</w:t>
      </w:r>
      <w:r w:rsidR="00A1663C" w:rsidRPr="0081082A">
        <w:rPr>
          <w:rFonts w:ascii="Times New Roman" w:hAnsi="Times New Roman" w:cs="Times New Roman"/>
          <w:sz w:val="24"/>
          <w:szCs w:val="24"/>
          <w:lang w:val="sr-Cyrl-RS"/>
        </w:rPr>
        <w:t xml:space="preserve">портала </w:t>
      </w:r>
      <w:r w:rsidRPr="0081082A">
        <w:rPr>
          <w:rFonts w:ascii="Times New Roman" w:hAnsi="Times New Roman" w:cs="Times New Roman"/>
          <w:sz w:val="24"/>
          <w:szCs w:val="24"/>
          <w:lang w:val="sr-Cyrl-RS"/>
        </w:rPr>
        <w:t>јавних набавки, кроз израду нових модула, као и израду мобилне апликације која ће омогућити једноставнији приступ и једноставније праћење понуђачима и наручиоцима током целог процеса јавне набавке, од објављивања, па све до закључења.</w:t>
      </w:r>
    </w:p>
    <w:p w:rsidR="00764790" w:rsidRPr="0081082A" w:rsidRDefault="00764790" w:rsidP="00BB5654">
      <w:pPr>
        <w:spacing w:before="120"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Циљ претходне Стратегије ИФКЈ, пре интегрисања ове области у ПРУЈФ, је био усмерен ка успостављању система и унапређењу квалитета система ФУК и ИР. У том периоду постигнути су значајни резултати, научене су многе лекције и усвојене су препоруке из годишњих извештаја Европске комисије Србији, односно препоруке које се односе на идентификоване слабости одређених сегмената система у консолидованим годишњим извештајима о стању ИФКЈ у Републици Србији. ЦЈХ ће због тога, у оквиру новог ПРУЈФ 2021-2025, фокус активности ставити на даље унапређење </w:t>
      </w:r>
      <w:r w:rsidRPr="0081082A">
        <w:rPr>
          <w:rFonts w:ascii="Times New Roman" w:hAnsi="Times New Roman" w:cs="Times New Roman"/>
          <w:bCs/>
          <w:sz w:val="24"/>
          <w:szCs w:val="24"/>
          <w:lang w:val="sr-Cyrl-RS"/>
        </w:rPr>
        <w:t>примене</w:t>
      </w:r>
      <w:r w:rsidRPr="0081082A">
        <w:rPr>
          <w:rFonts w:ascii="Times New Roman" w:hAnsi="Times New Roman" w:cs="Times New Roman"/>
          <w:sz w:val="24"/>
          <w:szCs w:val="24"/>
          <w:lang w:val="sr-Cyrl-RS"/>
        </w:rPr>
        <w:t xml:space="preserve"> система ИФКЈ, односно на суштину функционисања ИФКЈ. </w:t>
      </w:r>
    </w:p>
    <w:p w:rsidR="00764790" w:rsidRPr="0081082A" w:rsidRDefault="00764790" w:rsidP="00BB5654">
      <w:pPr>
        <w:spacing w:before="120"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Централна јединица за хармонизацију</w:t>
      </w:r>
      <w:r w:rsidR="001F2CBB"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кроз консолидовани годишњи извештај</w:t>
      </w:r>
      <w:r w:rsidR="001F2CBB"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прати стање у области ИФКЈ</w:t>
      </w:r>
      <w:r w:rsidR="006A2B30" w:rsidRPr="0081082A">
        <w:rPr>
          <w:rFonts w:ascii="Times New Roman" w:hAnsi="Times New Roman" w:cs="Times New Roman"/>
          <w:sz w:val="24"/>
          <w:szCs w:val="24"/>
          <w:lang w:val="sr-Cyrl-RS"/>
        </w:rPr>
        <w:t xml:space="preserve"> и узима у обзир </w:t>
      </w:r>
      <w:r w:rsidRPr="0081082A">
        <w:rPr>
          <w:rFonts w:ascii="Times New Roman" w:hAnsi="Times New Roman" w:cs="Times New Roman"/>
          <w:sz w:val="24"/>
          <w:szCs w:val="24"/>
          <w:lang w:val="sr-Cyrl-RS"/>
        </w:rPr>
        <w:t xml:space="preserve">и информације </w:t>
      </w:r>
      <w:r w:rsidR="006A2B30" w:rsidRPr="0081082A">
        <w:rPr>
          <w:rFonts w:ascii="Times New Roman" w:hAnsi="Times New Roman" w:cs="Times New Roman"/>
          <w:sz w:val="24"/>
          <w:szCs w:val="24"/>
          <w:lang w:val="sr-Cyrl-RS"/>
        </w:rPr>
        <w:t xml:space="preserve">и </w:t>
      </w:r>
      <w:r w:rsidRPr="0081082A">
        <w:rPr>
          <w:rFonts w:ascii="Times New Roman" w:hAnsi="Times New Roman" w:cs="Times New Roman"/>
          <w:sz w:val="24"/>
          <w:szCs w:val="24"/>
          <w:lang w:val="sr-Cyrl-RS"/>
        </w:rPr>
        <w:t>закључ</w:t>
      </w:r>
      <w:r w:rsidR="006A2B30" w:rsidRPr="0081082A">
        <w:rPr>
          <w:rFonts w:ascii="Times New Roman" w:hAnsi="Times New Roman" w:cs="Times New Roman"/>
          <w:sz w:val="24"/>
          <w:szCs w:val="24"/>
          <w:lang w:val="sr-Cyrl-RS"/>
        </w:rPr>
        <w:t>ке</w:t>
      </w:r>
      <w:r w:rsidRPr="0081082A">
        <w:rPr>
          <w:rFonts w:ascii="Times New Roman" w:hAnsi="Times New Roman" w:cs="Times New Roman"/>
          <w:sz w:val="24"/>
          <w:szCs w:val="24"/>
          <w:lang w:val="sr-Cyrl-RS"/>
        </w:rPr>
        <w:t xml:space="preserve"> екстерних процена система (СИГМА, ПЕФА), процене ЕК из </w:t>
      </w:r>
      <w:r w:rsidR="001F2CBB" w:rsidRPr="0081082A">
        <w:rPr>
          <w:rFonts w:ascii="Times New Roman" w:hAnsi="Times New Roman" w:cs="Times New Roman"/>
          <w:sz w:val="24"/>
          <w:szCs w:val="24"/>
          <w:lang w:val="sr-Cyrl-RS"/>
        </w:rPr>
        <w:t>И</w:t>
      </w:r>
      <w:r w:rsidRPr="0081082A">
        <w:rPr>
          <w:rFonts w:ascii="Times New Roman" w:hAnsi="Times New Roman" w:cs="Times New Roman"/>
          <w:sz w:val="24"/>
          <w:szCs w:val="24"/>
          <w:lang w:val="sr-Cyrl-RS"/>
        </w:rPr>
        <w:t>звештаја о напретку у вези са поглављем 32, главн</w:t>
      </w:r>
      <w:r w:rsidR="006A2B30" w:rsidRPr="0081082A">
        <w:rPr>
          <w:rFonts w:ascii="Times New Roman" w:hAnsi="Times New Roman" w:cs="Times New Roman"/>
          <w:sz w:val="24"/>
          <w:szCs w:val="24"/>
          <w:lang w:val="sr-Cyrl-RS"/>
        </w:rPr>
        <w:t>е</w:t>
      </w:r>
      <w:r w:rsidRPr="0081082A">
        <w:rPr>
          <w:rFonts w:ascii="Times New Roman" w:hAnsi="Times New Roman" w:cs="Times New Roman"/>
          <w:sz w:val="24"/>
          <w:szCs w:val="24"/>
          <w:lang w:val="sr-Cyrl-RS"/>
        </w:rPr>
        <w:t xml:space="preserve"> закључ</w:t>
      </w:r>
      <w:r w:rsidR="006A2B30" w:rsidRPr="0081082A">
        <w:rPr>
          <w:rFonts w:ascii="Times New Roman" w:hAnsi="Times New Roman" w:cs="Times New Roman"/>
          <w:sz w:val="24"/>
          <w:szCs w:val="24"/>
          <w:lang w:val="sr-Cyrl-RS"/>
        </w:rPr>
        <w:t>ке</w:t>
      </w:r>
      <w:r w:rsidRPr="0081082A">
        <w:rPr>
          <w:rFonts w:ascii="Times New Roman" w:hAnsi="Times New Roman" w:cs="Times New Roman"/>
          <w:sz w:val="24"/>
          <w:szCs w:val="24"/>
          <w:lang w:val="sr-Cyrl-RS"/>
        </w:rPr>
        <w:t xml:space="preserve"> екстерних процена квалитета рада ИР</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система ФУК које обавља ЦЈХ. ЦЈХ редовно сарађује са релевантним државним институцијама, колегама из КЈС, интерним ревизорима</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координаторима за ФУК из КЈС. Осим наведеног, у систем ИФКЈ су уведене новине последњом изменом ФУК Правилника (управљање неправилностима, изјава о управљању), отвориле су се могућности дигитализације а претходним АП ИФКЈ Стратегије се већ увелико ради на подизању квалитета рада ИР кроз обавезу стручног усавршавања и унапређења у оквиру обезбеђивања квалитета у области ИР. </w:t>
      </w:r>
    </w:p>
    <w:p w:rsidR="0002177B" w:rsidRPr="0081082A" w:rsidRDefault="00764790" w:rsidP="00BB5654">
      <w:pPr>
        <w:shd w:val="clear" w:color="auto" w:fill="FFFFFF" w:themeFill="background1"/>
        <w:spacing w:before="120" w:after="0" w:line="240" w:lineRule="auto"/>
        <w:ind w:firstLine="708"/>
        <w:jc w:val="both"/>
        <w:rPr>
          <w:rFonts w:ascii="Times New Roman" w:hAnsi="Times New Roman"/>
          <w:sz w:val="24"/>
          <w:lang w:val="sr-Cyrl-RS"/>
        </w:rPr>
      </w:pPr>
      <w:r w:rsidRPr="0081082A">
        <w:rPr>
          <w:rFonts w:ascii="Times New Roman" w:hAnsi="Times New Roman"/>
          <w:sz w:val="24"/>
          <w:lang w:val="sr-Cyrl-RS"/>
        </w:rPr>
        <w:t>У ПРУЈФ 2021-2025 планиране су следеће реформске мере у области ИФКЈ</w:t>
      </w:r>
      <w:r w:rsidR="00426153" w:rsidRPr="0081082A">
        <w:rPr>
          <w:rFonts w:ascii="Times New Roman" w:hAnsi="Times New Roman"/>
          <w:sz w:val="24"/>
          <w:lang w:val="sr-Cyrl-RS"/>
        </w:rPr>
        <w:t>,</w:t>
      </w:r>
      <w:r w:rsidRPr="0081082A">
        <w:rPr>
          <w:rFonts w:ascii="Times New Roman" w:hAnsi="Times New Roman"/>
          <w:sz w:val="24"/>
          <w:lang w:val="sr-Cyrl-RS"/>
        </w:rPr>
        <w:t xml:space="preserve"> и то: Унапређење система ФУК-а у институцијама јавног сектора, унапређена функција интерне ревизије у јавном сектору у складу са међународним стандардима и начелима, ојачано праћење интерне контроле у јавном сектору (ИКЈС) и модернизација система обучавања из области ИФКЈ.</w:t>
      </w:r>
    </w:p>
    <w:p w:rsidR="00764790" w:rsidRPr="0081082A" w:rsidRDefault="00764790" w:rsidP="00BB5654">
      <w:pPr>
        <w:spacing w:before="120" w:after="0" w:line="240" w:lineRule="auto"/>
        <w:ind w:firstLine="708"/>
        <w:jc w:val="both"/>
        <w:rPr>
          <w:rFonts w:ascii="Times New Roman" w:eastAsia="Calibri" w:hAnsi="Times New Roman" w:cs="Times New Roman"/>
          <w:sz w:val="24"/>
          <w:szCs w:val="24"/>
          <w:lang w:val="sr-Cyrl-RS"/>
        </w:rPr>
      </w:pPr>
      <w:r w:rsidRPr="0081082A">
        <w:rPr>
          <w:rFonts w:ascii="Times New Roman" w:hAnsi="Times New Roman" w:cs="Times New Roman"/>
          <w:sz w:val="24"/>
          <w:szCs w:val="24"/>
          <w:lang w:val="sr-Cyrl-RS"/>
        </w:rPr>
        <w:t xml:space="preserve">Имајући у виду да реформе ИФКЈ нису изоловане, већ треба да потпомогну остварењу стратешких циљева, у поступку даље примене Закона о планском систему </w:t>
      </w:r>
      <w:r w:rsidR="002A61BC" w:rsidRPr="0081082A">
        <w:rPr>
          <w:rFonts w:ascii="Times New Roman" w:hAnsi="Times New Roman" w:cs="Times New Roman"/>
          <w:sz w:val="24"/>
          <w:szCs w:val="24"/>
          <w:lang w:val="sr-Cyrl-RS"/>
        </w:rPr>
        <w:t>Републике Србије</w:t>
      </w:r>
      <w:r w:rsidRPr="0081082A">
        <w:rPr>
          <w:rFonts w:ascii="Times New Roman" w:hAnsi="Times New Roman" w:cs="Times New Roman"/>
          <w:sz w:val="24"/>
          <w:szCs w:val="24"/>
          <w:lang w:val="sr-Cyrl-RS"/>
        </w:rPr>
        <w:t xml:space="preserve">, и у вези са тим - даљим унапређењем средњорочног планирања планираним под Посебним циљем </w:t>
      </w:r>
      <w:r w:rsidRPr="0081082A">
        <w:rPr>
          <w:rFonts w:ascii="Times New Roman" w:eastAsia="Calibri" w:hAnsi="Times New Roman" w:cs="Times New Roman"/>
          <w:sz w:val="24"/>
          <w:szCs w:val="24"/>
          <w:lang w:val="sr-Cyrl-RS"/>
        </w:rPr>
        <w:t xml:space="preserve">I ПРУЈФ 2021-2025 - Унапређени капацитети за буџетско планирање и управљање јавним инвестицијама, сагледаће се начин доприноса успостављања везе  организационих циљева и јавних политика на републичком нивоу. </w:t>
      </w:r>
    </w:p>
    <w:p w:rsidR="00764790" w:rsidRPr="0081082A" w:rsidRDefault="00764790" w:rsidP="00BB5654">
      <w:pPr>
        <w:pStyle w:val="BodyText"/>
        <w:tabs>
          <w:tab w:val="left" w:pos="0"/>
        </w:tabs>
        <w:spacing w:before="120"/>
        <w:rPr>
          <w:rFonts w:ascii="Times New Roman" w:hAnsi="Times New Roman"/>
          <w:szCs w:val="24"/>
          <w:lang w:val="sr-Cyrl-RS"/>
        </w:rPr>
      </w:pPr>
      <w:r w:rsidRPr="0081082A">
        <w:rPr>
          <w:rFonts w:ascii="Times New Roman" w:hAnsi="Times New Roman"/>
          <w:szCs w:val="24"/>
          <w:lang w:val="sr-Cyrl-RS"/>
        </w:rPr>
        <w:tab/>
        <w:t>Потребно је даље унапређење капацитета за планирање и међуинституционалну координацију, као и буџетирање. Такође, велики број докумената јавн</w:t>
      </w:r>
      <w:r w:rsidR="00814036" w:rsidRPr="0081082A">
        <w:rPr>
          <w:rFonts w:ascii="Times New Roman" w:hAnsi="Times New Roman"/>
          <w:szCs w:val="24"/>
          <w:lang w:val="sr-Cyrl-RS"/>
        </w:rPr>
        <w:t>их</w:t>
      </w:r>
      <w:r w:rsidRPr="0081082A">
        <w:rPr>
          <w:rFonts w:ascii="Times New Roman" w:hAnsi="Times New Roman"/>
          <w:szCs w:val="24"/>
          <w:lang w:val="sr-Cyrl-RS"/>
        </w:rPr>
        <w:t xml:space="preserve"> политик</w:t>
      </w:r>
      <w:r w:rsidR="00814036" w:rsidRPr="0081082A">
        <w:rPr>
          <w:rFonts w:ascii="Times New Roman" w:hAnsi="Times New Roman"/>
          <w:szCs w:val="24"/>
          <w:lang w:val="sr-Cyrl-RS"/>
        </w:rPr>
        <w:t>а</w:t>
      </w:r>
      <w:r w:rsidRPr="0081082A">
        <w:rPr>
          <w:rFonts w:ascii="Times New Roman" w:hAnsi="Times New Roman"/>
          <w:szCs w:val="24"/>
          <w:lang w:val="sr-Cyrl-RS"/>
        </w:rPr>
        <w:t xml:space="preserve"> истекло је 2020. године, и у наредном периоду ће се доносити нови</w:t>
      </w:r>
      <w:r w:rsidR="00814036" w:rsidRPr="0081082A">
        <w:rPr>
          <w:rFonts w:ascii="Times New Roman" w:hAnsi="Times New Roman"/>
          <w:szCs w:val="24"/>
          <w:lang w:val="sr-Cyrl-RS"/>
        </w:rPr>
        <w:t>,</w:t>
      </w:r>
      <w:r w:rsidRPr="0081082A">
        <w:rPr>
          <w:rFonts w:ascii="Times New Roman" w:hAnsi="Times New Roman"/>
          <w:szCs w:val="24"/>
          <w:lang w:val="sr-Cyrl-RS"/>
        </w:rPr>
        <w:t xml:space="preserve"> у складу са Законом о планском систему</w:t>
      </w:r>
      <w:r w:rsidR="002A61BC" w:rsidRPr="0081082A">
        <w:rPr>
          <w:rFonts w:ascii="Times New Roman" w:hAnsi="Times New Roman"/>
          <w:szCs w:val="24"/>
          <w:lang w:val="sr-Cyrl-RS"/>
        </w:rPr>
        <w:t xml:space="preserve"> Републике Србије</w:t>
      </w:r>
      <w:r w:rsidRPr="0081082A">
        <w:rPr>
          <w:rFonts w:ascii="Times New Roman" w:hAnsi="Times New Roman"/>
          <w:szCs w:val="24"/>
          <w:lang w:val="sr-Cyrl-RS"/>
        </w:rPr>
        <w:t xml:space="preserve">, те се у наредном периоду очекује </w:t>
      </w:r>
      <w:r w:rsidRPr="0081082A">
        <w:rPr>
          <w:rFonts w:ascii="Times New Roman" w:hAnsi="Times New Roman"/>
          <w:szCs w:val="24"/>
          <w:lang w:val="sr-Cyrl-RS"/>
        </w:rPr>
        <w:lastRenderedPageBreak/>
        <w:t>унапређење квалитета целокупног поступка повезивања јавних политика и организационих циљева са буџетом.</w:t>
      </w:r>
    </w:p>
    <w:p w:rsidR="00764790" w:rsidRPr="0081082A" w:rsidRDefault="00764790" w:rsidP="00BB5654">
      <w:pPr>
        <w:pStyle w:val="BodyText"/>
        <w:tabs>
          <w:tab w:val="left" w:pos="0"/>
        </w:tabs>
        <w:spacing w:before="120"/>
        <w:ind w:firstLine="708"/>
        <w:rPr>
          <w:rFonts w:ascii="Times New Roman" w:hAnsi="Times New Roman"/>
          <w:szCs w:val="24"/>
          <w:lang w:val="sr-Cyrl-RS"/>
        </w:rPr>
      </w:pPr>
      <w:r w:rsidRPr="0081082A">
        <w:rPr>
          <w:rFonts w:ascii="Times New Roman" w:hAnsi="Times New Roman"/>
          <w:szCs w:val="24"/>
          <w:lang w:val="sr-Cyrl-RS"/>
        </w:rPr>
        <w:t xml:space="preserve">РСЈП, као што је наведено под мером - Унапређење средњорочног планирања (посебан циљ 1) овог ПРУЈФ, наставиће у наредном периоду са пружањем помоћи обвезницима средњорочног планирања и извршиће анализу </w:t>
      </w:r>
      <w:r w:rsidRPr="0081082A">
        <w:rPr>
          <w:rFonts w:ascii="Times New Roman" w:hAnsi="Times New Roman"/>
          <w:lang w:val="sr-Cyrl-RS"/>
        </w:rPr>
        <w:t>степена усаглашености средњорочних планова са постојећим документима јавних политика, што ће омогућити напредак у повезивању стратешких и организационих циљева. Такође, у оквиру истог посебног циља, мера - Унапређење програмског буџета, планирано је да се изврши анализа програмских елемената са фокусом на постојећој вези докумената јавних политика са буџетским средствима.</w:t>
      </w:r>
    </w:p>
    <w:p w:rsidR="00426E69" w:rsidRPr="0081082A" w:rsidRDefault="00426E69" w:rsidP="00BB5654">
      <w:pPr>
        <w:spacing w:before="120" w:after="0" w:line="240" w:lineRule="auto"/>
        <w:ind w:firstLine="706"/>
        <w:jc w:val="both"/>
        <w:rPr>
          <w:rFonts w:ascii="Times New Roman" w:hAnsi="Times New Roman"/>
          <w:sz w:val="24"/>
          <w:lang w:val="sr-Cyrl-RS"/>
        </w:rPr>
      </w:pPr>
      <w:r w:rsidRPr="0081082A">
        <w:rPr>
          <w:rFonts w:ascii="Times New Roman" w:hAnsi="Times New Roman"/>
          <w:sz w:val="24"/>
          <w:lang w:val="sr-Cyrl-RS"/>
        </w:rPr>
        <w:t>У области реформе рачуноводства и финансијског извештавања, до 2022. године планира се успостављање Јединственог информационог  система  за припрему  извршења буџета и буџетско рачуноводство  и извештавање (СПИРИ) који ће у потпуности заменити досадашњи ИСИБ. Јануара 2021. године у Управи за трезор отпочео је са применом Информациони систем извршења буџета аутономних покрајина и јединица локалне самоуправе, који је имплементиран у 2020. години, када је имплементиран и информациони систем за подношење финансијских извештаја, који ће у 2021. години омогућити свим корисницима буџетских средстава електронско достављање финансијских извештаја и који има за циљ унапређење процеса прикупљања, контроле и консолидације података на свим нивоима власти.</w:t>
      </w:r>
      <w:r w:rsidR="00E17B12" w:rsidRPr="0081082A">
        <w:rPr>
          <w:rFonts w:ascii="Times New Roman" w:hAnsi="Times New Roman"/>
          <w:sz w:val="24"/>
          <w:lang w:val="sr-Cyrl-RS"/>
        </w:rPr>
        <w:t xml:space="preserve"> </w:t>
      </w:r>
    </w:p>
    <w:p w:rsidR="00426E69" w:rsidRPr="0081082A" w:rsidRDefault="00426E69" w:rsidP="00BB5654">
      <w:pPr>
        <w:spacing w:before="120" w:after="0" w:line="240" w:lineRule="auto"/>
        <w:ind w:firstLine="706"/>
        <w:jc w:val="both"/>
        <w:rPr>
          <w:rFonts w:ascii="Times New Roman" w:eastAsia="Times New Roman" w:hAnsi="Times New Roman" w:cs="Times New Roman"/>
          <w:color w:val="000000"/>
          <w:sz w:val="24"/>
          <w:szCs w:val="24"/>
          <w:lang w:val="sr-Cyrl-RS"/>
        </w:rPr>
      </w:pPr>
      <w:r w:rsidRPr="0081082A">
        <w:rPr>
          <w:rFonts w:ascii="Times New Roman" w:eastAsia="Times New Roman" w:hAnsi="Times New Roman" w:cs="Times New Roman"/>
          <w:color w:val="000000"/>
          <w:sz w:val="24"/>
          <w:szCs w:val="24"/>
          <w:lang w:val="sr-Cyrl-RS"/>
        </w:rPr>
        <w:t xml:space="preserve">Имајући у виду да су рачуноводство и финансијско извештавање два повезана система, промене које треба остварити требале би да прате једна другу. Управа за трезор </w:t>
      </w:r>
      <w:r w:rsidR="00A24AA1" w:rsidRPr="0081082A">
        <w:rPr>
          <w:rFonts w:ascii="Times New Roman" w:eastAsia="Times New Roman" w:hAnsi="Times New Roman" w:cs="Times New Roman"/>
          <w:color w:val="000000"/>
          <w:sz w:val="24"/>
          <w:szCs w:val="24"/>
          <w:lang w:val="sr-Cyrl-RS"/>
        </w:rPr>
        <w:t>наставиће и у наредном периоду</w:t>
      </w:r>
      <w:r w:rsidRPr="0081082A">
        <w:rPr>
          <w:rFonts w:ascii="Times New Roman" w:eastAsia="Times New Roman" w:hAnsi="Times New Roman" w:cs="Times New Roman"/>
          <w:color w:val="000000"/>
          <w:sz w:val="24"/>
          <w:szCs w:val="24"/>
          <w:lang w:val="sr-Cyrl-RS"/>
        </w:rPr>
        <w:t xml:space="preserve"> усклађивањ</w:t>
      </w:r>
      <w:r w:rsidR="00A24AA1" w:rsidRPr="0081082A">
        <w:rPr>
          <w:rFonts w:ascii="Times New Roman" w:eastAsia="Times New Roman" w:hAnsi="Times New Roman" w:cs="Times New Roman"/>
          <w:color w:val="000000"/>
          <w:sz w:val="24"/>
          <w:szCs w:val="24"/>
          <w:lang w:val="sr-Cyrl-RS"/>
        </w:rPr>
        <w:t>е</w:t>
      </w:r>
      <w:r w:rsidRPr="0081082A">
        <w:rPr>
          <w:rFonts w:ascii="Times New Roman" w:eastAsia="Times New Roman" w:hAnsi="Times New Roman" w:cs="Times New Roman"/>
          <w:color w:val="000000"/>
          <w:sz w:val="24"/>
          <w:szCs w:val="24"/>
          <w:lang w:val="sr-Cyrl-RS"/>
        </w:rPr>
        <w:t xml:space="preserve"> прописа, одржавањ</w:t>
      </w:r>
      <w:r w:rsidR="00A24AA1" w:rsidRPr="0081082A">
        <w:rPr>
          <w:rFonts w:ascii="Times New Roman" w:eastAsia="Times New Roman" w:hAnsi="Times New Roman" w:cs="Times New Roman"/>
          <w:color w:val="000000"/>
          <w:sz w:val="24"/>
          <w:szCs w:val="24"/>
          <w:lang w:val="sr-Cyrl-RS"/>
        </w:rPr>
        <w:t>е</w:t>
      </w:r>
      <w:r w:rsidRPr="0081082A">
        <w:rPr>
          <w:rFonts w:ascii="Times New Roman" w:eastAsia="Times New Roman" w:hAnsi="Times New Roman" w:cs="Times New Roman"/>
          <w:color w:val="000000"/>
          <w:sz w:val="24"/>
          <w:szCs w:val="24"/>
          <w:lang w:val="sr-Cyrl-RS"/>
        </w:rPr>
        <w:t xml:space="preserve"> обука, </w:t>
      </w:r>
      <w:r w:rsidR="00A24AA1" w:rsidRPr="0081082A">
        <w:rPr>
          <w:rFonts w:ascii="Times New Roman" w:eastAsia="Times New Roman" w:hAnsi="Times New Roman" w:cs="Times New Roman"/>
          <w:color w:val="000000"/>
          <w:sz w:val="24"/>
          <w:szCs w:val="24"/>
          <w:lang w:val="sr-Cyrl-RS"/>
        </w:rPr>
        <w:t>као и</w:t>
      </w:r>
      <w:r w:rsidRPr="0081082A">
        <w:rPr>
          <w:rFonts w:ascii="Times New Roman" w:eastAsia="Times New Roman" w:hAnsi="Times New Roman" w:cs="Times New Roman"/>
          <w:color w:val="000000"/>
          <w:sz w:val="24"/>
          <w:szCs w:val="24"/>
          <w:lang w:val="sr-Cyrl-RS"/>
        </w:rPr>
        <w:t xml:space="preserve"> јачањ</w:t>
      </w:r>
      <w:r w:rsidR="00A24AA1" w:rsidRPr="0081082A">
        <w:rPr>
          <w:rFonts w:ascii="Times New Roman" w:eastAsia="Times New Roman" w:hAnsi="Times New Roman" w:cs="Times New Roman"/>
          <w:color w:val="000000"/>
          <w:sz w:val="24"/>
          <w:szCs w:val="24"/>
          <w:lang w:val="sr-Cyrl-RS"/>
        </w:rPr>
        <w:t>е</w:t>
      </w:r>
      <w:r w:rsidRPr="0081082A">
        <w:rPr>
          <w:rFonts w:ascii="Times New Roman" w:eastAsia="Times New Roman" w:hAnsi="Times New Roman" w:cs="Times New Roman"/>
          <w:color w:val="000000"/>
          <w:sz w:val="24"/>
          <w:szCs w:val="24"/>
          <w:lang w:val="sr-Cyrl-RS"/>
        </w:rPr>
        <w:t xml:space="preserve"> информационих капацитета</w:t>
      </w:r>
      <w:r w:rsidR="00A24AA1" w:rsidRPr="0081082A">
        <w:rPr>
          <w:rFonts w:ascii="Times New Roman" w:eastAsia="Times New Roman" w:hAnsi="Times New Roman" w:cs="Times New Roman"/>
          <w:color w:val="000000"/>
          <w:sz w:val="24"/>
          <w:szCs w:val="24"/>
          <w:lang w:val="sr-Cyrl-RS"/>
        </w:rPr>
        <w:t xml:space="preserve">, </w:t>
      </w:r>
      <w:r w:rsidR="00D00E71" w:rsidRPr="0081082A">
        <w:rPr>
          <w:rFonts w:ascii="Times New Roman" w:eastAsia="Times New Roman" w:hAnsi="Times New Roman" w:cs="Times New Roman"/>
          <w:color w:val="000000"/>
          <w:sz w:val="24"/>
          <w:szCs w:val="24"/>
          <w:lang w:val="sr-Cyrl-RS"/>
        </w:rPr>
        <w:t>да</w:t>
      </w:r>
      <w:r w:rsidR="00A24AA1" w:rsidRPr="0081082A">
        <w:rPr>
          <w:rFonts w:ascii="Times New Roman" w:eastAsia="Times New Roman" w:hAnsi="Times New Roman" w:cs="Times New Roman"/>
          <w:color w:val="000000"/>
          <w:sz w:val="24"/>
          <w:szCs w:val="24"/>
          <w:lang w:val="sr-Cyrl-RS"/>
        </w:rPr>
        <w:t xml:space="preserve"> тиме</w:t>
      </w:r>
      <w:r w:rsidRPr="0081082A">
        <w:rPr>
          <w:rFonts w:ascii="Times New Roman" w:eastAsia="Times New Roman" w:hAnsi="Times New Roman" w:cs="Times New Roman"/>
          <w:color w:val="000000"/>
          <w:sz w:val="24"/>
          <w:szCs w:val="24"/>
          <w:lang w:val="sr-Cyrl-RS"/>
        </w:rPr>
        <w:t xml:space="preserve"> омогући што квалитетнији скуп података који служе као база на основу којих би се доносиле пословне одлуке.</w:t>
      </w:r>
      <w:r w:rsidR="00E17B12" w:rsidRPr="0081082A">
        <w:rPr>
          <w:rFonts w:ascii="Times New Roman" w:eastAsia="Times New Roman" w:hAnsi="Times New Roman" w:cs="Times New Roman"/>
          <w:color w:val="000000"/>
          <w:sz w:val="24"/>
          <w:szCs w:val="24"/>
          <w:lang w:val="sr-Cyrl-RS"/>
        </w:rPr>
        <w:t xml:space="preserve"> </w:t>
      </w:r>
      <w:r w:rsidRPr="0081082A">
        <w:rPr>
          <w:rFonts w:ascii="Times New Roman" w:hAnsi="Times New Roman" w:cs="Times New Roman"/>
          <w:sz w:val="24"/>
          <w:szCs w:val="24"/>
          <w:lang w:val="sr-Cyrl-RS"/>
        </w:rPr>
        <w:t xml:space="preserve">И поред </w:t>
      </w:r>
      <w:r w:rsidR="00A24AA1" w:rsidRPr="0081082A">
        <w:rPr>
          <w:rFonts w:ascii="Times New Roman" w:hAnsi="Times New Roman" w:cs="Times New Roman"/>
          <w:sz w:val="24"/>
          <w:szCs w:val="24"/>
          <w:lang w:val="sr-Cyrl-RS"/>
        </w:rPr>
        <w:t>досадашњих реформских корака</w:t>
      </w:r>
      <w:r w:rsidRPr="0081082A">
        <w:rPr>
          <w:rFonts w:ascii="Times New Roman" w:hAnsi="Times New Roman" w:cs="Times New Roman"/>
          <w:sz w:val="24"/>
          <w:szCs w:val="24"/>
          <w:lang w:val="sr-Cyrl-RS"/>
        </w:rPr>
        <w:t xml:space="preserve"> у области извештавања, </w:t>
      </w:r>
      <w:r w:rsidR="00A24AA1" w:rsidRPr="0081082A">
        <w:rPr>
          <w:rFonts w:ascii="Times New Roman" w:hAnsi="Times New Roman" w:cs="Times New Roman"/>
          <w:sz w:val="24"/>
          <w:szCs w:val="24"/>
          <w:lang w:val="sr-Cyrl-RS"/>
        </w:rPr>
        <w:t>потребан је даљи рад у области транспарентности буџета</w:t>
      </w:r>
      <w:r w:rsidRPr="0081082A">
        <w:rPr>
          <w:rFonts w:ascii="Times New Roman" w:hAnsi="Times New Roman" w:cs="Times New Roman"/>
          <w:sz w:val="24"/>
          <w:szCs w:val="24"/>
          <w:lang w:val="sr-Cyrl-RS"/>
        </w:rPr>
        <w:t xml:space="preserve">, </w:t>
      </w:r>
      <w:r w:rsidR="00A24AA1" w:rsidRPr="0081082A">
        <w:rPr>
          <w:rFonts w:ascii="Times New Roman" w:hAnsi="Times New Roman" w:cs="Times New Roman"/>
          <w:sz w:val="24"/>
          <w:szCs w:val="24"/>
          <w:lang w:val="sr-Cyrl-RS"/>
        </w:rPr>
        <w:t>као и даље</w:t>
      </w:r>
      <w:r w:rsidRPr="0081082A">
        <w:rPr>
          <w:rFonts w:ascii="Times New Roman" w:hAnsi="Times New Roman" w:cs="Times New Roman"/>
          <w:sz w:val="24"/>
          <w:szCs w:val="24"/>
          <w:lang w:val="sr-Cyrl-RS"/>
        </w:rPr>
        <w:t xml:space="preserve"> унапре</w:t>
      </w:r>
      <w:r w:rsidR="00A24AA1" w:rsidRPr="0081082A">
        <w:rPr>
          <w:rFonts w:ascii="Times New Roman" w:hAnsi="Times New Roman" w:cs="Times New Roman"/>
          <w:sz w:val="24"/>
          <w:szCs w:val="24"/>
          <w:lang w:val="sr-Cyrl-RS"/>
        </w:rPr>
        <w:t>ђење</w:t>
      </w:r>
      <w:r w:rsidRPr="0081082A">
        <w:rPr>
          <w:rFonts w:ascii="Times New Roman" w:hAnsi="Times New Roman" w:cs="Times New Roman"/>
          <w:sz w:val="24"/>
          <w:szCs w:val="24"/>
          <w:lang w:val="sr-Cyrl-RS"/>
        </w:rPr>
        <w:t xml:space="preserve"> ефикасност</w:t>
      </w:r>
      <w:r w:rsidR="00A24AA1" w:rsidRPr="0081082A">
        <w:rPr>
          <w:rFonts w:ascii="Times New Roman" w:hAnsi="Times New Roman" w:cs="Times New Roman"/>
          <w:sz w:val="24"/>
          <w:szCs w:val="24"/>
          <w:lang w:val="sr-Cyrl-RS"/>
        </w:rPr>
        <w:t>и</w:t>
      </w:r>
      <w:r w:rsidRPr="0081082A">
        <w:rPr>
          <w:rFonts w:ascii="Times New Roman" w:hAnsi="Times New Roman" w:cs="Times New Roman"/>
          <w:sz w:val="24"/>
          <w:szCs w:val="24"/>
          <w:lang w:val="sr-Cyrl-RS"/>
        </w:rPr>
        <w:t xml:space="preserve"> и делотворност</w:t>
      </w:r>
      <w:r w:rsidR="00A24AA1" w:rsidRPr="0081082A">
        <w:rPr>
          <w:rFonts w:ascii="Times New Roman" w:hAnsi="Times New Roman" w:cs="Times New Roman"/>
          <w:sz w:val="24"/>
          <w:szCs w:val="24"/>
          <w:lang w:val="sr-Cyrl-RS"/>
        </w:rPr>
        <w:t>и</w:t>
      </w:r>
      <w:r w:rsidRPr="0081082A">
        <w:rPr>
          <w:rFonts w:ascii="Times New Roman" w:hAnsi="Times New Roman" w:cs="Times New Roman"/>
          <w:sz w:val="24"/>
          <w:szCs w:val="24"/>
          <w:lang w:val="sr-Cyrl-RS"/>
        </w:rPr>
        <w:t xml:space="preserve"> извештавања у складу са најбољом међународном праксом, применом </w:t>
      </w:r>
      <w:r w:rsidRPr="0081082A">
        <w:rPr>
          <w:rFonts w:ascii="Times New Roman" w:eastAsia="Times New Roman" w:hAnsi="Times New Roman" w:cs="Times New Roman"/>
          <w:color w:val="000000"/>
          <w:sz w:val="24"/>
          <w:szCs w:val="24"/>
          <w:lang w:val="sr-Cyrl-RS"/>
        </w:rPr>
        <w:t>међународних рачуноводствених стандарда</w:t>
      </w:r>
      <w:r w:rsidRPr="0081082A">
        <w:rPr>
          <w:rFonts w:ascii="Times New Roman" w:hAnsi="Times New Roman" w:cs="Times New Roman"/>
          <w:sz w:val="24"/>
          <w:szCs w:val="24"/>
          <w:lang w:val="sr-Cyrl-RS"/>
        </w:rPr>
        <w:t>. Извештај о извршењу буџета потребно је објављивати правовремено, са довољним нивоом детаља, тако да обухватају све кориснике општег нивоа државе</w:t>
      </w:r>
      <w:r w:rsidR="0059790B" w:rsidRPr="0081082A">
        <w:rPr>
          <w:rFonts w:ascii="Times New Roman" w:hAnsi="Times New Roman" w:cs="Times New Roman"/>
          <w:sz w:val="24"/>
          <w:szCs w:val="24"/>
          <w:lang w:val="sr-Cyrl-RS"/>
        </w:rPr>
        <w:t xml:space="preserve"> и</w:t>
      </w:r>
      <w:r w:rsidRPr="0081082A">
        <w:rPr>
          <w:rFonts w:ascii="Times New Roman" w:hAnsi="Times New Roman" w:cs="Times New Roman"/>
          <w:sz w:val="24"/>
          <w:szCs w:val="24"/>
          <w:lang w:val="sr-Cyrl-RS"/>
        </w:rPr>
        <w:t xml:space="preserve"> </w:t>
      </w:r>
      <w:r w:rsidR="0059790B" w:rsidRPr="0081082A">
        <w:rPr>
          <w:rFonts w:ascii="Times New Roman" w:hAnsi="Times New Roman" w:cs="Times New Roman"/>
          <w:sz w:val="24"/>
          <w:szCs w:val="24"/>
          <w:lang w:val="sr-Cyrl-RS"/>
        </w:rPr>
        <w:t xml:space="preserve">да </w:t>
      </w:r>
      <w:r w:rsidRPr="0081082A">
        <w:rPr>
          <w:rFonts w:ascii="Times New Roman" w:hAnsi="Times New Roman" w:cs="Times New Roman"/>
          <w:sz w:val="24"/>
          <w:szCs w:val="24"/>
          <w:lang w:val="sr-Cyrl-RS"/>
        </w:rPr>
        <w:t>садрже извештај о учинку програма и друге податке.</w:t>
      </w:r>
    </w:p>
    <w:p w:rsidR="00426E69" w:rsidRPr="0081082A" w:rsidRDefault="00426E69" w:rsidP="00BB5654">
      <w:pPr>
        <w:spacing w:before="120" w:after="0" w:line="240" w:lineRule="auto"/>
        <w:ind w:firstLine="706"/>
        <w:jc w:val="both"/>
        <w:rPr>
          <w:rFonts w:ascii="Times New Roman" w:eastAsia="Times New Roman" w:hAnsi="Times New Roman" w:cs="Times New Roman"/>
          <w:color w:val="000000"/>
          <w:sz w:val="24"/>
          <w:szCs w:val="24"/>
          <w:lang w:val="sr-Cyrl-RS"/>
        </w:rPr>
      </w:pPr>
      <w:r w:rsidRPr="0081082A">
        <w:rPr>
          <w:rFonts w:ascii="Times New Roman" w:eastAsia="Times New Roman" w:hAnsi="Times New Roman" w:cs="Times New Roman"/>
          <w:color w:val="000000"/>
          <w:sz w:val="24"/>
          <w:szCs w:val="24"/>
          <w:lang w:val="sr-Cyrl-RS"/>
        </w:rPr>
        <w:t xml:space="preserve">Квалитет и обухват података у финансијским извештајима </w:t>
      </w:r>
      <w:r w:rsidR="00820700" w:rsidRPr="0081082A">
        <w:rPr>
          <w:rFonts w:ascii="Times New Roman" w:eastAsia="Times New Roman" w:hAnsi="Times New Roman" w:cs="Times New Roman"/>
          <w:color w:val="000000"/>
          <w:sz w:val="24"/>
          <w:szCs w:val="24"/>
          <w:lang w:val="sr-Cyrl-RS"/>
        </w:rPr>
        <w:t>биће</w:t>
      </w:r>
      <w:r w:rsidRPr="0081082A">
        <w:rPr>
          <w:rFonts w:ascii="Times New Roman" w:eastAsia="Times New Roman" w:hAnsi="Times New Roman" w:cs="Times New Roman"/>
          <w:color w:val="000000"/>
          <w:sz w:val="24"/>
          <w:szCs w:val="24"/>
          <w:lang w:val="sr-Cyrl-RS"/>
        </w:rPr>
        <w:t xml:space="preserve"> додатно унапре</w:t>
      </w:r>
      <w:r w:rsidR="00820700" w:rsidRPr="0081082A">
        <w:rPr>
          <w:rFonts w:ascii="Times New Roman" w:eastAsia="Times New Roman" w:hAnsi="Times New Roman" w:cs="Times New Roman"/>
          <w:color w:val="000000"/>
          <w:sz w:val="24"/>
          <w:szCs w:val="24"/>
          <w:lang w:val="sr-Cyrl-RS"/>
        </w:rPr>
        <w:t>ђени</w:t>
      </w:r>
      <w:r w:rsidRPr="0081082A">
        <w:rPr>
          <w:rFonts w:ascii="Times New Roman" w:eastAsia="Times New Roman" w:hAnsi="Times New Roman" w:cs="Times New Roman"/>
          <w:color w:val="000000"/>
          <w:sz w:val="24"/>
          <w:szCs w:val="24"/>
          <w:lang w:val="sr-Cyrl-RS"/>
        </w:rPr>
        <w:t xml:space="preserve">. Извештавање о извршењу буџета </w:t>
      </w:r>
      <w:r w:rsidR="00820700" w:rsidRPr="0081082A">
        <w:rPr>
          <w:rFonts w:ascii="Times New Roman" w:eastAsia="Times New Roman" w:hAnsi="Times New Roman" w:cs="Times New Roman"/>
          <w:color w:val="000000"/>
          <w:sz w:val="24"/>
          <w:szCs w:val="24"/>
          <w:lang w:val="sr-Cyrl-RS"/>
        </w:rPr>
        <w:t>биће</w:t>
      </w:r>
      <w:r w:rsidRPr="0081082A">
        <w:rPr>
          <w:rFonts w:ascii="Times New Roman" w:eastAsia="Times New Roman" w:hAnsi="Times New Roman" w:cs="Times New Roman"/>
          <w:color w:val="000000"/>
          <w:sz w:val="24"/>
          <w:szCs w:val="24"/>
          <w:lang w:val="sr-Cyrl-RS"/>
        </w:rPr>
        <w:t xml:space="preserve"> свеобухватније</w:t>
      </w:r>
      <w:r w:rsidR="00820700" w:rsidRPr="0081082A">
        <w:rPr>
          <w:rFonts w:ascii="Times New Roman" w:eastAsia="Times New Roman" w:hAnsi="Times New Roman" w:cs="Times New Roman"/>
          <w:color w:val="000000"/>
          <w:sz w:val="24"/>
          <w:szCs w:val="24"/>
          <w:lang w:val="sr-Cyrl-RS"/>
        </w:rPr>
        <w:t xml:space="preserve"> и </w:t>
      </w:r>
      <w:r w:rsidRPr="0081082A">
        <w:rPr>
          <w:rFonts w:ascii="Times New Roman" w:eastAsia="Times New Roman" w:hAnsi="Times New Roman" w:cs="Times New Roman"/>
          <w:color w:val="000000"/>
          <w:sz w:val="24"/>
          <w:szCs w:val="24"/>
          <w:lang w:val="sr-Cyrl-RS"/>
        </w:rPr>
        <w:t>обезбеђ</w:t>
      </w:r>
      <w:r w:rsidR="00820700" w:rsidRPr="0081082A">
        <w:rPr>
          <w:rFonts w:ascii="Times New Roman" w:eastAsia="Times New Roman" w:hAnsi="Times New Roman" w:cs="Times New Roman"/>
          <w:color w:val="000000"/>
          <w:sz w:val="24"/>
          <w:szCs w:val="24"/>
          <w:lang w:val="sr-Cyrl-RS"/>
        </w:rPr>
        <w:t>иваће</w:t>
      </w:r>
      <w:r w:rsidRPr="0081082A">
        <w:rPr>
          <w:rFonts w:ascii="Times New Roman" w:eastAsia="Times New Roman" w:hAnsi="Times New Roman" w:cs="Times New Roman"/>
          <w:color w:val="000000"/>
          <w:sz w:val="24"/>
          <w:szCs w:val="24"/>
          <w:lang w:val="sr-Cyrl-RS"/>
        </w:rPr>
        <w:t xml:space="preserve"> већу транспарентност.</w:t>
      </w:r>
      <w:r w:rsidR="003D04C8" w:rsidRPr="0081082A">
        <w:rPr>
          <w:rFonts w:ascii="Times New Roman" w:eastAsia="Times New Roman" w:hAnsi="Times New Roman" w:cs="Times New Roman"/>
          <w:color w:val="000000"/>
          <w:sz w:val="24"/>
          <w:szCs w:val="24"/>
          <w:lang w:val="sr-Cyrl-RS"/>
        </w:rPr>
        <w:t xml:space="preserve"> </w:t>
      </w:r>
      <w:r w:rsidRPr="0081082A">
        <w:rPr>
          <w:rFonts w:ascii="Times New Roman" w:hAnsi="Times New Roman" w:cs="Times New Roman"/>
          <w:sz w:val="24"/>
          <w:szCs w:val="24"/>
          <w:lang w:val="sr-Cyrl-RS"/>
        </w:rPr>
        <w:t xml:space="preserve">Истовремено са побољшањем квалитета финансијског извештавања, </w:t>
      </w:r>
      <w:r w:rsidR="00820700" w:rsidRPr="0081082A">
        <w:rPr>
          <w:rFonts w:ascii="Times New Roman" w:hAnsi="Times New Roman" w:cs="Times New Roman"/>
          <w:sz w:val="24"/>
          <w:szCs w:val="24"/>
          <w:lang w:val="sr-Cyrl-RS"/>
        </w:rPr>
        <w:t xml:space="preserve">биће </w:t>
      </w:r>
      <w:r w:rsidRPr="0081082A">
        <w:rPr>
          <w:rFonts w:ascii="Times New Roman" w:hAnsi="Times New Roman" w:cs="Times New Roman"/>
          <w:sz w:val="24"/>
          <w:szCs w:val="24"/>
          <w:lang w:val="sr-Cyrl-RS"/>
        </w:rPr>
        <w:t>унапређе</w:t>
      </w:r>
      <w:r w:rsidR="00820700" w:rsidRPr="0081082A">
        <w:rPr>
          <w:rFonts w:ascii="Times New Roman" w:hAnsi="Times New Roman" w:cs="Times New Roman"/>
          <w:sz w:val="24"/>
          <w:szCs w:val="24"/>
          <w:lang w:val="sr-Cyrl-RS"/>
        </w:rPr>
        <w:t>но и</w:t>
      </w:r>
      <w:r w:rsidRPr="0081082A">
        <w:rPr>
          <w:rFonts w:ascii="Times New Roman" w:hAnsi="Times New Roman" w:cs="Times New Roman"/>
          <w:sz w:val="24"/>
          <w:szCs w:val="24"/>
          <w:lang w:val="sr-Cyrl-RS"/>
        </w:rPr>
        <w:t xml:space="preserve"> рачуноводств</w:t>
      </w:r>
      <w:r w:rsidR="00820700" w:rsidRPr="0081082A">
        <w:rPr>
          <w:rFonts w:ascii="Times New Roman" w:hAnsi="Times New Roman" w:cs="Times New Roman"/>
          <w:sz w:val="24"/>
          <w:szCs w:val="24"/>
          <w:lang w:val="sr-Cyrl-RS"/>
        </w:rPr>
        <w:t>о</w:t>
      </w:r>
      <w:r w:rsidRPr="0081082A">
        <w:rPr>
          <w:rFonts w:ascii="Times New Roman" w:hAnsi="Times New Roman" w:cs="Times New Roman"/>
          <w:sz w:val="24"/>
          <w:szCs w:val="24"/>
          <w:lang w:val="sr-Cyrl-RS"/>
        </w:rPr>
        <w:t xml:space="preserve"> у јавном сектору, кроз повећање броја </w:t>
      </w:r>
      <w:r w:rsidR="00820700" w:rsidRPr="0081082A">
        <w:rPr>
          <w:rFonts w:ascii="Times New Roman" w:hAnsi="Times New Roman" w:cs="Times New Roman"/>
          <w:sz w:val="24"/>
          <w:szCs w:val="24"/>
          <w:lang w:val="sr-Cyrl-RS"/>
        </w:rPr>
        <w:t>и јачање оспособљености кадрова</w:t>
      </w:r>
      <w:r w:rsidRPr="0081082A">
        <w:rPr>
          <w:rFonts w:ascii="Times New Roman" w:hAnsi="Times New Roman" w:cs="Times New Roman"/>
          <w:sz w:val="24"/>
          <w:szCs w:val="24"/>
          <w:lang w:val="sr-Cyrl-RS"/>
        </w:rPr>
        <w:t>,</w:t>
      </w:r>
      <w:r w:rsidR="00820700" w:rsidRPr="0081082A">
        <w:rPr>
          <w:rFonts w:ascii="Times New Roman" w:hAnsi="Times New Roman" w:cs="Times New Roman"/>
          <w:sz w:val="24"/>
          <w:szCs w:val="24"/>
          <w:lang w:val="sr-Cyrl-RS"/>
        </w:rPr>
        <w:t xml:space="preserve"> али и кроз</w:t>
      </w:r>
      <w:r w:rsidRPr="0081082A">
        <w:rPr>
          <w:rFonts w:ascii="Times New Roman" w:hAnsi="Times New Roman" w:cs="Times New Roman"/>
          <w:sz w:val="24"/>
          <w:szCs w:val="24"/>
          <w:lang w:val="sr-Cyrl-RS"/>
        </w:rPr>
        <w:t xml:space="preserve"> обезбеђење превода и примене IPSAS</w:t>
      </w:r>
      <w:r w:rsidR="00820700" w:rsidRPr="0081082A">
        <w:rPr>
          <w:rFonts w:ascii="Times New Roman" w:hAnsi="Times New Roman" w:cs="Times New Roman"/>
          <w:sz w:val="24"/>
          <w:szCs w:val="24"/>
          <w:lang w:val="sr-Cyrl-RS"/>
        </w:rPr>
        <w:t xml:space="preserve"> стандарда</w:t>
      </w:r>
      <w:r w:rsidRPr="0081082A">
        <w:rPr>
          <w:rFonts w:ascii="Times New Roman" w:hAnsi="Times New Roman" w:cs="Times New Roman"/>
          <w:sz w:val="24"/>
          <w:szCs w:val="24"/>
          <w:lang w:val="sr-Cyrl-RS"/>
        </w:rPr>
        <w:t>.</w:t>
      </w:r>
    </w:p>
    <w:p w:rsidR="00426E69" w:rsidRPr="0081082A" w:rsidRDefault="00426E69" w:rsidP="00BB5654">
      <w:pPr>
        <w:spacing w:before="120" w:after="0" w:line="240" w:lineRule="auto"/>
        <w:ind w:firstLine="708"/>
        <w:jc w:val="both"/>
        <w:rPr>
          <w:rFonts w:ascii="Times New Roman" w:hAnsi="Times New Roman" w:cs="Times New Roman"/>
          <w:sz w:val="24"/>
          <w:lang w:val="sr-Cyrl-RS"/>
        </w:rPr>
      </w:pPr>
      <w:r w:rsidRPr="0081082A">
        <w:rPr>
          <w:rFonts w:ascii="Times New Roman" w:hAnsi="Times New Roman" w:cs="Times New Roman"/>
          <w:sz w:val="24"/>
          <w:lang w:val="sr-Cyrl-RS"/>
        </w:rPr>
        <w:t xml:space="preserve">Напори ДРИ у наредном петогодишњем периоду биће усмерени ка спровођењу ревизије јавних средстава у складу са Програмом ревизије. Напори које ће ДРИ уложити у повећање броја запослених и </w:t>
      </w:r>
      <w:r w:rsidR="003D04C8" w:rsidRPr="0081082A">
        <w:rPr>
          <w:rFonts w:ascii="Times New Roman" w:hAnsi="Times New Roman" w:cs="Times New Roman"/>
          <w:sz w:val="24"/>
          <w:lang w:val="sr-Cyrl-RS"/>
        </w:rPr>
        <w:t xml:space="preserve">броја </w:t>
      </w:r>
      <w:r w:rsidRPr="0081082A">
        <w:rPr>
          <w:rFonts w:ascii="Times New Roman" w:hAnsi="Times New Roman" w:cs="Times New Roman"/>
          <w:sz w:val="24"/>
          <w:lang w:val="sr-Cyrl-RS"/>
        </w:rPr>
        <w:t>ревизија обухваћених годишњим Програмом ревизије значајно ће допринети надзору и контроли наменског трошења буџетских средстава, што представља један од главних елемената транспарент</w:t>
      </w:r>
      <w:r w:rsidR="005D3F17" w:rsidRPr="0081082A">
        <w:rPr>
          <w:rFonts w:ascii="Times New Roman" w:hAnsi="Times New Roman" w:cs="Times New Roman"/>
          <w:sz w:val="24"/>
          <w:lang w:val="sr-Cyrl-RS"/>
        </w:rPr>
        <w:t>н</w:t>
      </w:r>
      <w:r w:rsidRPr="0081082A">
        <w:rPr>
          <w:rFonts w:ascii="Times New Roman" w:hAnsi="Times New Roman" w:cs="Times New Roman"/>
          <w:sz w:val="24"/>
          <w:lang w:val="sr-Cyrl-RS"/>
        </w:rPr>
        <w:t>ог и ефикасног система јавних финансија.</w:t>
      </w:r>
    </w:p>
    <w:p w:rsidR="007A45D2" w:rsidRPr="0081082A" w:rsidRDefault="00426E69" w:rsidP="00C336A1">
      <w:pPr>
        <w:spacing w:before="120" w:after="0" w:line="240" w:lineRule="auto"/>
        <w:ind w:firstLine="708"/>
        <w:jc w:val="both"/>
        <w:rPr>
          <w:rFonts w:ascii="Times New Roman" w:hAnsi="Times New Roman" w:cs="Times New Roman"/>
          <w:sz w:val="24"/>
          <w:lang w:val="sr-Cyrl-RS"/>
        </w:rPr>
      </w:pPr>
      <w:r w:rsidRPr="0081082A">
        <w:rPr>
          <w:rFonts w:ascii="Times New Roman" w:hAnsi="Times New Roman" w:cs="Times New Roman"/>
          <w:sz w:val="24"/>
          <w:szCs w:val="24"/>
          <w:shd w:val="clear" w:color="auto" w:fill="FFFFFF"/>
          <w:lang w:val="sr-Cyrl-RS"/>
        </w:rPr>
        <w:t xml:space="preserve">Одбор </w:t>
      </w:r>
      <w:r w:rsidR="00F02613" w:rsidRPr="0081082A">
        <w:rPr>
          <w:rFonts w:ascii="Times New Roman" w:hAnsi="Times New Roman" w:cs="Times New Roman"/>
          <w:sz w:val="24"/>
          <w:szCs w:val="24"/>
          <w:shd w:val="clear" w:color="auto" w:fill="FFFFFF"/>
          <w:lang w:val="sr-Cyrl-RS"/>
        </w:rPr>
        <w:t xml:space="preserve">Народне скупштине за финансије, републички буџет и контролу трошења јавних средстава </w:t>
      </w:r>
      <w:r w:rsidRPr="0081082A">
        <w:rPr>
          <w:rFonts w:ascii="Times New Roman" w:hAnsi="Times New Roman" w:cs="Times New Roman"/>
          <w:sz w:val="24"/>
          <w:szCs w:val="24"/>
          <w:shd w:val="clear" w:color="auto" w:fill="FFFFFF"/>
          <w:lang w:val="sr-Cyrl-RS"/>
        </w:rPr>
        <w:t xml:space="preserve">ће у наредном петогодишњем </w:t>
      </w:r>
      <w:r w:rsidRPr="0081082A">
        <w:rPr>
          <w:rFonts w:ascii="Times New Roman" w:hAnsi="Times New Roman"/>
          <w:sz w:val="24"/>
          <w:lang w:val="sr-Cyrl-RS"/>
        </w:rPr>
        <w:t>периоду</w:t>
      </w:r>
      <w:r w:rsidRPr="0081082A">
        <w:rPr>
          <w:rFonts w:ascii="Times New Roman" w:hAnsi="Times New Roman" w:cs="Times New Roman"/>
          <w:sz w:val="24"/>
          <w:szCs w:val="24"/>
          <w:shd w:val="clear" w:color="auto" w:fill="FFFFFF"/>
          <w:lang w:val="sr-Cyrl-RS"/>
        </w:rPr>
        <w:t xml:space="preserve"> наставити да развија своју контролну функцију, посебно одржавањем седница Одбора и Пододбора на којима ће бити разматрани извештаји ДРИ о обављеним ревизијама</w:t>
      </w:r>
      <w:r w:rsidR="00F02613" w:rsidRPr="0081082A">
        <w:rPr>
          <w:rFonts w:ascii="Times New Roman" w:hAnsi="Times New Roman" w:cs="Times New Roman"/>
          <w:sz w:val="24"/>
          <w:szCs w:val="24"/>
          <w:shd w:val="clear" w:color="auto" w:fill="FFFFFF"/>
          <w:lang w:val="sr-Cyrl-RS"/>
        </w:rPr>
        <w:t>,</w:t>
      </w:r>
      <w:r w:rsidRPr="0081082A">
        <w:rPr>
          <w:rFonts w:ascii="Times New Roman" w:hAnsi="Times New Roman" w:cs="Times New Roman"/>
          <w:sz w:val="24"/>
          <w:szCs w:val="24"/>
          <w:shd w:val="clear" w:color="auto" w:fill="FFFFFF"/>
          <w:lang w:val="sr-Cyrl-RS"/>
        </w:rPr>
        <w:t xml:space="preserve"> уз присуство представника </w:t>
      </w:r>
      <w:r w:rsidRPr="0081082A">
        <w:rPr>
          <w:rFonts w:ascii="Times New Roman" w:hAnsi="Times New Roman" w:cs="Times New Roman"/>
          <w:sz w:val="24"/>
          <w:szCs w:val="24"/>
          <w:shd w:val="clear" w:color="auto" w:fill="FFFFFF"/>
          <w:lang w:val="sr-Cyrl-RS"/>
        </w:rPr>
        <w:lastRenderedPageBreak/>
        <w:t>институције, субјеката ревизије и, по потреби, представник</w:t>
      </w:r>
      <w:r w:rsidRPr="0081082A">
        <w:rPr>
          <w:rFonts w:ascii="Times New Roman" w:hAnsi="Times New Roman"/>
          <w:sz w:val="24"/>
          <w:shd w:val="clear" w:color="auto" w:fill="FFFFFF"/>
          <w:lang w:val="sr-Cyrl-RS"/>
        </w:rPr>
        <w:t>a</w:t>
      </w:r>
      <w:r w:rsidRPr="0081082A">
        <w:rPr>
          <w:rFonts w:ascii="Times New Roman" w:hAnsi="Times New Roman" w:cs="Times New Roman"/>
          <w:sz w:val="24"/>
          <w:szCs w:val="24"/>
          <w:shd w:val="clear" w:color="auto" w:fill="FFFFFF"/>
          <w:lang w:val="sr-Cyrl-RS"/>
        </w:rPr>
        <w:t xml:space="preserve"> других релевантних органа, организација и институција на централном и локалном нивоу власти. </w:t>
      </w:r>
      <w:r w:rsidRPr="0081082A">
        <w:rPr>
          <w:rFonts w:ascii="Times New Roman" w:hAnsi="Times New Roman"/>
          <w:sz w:val="24"/>
          <w:lang w:val="sr-Cyrl-RS"/>
        </w:rPr>
        <w:t xml:space="preserve">Одбор ће пратити извршење мера наведених у закључку Народне скупштине поводом усвајања Извештаја о раду </w:t>
      </w:r>
      <w:r w:rsidR="0006580D" w:rsidRPr="0081082A">
        <w:rPr>
          <w:rFonts w:ascii="Times New Roman" w:hAnsi="Times New Roman"/>
          <w:sz w:val="24"/>
          <w:lang w:val="sr-Cyrl-RS"/>
        </w:rPr>
        <w:t>ДРИ</w:t>
      </w:r>
      <w:r w:rsidRPr="0081082A">
        <w:rPr>
          <w:rFonts w:ascii="Times New Roman" w:hAnsi="Times New Roman"/>
          <w:sz w:val="24"/>
          <w:lang w:val="sr-Cyrl-RS"/>
        </w:rPr>
        <w:t>. Како би се повећала ефикасност надзора и праћење спровођења закључака Народне скупштине чије је извршење у надлежности Владе</w:t>
      </w:r>
      <w:r w:rsidR="002A61BC" w:rsidRPr="0081082A">
        <w:rPr>
          <w:rFonts w:ascii="Times New Roman" w:hAnsi="Times New Roman"/>
          <w:sz w:val="24"/>
          <w:lang w:val="sr-Cyrl-RS"/>
        </w:rPr>
        <w:t xml:space="preserve"> </w:t>
      </w:r>
      <w:r w:rsidRPr="0081082A">
        <w:rPr>
          <w:rFonts w:ascii="Times New Roman" w:hAnsi="Times New Roman"/>
          <w:sz w:val="24"/>
          <w:lang w:val="sr-Cyrl-RS"/>
        </w:rPr>
        <w:t>-</w:t>
      </w:r>
      <w:r w:rsidR="002A61BC" w:rsidRPr="0081082A">
        <w:rPr>
          <w:rFonts w:ascii="Times New Roman" w:hAnsi="Times New Roman"/>
          <w:sz w:val="24"/>
          <w:lang w:val="sr-Cyrl-RS"/>
        </w:rPr>
        <w:t xml:space="preserve"> </w:t>
      </w:r>
      <w:r w:rsidRPr="0081082A">
        <w:rPr>
          <w:rFonts w:ascii="Times New Roman" w:hAnsi="Times New Roman"/>
          <w:sz w:val="24"/>
          <w:lang w:val="sr-Cyrl-RS"/>
        </w:rPr>
        <w:t>Министарства финансија, Министарство ће периодично подносити извештај о предузимању потребних мера по закључку Народне скупштине поводом усвајања годишњег извештаја о раду ДРИ.</w:t>
      </w:r>
    </w:p>
    <w:p w:rsidR="00FB4AD5" w:rsidRPr="0081082A" w:rsidRDefault="00FB4AD5" w:rsidP="007A45D2">
      <w:pPr>
        <w:spacing w:after="0" w:line="240" w:lineRule="auto"/>
        <w:jc w:val="both"/>
        <w:rPr>
          <w:rFonts w:ascii="Times New Roman" w:hAnsi="Times New Roman" w:cs="Times New Roman"/>
          <w:sz w:val="24"/>
          <w:lang w:val="sr-Cyrl-RS"/>
        </w:rPr>
      </w:pPr>
    </w:p>
    <w:p w:rsidR="000A4B39" w:rsidRPr="0081082A" w:rsidRDefault="000A4B39" w:rsidP="000A4B39">
      <w:pPr>
        <w:pStyle w:val="Heading2"/>
        <w:pBdr>
          <w:left w:val="single" w:sz="24" w:space="2" w:color="DEEAF6" w:themeColor="accent1" w:themeTint="33"/>
        </w:pBdr>
        <w:jc w:val="center"/>
        <w:rPr>
          <w:rFonts w:ascii="Times New Roman" w:hAnsi="Times New Roman"/>
          <w:sz w:val="24"/>
          <w:lang w:val="sr-Cyrl-RS"/>
        </w:rPr>
      </w:pPr>
      <w:bookmarkStart w:id="3" w:name="_Toc72831276"/>
      <w:r w:rsidRPr="0081082A">
        <w:rPr>
          <w:rFonts w:ascii="Times New Roman" w:hAnsi="Times New Roman"/>
          <w:sz w:val="24"/>
          <w:lang w:val="sr-Cyrl-RS"/>
        </w:rPr>
        <w:t>ВЕЗА ПРОГРАМА РЕФОРМЕ УПРАВЉАЊА ЈАВНИМ ФИНАНСИЈАМА СА стратешким и законодавним оквиром, међународним стандардима и процесом европских интеграција</w:t>
      </w:r>
      <w:bookmarkEnd w:id="3"/>
    </w:p>
    <w:p w:rsidR="00B671C8" w:rsidRPr="0081082A" w:rsidRDefault="00B671C8" w:rsidP="00B671C8">
      <w:pPr>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Један од недостатака претходног Програма реформе управљања јавним финансијама јесте и недовољна усклађеност са Стратегијом реформе јавне управе Републике Србије</w:t>
      </w:r>
      <w:r w:rsidRPr="0081082A">
        <w:rPr>
          <w:rStyle w:val="FootnoteReference"/>
          <w:rFonts w:ascii="Times New Roman" w:hAnsi="Times New Roman"/>
          <w:sz w:val="24"/>
          <w:lang w:val="sr-Cyrl-RS"/>
        </w:rPr>
        <w:footnoteReference w:id="2"/>
      </w:r>
      <w:r w:rsidRPr="0081082A">
        <w:rPr>
          <w:rFonts w:ascii="Times New Roman" w:hAnsi="Times New Roman"/>
          <w:sz w:val="24"/>
          <w:lang w:val="sr-Cyrl-RS"/>
        </w:rPr>
        <w:t xml:space="preserve">, као кровним документом, имајући у виду чињеницу да је она </w:t>
      </w:r>
      <w:r w:rsidRPr="0081082A">
        <w:rPr>
          <w:rFonts w:ascii="Times New Roman" w:eastAsia="Calibri" w:hAnsi="Times New Roman" w:cs="Times New Roman"/>
          <w:sz w:val="24"/>
          <w:szCs w:val="24"/>
          <w:lang w:val="sr-Cyrl-RS"/>
        </w:rPr>
        <w:t>усвојена</w:t>
      </w:r>
      <w:r w:rsidRPr="0081082A">
        <w:rPr>
          <w:rFonts w:ascii="Times New Roman" w:hAnsi="Times New Roman"/>
          <w:sz w:val="24"/>
          <w:lang w:val="sr-Cyrl-RS"/>
        </w:rPr>
        <w:t xml:space="preserve"> 2014, а да </w:t>
      </w:r>
      <w:r w:rsidRPr="0081082A">
        <w:rPr>
          <w:rFonts w:ascii="Times New Roman" w:eastAsia="Calibri" w:hAnsi="Times New Roman" w:cs="Times New Roman"/>
          <w:sz w:val="24"/>
          <w:szCs w:val="24"/>
          <w:lang w:val="sr-Cyrl-RS"/>
        </w:rPr>
        <w:t>је припрема првог Програма реформе управљања јавним финансијама 2016-2020</w:t>
      </w:r>
      <w:r w:rsidRPr="0081082A">
        <w:rPr>
          <w:rStyle w:val="FootnoteReference"/>
          <w:rFonts w:ascii="Times New Roman" w:eastAsia="Calibri" w:hAnsi="Times New Roman" w:cs="Times New Roman"/>
          <w:sz w:val="24"/>
          <w:szCs w:val="24"/>
          <w:lang w:val="sr-Cyrl-RS"/>
        </w:rPr>
        <w:footnoteReference w:id="3"/>
      </w:r>
      <w:r w:rsidRPr="0081082A">
        <w:rPr>
          <w:rFonts w:ascii="Times New Roman" w:eastAsia="Calibri" w:hAnsi="Times New Roman" w:cs="Times New Roman"/>
          <w:sz w:val="24"/>
          <w:szCs w:val="24"/>
          <w:lang w:val="sr-Cyrl-RS"/>
        </w:rPr>
        <w:t xml:space="preserve"> (у даљем тексту: ПРУЈФ 2016-2020) започета</w:t>
      </w:r>
      <w:r w:rsidRPr="0081082A">
        <w:rPr>
          <w:rFonts w:ascii="Times New Roman" w:hAnsi="Times New Roman"/>
          <w:sz w:val="24"/>
          <w:lang w:val="sr-Cyrl-RS"/>
        </w:rPr>
        <w:t xml:space="preserve"> почетком 2015. године. Самим тим, у оквиру претходне Стратегије </w:t>
      </w:r>
      <w:r w:rsidRPr="0081082A">
        <w:rPr>
          <w:rFonts w:ascii="Times New Roman" w:eastAsia="Calibri" w:hAnsi="Times New Roman" w:cs="Times New Roman"/>
          <w:sz w:val="24"/>
          <w:szCs w:val="24"/>
          <w:lang w:val="sr-Cyrl-RS"/>
        </w:rPr>
        <w:t>реформе</w:t>
      </w:r>
      <w:r w:rsidRPr="0081082A">
        <w:rPr>
          <w:rFonts w:ascii="Times New Roman" w:hAnsi="Times New Roman"/>
          <w:sz w:val="24"/>
          <w:lang w:val="sr-Cyrl-RS"/>
        </w:rPr>
        <w:t xml:space="preserve"> јавне управе налазили су се само одређени елементи реформе </w:t>
      </w:r>
      <w:r w:rsidRPr="0081082A">
        <w:rPr>
          <w:rFonts w:ascii="Times New Roman" w:eastAsia="Calibri" w:hAnsi="Times New Roman" w:cs="Times New Roman"/>
          <w:sz w:val="24"/>
          <w:szCs w:val="24"/>
          <w:lang w:val="sr-Cyrl-RS"/>
        </w:rPr>
        <w:t xml:space="preserve">УЈФ (планирање буџета, управљање јавним набавкама и финансијска контрола) док ПРУЈФ 2016–2020, поред тих области обухвата и одрживи фискални и буџетски оквир, извршење буџета, финансијско извештавање и екстерни надзор над јавним финансијама. </w:t>
      </w:r>
    </w:p>
    <w:p w:rsidR="00B671C8" w:rsidRPr="0081082A" w:rsidRDefault="00B671C8" w:rsidP="00B671C8">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Законом </w:t>
      </w:r>
      <w:r w:rsidRPr="0081082A">
        <w:rPr>
          <w:rFonts w:ascii="Times New Roman" w:hAnsi="Times New Roman"/>
          <w:sz w:val="24"/>
          <w:lang w:val="sr-Cyrl-RS"/>
        </w:rPr>
        <w:t>о планском систему Републике Србије који је усвојен 2018. године</w:t>
      </w:r>
      <w:r w:rsidRPr="0081082A">
        <w:rPr>
          <w:rStyle w:val="FootnoteReference"/>
          <w:rFonts w:ascii="Times New Roman" w:eastAsia="Calibri" w:hAnsi="Times New Roman" w:cs="Times New Roman"/>
          <w:sz w:val="24"/>
          <w:szCs w:val="24"/>
          <w:lang w:val="sr-Cyrl-RS"/>
        </w:rPr>
        <w:footnoteReference w:id="4"/>
      </w:r>
      <w:r w:rsidRPr="0081082A">
        <w:rPr>
          <w:rFonts w:ascii="Times New Roman" w:hAnsi="Times New Roman"/>
          <w:sz w:val="24"/>
          <w:lang w:val="sr-Cyrl-RS"/>
        </w:rPr>
        <w:t xml:space="preserve"> и пратећим </w:t>
      </w:r>
      <w:r w:rsidRPr="0081082A">
        <w:rPr>
          <w:rFonts w:ascii="Times New Roman" w:eastAsia="Calibri" w:hAnsi="Times New Roman" w:cs="Times New Roman"/>
          <w:sz w:val="24"/>
          <w:szCs w:val="24"/>
          <w:lang w:val="sr-Cyrl-RS"/>
        </w:rPr>
        <w:t>уредбама</w:t>
      </w:r>
      <w:r w:rsidRPr="0081082A">
        <w:rPr>
          <w:rStyle w:val="FootnoteReference"/>
          <w:rFonts w:ascii="Times New Roman" w:eastAsia="Calibri" w:hAnsi="Times New Roman" w:cs="Times New Roman"/>
          <w:sz w:val="24"/>
          <w:szCs w:val="24"/>
          <w:lang w:val="sr-Cyrl-RS"/>
        </w:rPr>
        <w:footnoteReference w:id="5"/>
      </w:r>
      <w:r w:rsidRPr="0081082A">
        <w:rPr>
          <w:rFonts w:ascii="Times New Roman" w:eastAsia="Calibri" w:hAnsi="Times New Roman" w:cs="Times New Roman"/>
          <w:sz w:val="24"/>
          <w:szCs w:val="24"/>
          <w:lang w:val="sr-Cyrl-RS"/>
        </w:rPr>
        <w:t>,</w:t>
      </w:r>
      <w:r w:rsidRPr="0081082A">
        <w:rPr>
          <w:rFonts w:ascii="Times New Roman" w:hAnsi="Times New Roman"/>
          <w:sz w:val="24"/>
          <w:lang w:val="sr-Cyrl-RS"/>
        </w:rPr>
        <w:t xml:space="preserve"> јасно </w:t>
      </w:r>
      <w:r w:rsidRPr="0081082A">
        <w:rPr>
          <w:rFonts w:ascii="Times New Roman" w:eastAsia="Calibri" w:hAnsi="Times New Roman" w:cs="Times New Roman"/>
          <w:sz w:val="24"/>
          <w:szCs w:val="24"/>
          <w:lang w:val="sr-Cyrl-RS"/>
        </w:rPr>
        <w:t>су установљени</w:t>
      </w:r>
      <w:r w:rsidRPr="0081082A">
        <w:rPr>
          <w:rFonts w:ascii="Times New Roman" w:hAnsi="Times New Roman"/>
          <w:sz w:val="24"/>
          <w:lang w:val="sr-Cyrl-RS"/>
        </w:rPr>
        <w:t xml:space="preserve"> процес израде докумен</w:t>
      </w:r>
      <w:r w:rsidR="00D1421B" w:rsidRPr="0081082A">
        <w:rPr>
          <w:rFonts w:ascii="Times New Roman" w:hAnsi="Times New Roman"/>
          <w:sz w:val="24"/>
          <w:lang w:val="sr-Cyrl-RS"/>
        </w:rPr>
        <w:t>а</w:t>
      </w:r>
      <w:r w:rsidRPr="0081082A">
        <w:rPr>
          <w:rFonts w:ascii="Times New Roman" w:hAnsi="Times New Roman"/>
          <w:sz w:val="24"/>
          <w:lang w:val="sr-Cyrl-RS"/>
        </w:rPr>
        <w:t xml:space="preserve">та </w:t>
      </w:r>
      <w:r w:rsidRPr="0081082A">
        <w:rPr>
          <w:rFonts w:ascii="Times New Roman" w:eastAsia="Calibri" w:hAnsi="Times New Roman" w:cs="Times New Roman"/>
          <w:sz w:val="24"/>
          <w:szCs w:val="24"/>
          <w:lang w:val="sr-Cyrl-RS"/>
        </w:rPr>
        <w:t>јавних политика,</w:t>
      </w:r>
      <w:r w:rsidRPr="0081082A">
        <w:rPr>
          <w:rFonts w:ascii="Times New Roman" w:hAnsi="Times New Roman"/>
          <w:sz w:val="24"/>
          <w:lang w:val="sr-Cyrl-RS"/>
        </w:rPr>
        <w:t xml:space="preserve"> </w:t>
      </w:r>
      <w:r w:rsidRPr="0081082A">
        <w:rPr>
          <w:rFonts w:ascii="Times New Roman" w:eastAsia="Calibri" w:hAnsi="Times New Roman" w:cs="Times New Roman"/>
          <w:sz w:val="24"/>
          <w:szCs w:val="24"/>
          <w:lang w:val="sr-Cyrl-RS"/>
        </w:rPr>
        <w:t>и посебно - обавеза усаглашавања ових докумената. П</w:t>
      </w:r>
      <w:r w:rsidRPr="0081082A">
        <w:rPr>
          <w:rFonts w:ascii="Times New Roman" w:hAnsi="Times New Roman"/>
          <w:sz w:val="24"/>
          <w:lang w:val="sr-Cyrl-RS"/>
        </w:rPr>
        <w:t xml:space="preserve">роцес </w:t>
      </w:r>
      <w:r w:rsidRPr="0081082A">
        <w:rPr>
          <w:rFonts w:ascii="Times New Roman" w:eastAsia="Calibri" w:hAnsi="Times New Roman" w:cs="Times New Roman"/>
          <w:sz w:val="24"/>
          <w:szCs w:val="24"/>
          <w:lang w:val="sr-Cyrl-RS"/>
        </w:rPr>
        <w:t>усклађивања два документа (СРЈУ и ПРУЈФ) започет је у</w:t>
      </w:r>
      <w:r w:rsidRPr="0081082A">
        <w:rPr>
          <w:rFonts w:ascii="Times New Roman" w:hAnsi="Times New Roman"/>
          <w:sz w:val="24"/>
          <w:lang w:val="sr-Cyrl-RS"/>
        </w:rPr>
        <w:t xml:space="preserve"> јесен 2019. године</w:t>
      </w:r>
      <w:r w:rsidRPr="0081082A">
        <w:rPr>
          <w:rFonts w:ascii="Times New Roman" w:eastAsia="Calibri" w:hAnsi="Times New Roman" w:cs="Times New Roman"/>
          <w:sz w:val="24"/>
          <w:szCs w:val="24"/>
          <w:lang w:val="sr-Cyrl-RS"/>
        </w:rPr>
        <w:t>,</w:t>
      </w:r>
      <w:r w:rsidRPr="0081082A">
        <w:rPr>
          <w:rFonts w:ascii="Times New Roman" w:hAnsi="Times New Roman"/>
          <w:sz w:val="24"/>
          <w:lang w:val="sr-Cyrl-RS"/>
        </w:rPr>
        <w:t xml:space="preserve"> у оквиру Радне групе за припрему Стратегије реформе јавне управе 2021-2030. У складу са Законом о планском систему </w:t>
      </w:r>
      <w:r w:rsidR="002A61BC" w:rsidRPr="0081082A">
        <w:rPr>
          <w:rFonts w:ascii="Times New Roman" w:hAnsi="Times New Roman" w:cs="Times New Roman"/>
          <w:sz w:val="24"/>
          <w:szCs w:val="24"/>
          <w:lang w:val="sr-Cyrl-RS"/>
        </w:rPr>
        <w:t>Републике Србије</w:t>
      </w:r>
      <w:r w:rsidRPr="0081082A">
        <w:rPr>
          <w:rFonts w:ascii="Times New Roman" w:hAnsi="Times New Roman"/>
          <w:sz w:val="24"/>
          <w:lang w:val="sr-Cyrl-RS"/>
        </w:rPr>
        <w:t>, одлучено је да се у саставу нове Стратегије реформе јавне управе</w:t>
      </w:r>
      <w:r w:rsidRPr="0081082A">
        <w:rPr>
          <w:rFonts w:ascii="Times New Roman" w:eastAsia="Calibri" w:hAnsi="Times New Roman" w:cs="Times New Roman"/>
          <w:sz w:val="24"/>
          <w:szCs w:val="24"/>
          <w:lang w:val="sr-Cyrl-RS"/>
        </w:rPr>
        <w:t>, као кровне стратегије која се израђује и доноси за период 2021-2030,</w:t>
      </w:r>
      <w:r w:rsidRPr="0081082A">
        <w:rPr>
          <w:rFonts w:ascii="Times New Roman" w:hAnsi="Times New Roman"/>
          <w:sz w:val="24"/>
          <w:lang w:val="sr-Cyrl-RS"/>
        </w:rPr>
        <w:t xml:space="preserve"> област реформе </w:t>
      </w:r>
      <w:r w:rsidRPr="0081082A">
        <w:rPr>
          <w:rFonts w:ascii="Times New Roman" w:eastAsia="Calibri" w:hAnsi="Times New Roman" w:cs="Times New Roman"/>
          <w:sz w:val="24"/>
          <w:szCs w:val="24"/>
          <w:lang w:val="sr-Cyrl-RS"/>
        </w:rPr>
        <w:t xml:space="preserve">УЈФ </w:t>
      </w:r>
      <w:r w:rsidRPr="0081082A">
        <w:rPr>
          <w:rFonts w:ascii="Times New Roman" w:hAnsi="Times New Roman"/>
          <w:sz w:val="24"/>
          <w:lang w:val="sr-Cyrl-RS"/>
        </w:rPr>
        <w:t xml:space="preserve">представи у оквиру Посебног циља 7 </w:t>
      </w:r>
      <w:r w:rsidR="00D1421B" w:rsidRPr="0081082A">
        <w:rPr>
          <w:rFonts w:ascii="Times New Roman" w:hAnsi="Times New Roman"/>
          <w:sz w:val="24"/>
          <w:lang w:val="sr-Cyrl-RS"/>
        </w:rPr>
        <w:t xml:space="preserve">- </w:t>
      </w:r>
      <w:r w:rsidRPr="0081082A">
        <w:rPr>
          <w:rFonts w:ascii="Times New Roman" w:hAnsi="Times New Roman"/>
          <w:sz w:val="24"/>
          <w:lang w:val="sr-Cyrl-RS"/>
        </w:rPr>
        <w:t xml:space="preserve">Управљање јавним финансијама, док ће детаљне активности бити у потпуности разрађене у оквиру </w:t>
      </w:r>
      <w:r w:rsidR="00D1421B" w:rsidRPr="0081082A">
        <w:rPr>
          <w:rFonts w:ascii="Times New Roman" w:hAnsi="Times New Roman"/>
          <w:sz w:val="24"/>
          <w:lang w:val="sr-Cyrl-RS"/>
        </w:rPr>
        <w:t xml:space="preserve">самог </w:t>
      </w:r>
      <w:r w:rsidR="00D1421B" w:rsidRPr="0081082A">
        <w:rPr>
          <w:rFonts w:ascii="Times New Roman" w:eastAsia="Calibri" w:hAnsi="Times New Roman" w:cs="Times New Roman"/>
          <w:sz w:val="24"/>
          <w:szCs w:val="24"/>
          <w:lang w:val="sr-Cyrl-RS"/>
        </w:rPr>
        <w:t>ПРУЈФ</w:t>
      </w:r>
      <w:r w:rsidRPr="0081082A">
        <w:rPr>
          <w:rFonts w:ascii="Times New Roman" w:eastAsia="Calibri" w:hAnsi="Times New Roman" w:cs="Times New Roman"/>
          <w:sz w:val="24"/>
          <w:szCs w:val="24"/>
          <w:lang w:val="sr-Cyrl-RS"/>
        </w:rPr>
        <w:t xml:space="preserve"> и пратећег Акционог плана </w:t>
      </w:r>
      <w:r w:rsidRPr="0081082A">
        <w:rPr>
          <w:rFonts w:ascii="Times New Roman" w:hAnsi="Times New Roman"/>
          <w:sz w:val="24"/>
          <w:lang w:val="sr-Cyrl-RS"/>
        </w:rPr>
        <w:t>за период 2021-2025</w:t>
      </w:r>
      <w:r w:rsidR="00D1421B"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Област која се односи на управљачку одговорност, која је раније била саставни део Стратегије развоја интерне финансијске контроле у јавном сектору у Републици Србији за период 2017–2020. године</w:t>
      </w:r>
      <w:r w:rsidRPr="0081082A">
        <w:rPr>
          <w:rStyle w:val="FootnoteReference"/>
          <w:rFonts w:ascii="Times New Roman" w:eastAsia="Calibri" w:hAnsi="Times New Roman" w:cs="Times New Roman"/>
          <w:sz w:val="24"/>
          <w:szCs w:val="24"/>
          <w:lang w:val="sr-Cyrl-RS"/>
        </w:rPr>
        <w:footnoteReference w:id="6"/>
      </w:r>
      <w:r w:rsidRPr="0081082A">
        <w:rPr>
          <w:rFonts w:ascii="Times New Roman" w:eastAsia="Calibri" w:hAnsi="Times New Roman" w:cs="Times New Roman"/>
          <w:sz w:val="24"/>
          <w:szCs w:val="24"/>
          <w:lang w:val="sr-Cyrl-RS"/>
        </w:rPr>
        <w:t>, инкорпориран је у Стратегију РЈУ 2021-2030 у оквиру Посебног циља 6</w:t>
      </w:r>
      <w:r w:rsidR="00D1421B" w:rsidRPr="0081082A">
        <w:rPr>
          <w:rFonts w:ascii="Times New Roman" w:eastAsia="Calibri" w:hAnsi="Times New Roman" w:cs="Times New Roman"/>
          <w:sz w:val="24"/>
          <w:szCs w:val="24"/>
          <w:lang w:val="sr-Cyrl-RS"/>
        </w:rPr>
        <w:t xml:space="preserve"> -</w:t>
      </w:r>
      <w:r w:rsidRPr="0081082A">
        <w:rPr>
          <w:rFonts w:ascii="Times New Roman" w:eastAsia="Calibri" w:hAnsi="Times New Roman" w:cs="Times New Roman"/>
          <w:sz w:val="24"/>
          <w:szCs w:val="24"/>
          <w:lang w:val="sr-Cyrl-RS"/>
        </w:rPr>
        <w:t xml:space="preserve"> Одговорност и транспарентност.</w:t>
      </w:r>
    </w:p>
    <w:p w:rsidR="00B671C8" w:rsidRPr="0081082A" w:rsidRDefault="00B671C8" w:rsidP="00B671C8">
      <w:pPr>
        <w:spacing w:after="0" w:line="240" w:lineRule="auto"/>
        <w:ind w:firstLine="706"/>
        <w:jc w:val="both"/>
        <w:rPr>
          <w:rFonts w:ascii="Times New Roman" w:hAnsi="Times New Roman" w:cs="Times New Roman"/>
          <w:sz w:val="24"/>
          <w:lang w:val="sr-Cyrl-RS"/>
        </w:rPr>
      </w:pPr>
      <w:r w:rsidRPr="0081082A">
        <w:rPr>
          <w:rFonts w:ascii="Times New Roman" w:hAnsi="Times New Roman" w:cs="Times New Roman"/>
          <w:sz w:val="24"/>
          <w:lang w:val="sr-Cyrl-RS"/>
        </w:rPr>
        <w:t>Приликом израде ПРУЈФ се водило рачуна и да се обезбеди конзистентност овог планског документа са другим важећим документима јавних политика, документима у припреми, као и усклађеност са преузетим међународним и законским обавезама, пре свега преговора о приступању ЕУ.</w:t>
      </w:r>
      <w:r w:rsidR="00227A1A" w:rsidRPr="0081082A">
        <w:rPr>
          <w:rFonts w:ascii="Times New Roman" w:hAnsi="Times New Roman" w:cs="Times New Roman"/>
          <w:sz w:val="24"/>
          <w:lang w:val="sr-Cyrl-RS"/>
        </w:rPr>
        <w:t xml:space="preserve"> </w:t>
      </w:r>
      <w:r w:rsidRPr="0081082A">
        <w:rPr>
          <w:rFonts w:ascii="Times New Roman" w:hAnsi="Times New Roman" w:cs="Times New Roman"/>
          <w:sz w:val="24"/>
          <w:lang w:val="sr-Cyrl-RS"/>
        </w:rPr>
        <w:t xml:space="preserve">ПРУЈФ прати фазе буџетског </w:t>
      </w:r>
      <w:r w:rsidRPr="0081082A">
        <w:rPr>
          <w:rFonts w:ascii="Times New Roman" w:hAnsi="Times New Roman" w:cs="Times New Roman"/>
          <w:sz w:val="24"/>
          <w:lang w:val="sr-Cyrl-RS"/>
        </w:rPr>
        <w:lastRenderedPageBreak/>
        <w:t>циклуса дефинисане Законом о буџетском систему</w:t>
      </w:r>
      <w:r w:rsidRPr="0081082A">
        <w:rPr>
          <w:rStyle w:val="FootnoteReference"/>
          <w:rFonts w:ascii="Times New Roman" w:hAnsi="Times New Roman" w:cs="Times New Roman"/>
          <w:sz w:val="24"/>
          <w:lang w:val="sr-Cyrl-RS"/>
        </w:rPr>
        <w:footnoteReference w:id="7"/>
      </w:r>
      <w:r w:rsidRPr="0081082A">
        <w:rPr>
          <w:rFonts w:ascii="Times New Roman" w:hAnsi="Times New Roman" w:cs="Times New Roman"/>
          <w:sz w:val="24"/>
          <w:lang w:val="sr-Cyrl-RS"/>
        </w:rPr>
        <w:t>, који представља кључни законски оквир у области управљања јавним финансијама и детаљно регулише цели буџетски циклус. Фискалн</w:t>
      </w:r>
      <w:r w:rsidR="00227A1A" w:rsidRPr="0081082A">
        <w:rPr>
          <w:rFonts w:ascii="Times New Roman" w:hAnsi="Times New Roman" w:cs="Times New Roman"/>
          <w:sz w:val="24"/>
          <w:lang w:val="sr-Cyrl-RS"/>
        </w:rPr>
        <w:t>у</w:t>
      </w:r>
      <w:r w:rsidRPr="0081082A">
        <w:rPr>
          <w:rFonts w:ascii="Times New Roman" w:hAnsi="Times New Roman" w:cs="Times New Roman"/>
          <w:sz w:val="24"/>
          <w:lang w:val="sr-Cyrl-RS"/>
        </w:rPr>
        <w:t xml:space="preserve"> стратегиј</w:t>
      </w:r>
      <w:r w:rsidR="00227A1A" w:rsidRPr="0081082A">
        <w:rPr>
          <w:rFonts w:ascii="Times New Roman" w:hAnsi="Times New Roman" w:cs="Times New Roman"/>
          <w:sz w:val="24"/>
          <w:lang w:val="sr-Cyrl-RS"/>
        </w:rPr>
        <w:t>у</w:t>
      </w:r>
      <w:r w:rsidRPr="0081082A">
        <w:rPr>
          <w:rStyle w:val="FootnoteReference"/>
          <w:rFonts w:ascii="Times New Roman" w:hAnsi="Times New Roman" w:cs="Times New Roman"/>
          <w:sz w:val="24"/>
          <w:lang w:val="sr-Cyrl-RS"/>
        </w:rPr>
        <w:footnoteReference w:id="8"/>
      </w:r>
      <w:r w:rsidRPr="0081082A">
        <w:rPr>
          <w:rFonts w:ascii="Times New Roman" w:hAnsi="Times New Roman" w:cs="Times New Roman"/>
          <w:sz w:val="24"/>
          <w:lang w:val="sr-Cyrl-RS"/>
        </w:rPr>
        <w:t>, коју предвиђа Закон о буџетском систему (чл. 2, 27в, 27г, 27д), као документ у коме се наводе циљеви фискалне политике Владе и даје оцена одрживости фискалне политике, Влада подноси Народној скупштини сваке фискалне године</w:t>
      </w:r>
      <w:r w:rsidR="00227A1A" w:rsidRPr="0081082A">
        <w:rPr>
          <w:rFonts w:ascii="Times New Roman" w:hAnsi="Times New Roman" w:cs="Times New Roman"/>
          <w:sz w:val="24"/>
          <w:lang w:val="sr-Cyrl-RS"/>
        </w:rPr>
        <w:t>,</w:t>
      </w:r>
      <w:r w:rsidRPr="0081082A">
        <w:rPr>
          <w:rFonts w:ascii="Times New Roman" w:hAnsi="Times New Roman" w:cs="Times New Roman"/>
          <w:sz w:val="24"/>
          <w:lang w:val="sr-Cyrl-RS"/>
        </w:rPr>
        <w:t xml:space="preserve"> са подацима за три узастопне фискалне године. Фискална стратегија је кључни документ у области јавних финансија РС, и посебно релевантан и за ПРУЈФ, као оквир фискалне политике и извор верификације утврђених индикатора.</w:t>
      </w:r>
    </w:p>
    <w:p w:rsidR="00B671C8" w:rsidRPr="0081082A" w:rsidRDefault="00B671C8" w:rsidP="00B671C8">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Република Србија, као држава кандидат за пријем у чланство у ЕУ</w:t>
      </w:r>
      <w:r w:rsidR="00D37829"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изрaђуje Програм економ</w:t>
      </w:r>
      <w:r w:rsidR="00A122F9">
        <w:rPr>
          <w:rFonts w:ascii="Times New Roman" w:eastAsia="Calibri" w:hAnsi="Times New Roman" w:cs="Times New Roman"/>
          <w:sz w:val="24"/>
          <w:szCs w:val="24"/>
          <w:lang w:val="sr-Cyrl-RS"/>
        </w:rPr>
        <w:t>с</w:t>
      </w:r>
      <w:r w:rsidRPr="0081082A">
        <w:rPr>
          <w:rFonts w:ascii="Times New Roman" w:eastAsia="Calibri" w:hAnsi="Times New Roman" w:cs="Times New Roman"/>
          <w:sz w:val="24"/>
          <w:szCs w:val="24"/>
          <w:lang w:val="sr-Cyrl-RS"/>
        </w:rPr>
        <w:t xml:space="preserve">ких реформи (EРП) нa гoдишњeм нивoу, почевши од 2015. године, када је укључена у економски дијалог са ЕУ на највишем нивоу у оквиру координације економских политика са ЕУ у форми европског семестра </w:t>
      </w:r>
      <w:r w:rsidRPr="0081082A">
        <w:rPr>
          <w:rFonts w:ascii="Times New Roman" w:eastAsia="Calibri" w:hAnsi="Times New Roman" w:cs="Times New Roman"/>
          <w:i/>
          <w:iCs/>
          <w:sz w:val="24"/>
          <w:szCs w:val="24"/>
          <w:lang w:val="sr-Cyrl-RS"/>
        </w:rPr>
        <w:t xml:space="preserve">light, </w:t>
      </w:r>
      <w:r w:rsidRPr="0081082A">
        <w:rPr>
          <w:rFonts w:ascii="Times New Roman" w:eastAsia="Calibri" w:hAnsi="Times New Roman" w:cs="Times New Roman"/>
          <w:iCs/>
          <w:sz w:val="24"/>
          <w:szCs w:val="24"/>
          <w:lang w:val="sr-Cyrl-RS"/>
        </w:rPr>
        <w:t>што представља и важан сегмент преговарачког поглавља 17. ЕРП представља најважнији стратешки документ Владе у области координације економских политика. Први део ЕРП</w:t>
      </w:r>
      <w:r w:rsidR="00D37829" w:rsidRPr="0081082A">
        <w:rPr>
          <w:rFonts w:ascii="Times New Roman" w:eastAsia="Calibri" w:hAnsi="Times New Roman" w:cs="Times New Roman"/>
          <w:iCs/>
          <w:sz w:val="24"/>
          <w:szCs w:val="24"/>
          <w:lang w:val="sr-Cyrl-RS"/>
        </w:rPr>
        <w:t>-а</w:t>
      </w:r>
      <w:r w:rsidRPr="0081082A">
        <w:rPr>
          <w:rFonts w:ascii="Times New Roman" w:eastAsia="Calibri" w:hAnsi="Times New Roman" w:cs="Times New Roman"/>
          <w:iCs/>
          <w:sz w:val="24"/>
          <w:szCs w:val="24"/>
          <w:lang w:val="sr-Cyrl-RS"/>
        </w:rPr>
        <w:t xml:space="preserve"> ослања се у потпуности на Фискалну стратегију, и у њему посебно место има област квалитета јавних финансија, а поједине области УЈФ, као што је трансформација Пореске управе, увођење новог модела фискализације и електронско фактурисање, у делу ЕРП</w:t>
      </w:r>
      <w:r w:rsidR="00D37829" w:rsidRPr="0081082A">
        <w:rPr>
          <w:rFonts w:ascii="Times New Roman" w:eastAsia="Calibri" w:hAnsi="Times New Roman" w:cs="Times New Roman"/>
          <w:iCs/>
          <w:sz w:val="24"/>
          <w:szCs w:val="24"/>
          <w:lang w:val="sr-Cyrl-RS"/>
        </w:rPr>
        <w:t>-а</w:t>
      </w:r>
      <w:r w:rsidRPr="0081082A">
        <w:rPr>
          <w:rFonts w:ascii="Times New Roman" w:eastAsia="Calibri" w:hAnsi="Times New Roman" w:cs="Times New Roman"/>
          <w:iCs/>
          <w:sz w:val="24"/>
          <w:szCs w:val="24"/>
          <w:lang w:val="sr-Cyrl-RS"/>
        </w:rPr>
        <w:t xml:space="preserve"> посвећеном структурним реформама</w:t>
      </w:r>
      <w:r w:rsidR="00D37829" w:rsidRPr="0081082A">
        <w:rPr>
          <w:rFonts w:ascii="Times New Roman" w:eastAsia="Calibri" w:hAnsi="Times New Roman" w:cs="Times New Roman"/>
          <w:iCs/>
          <w:sz w:val="24"/>
          <w:szCs w:val="24"/>
          <w:lang w:val="sr-Cyrl-RS"/>
        </w:rPr>
        <w:t>,</w:t>
      </w:r>
      <w:r w:rsidRPr="0081082A">
        <w:rPr>
          <w:rFonts w:ascii="Times New Roman" w:eastAsia="Calibri" w:hAnsi="Times New Roman" w:cs="Times New Roman"/>
          <w:iCs/>
          <w:sz w:val="24"/>
          <w:szCs w:val="24"/>
          <w:lang w:val="sr-Cyrl-RS"/>
        </w:rPr>
        <w:t xml:space="preserve"> препознате су као посебне приоритетне структурне реформске мере у ЕРП</w:t>
      </w:r>
      <w:r w:rsidR="00D37829" w:rsidRPr="0081082A">
        <w:rPr>
          <w:rFonts w:ascii="Times New Roman" w:eastAsia="Calibri" w:hAnsi="Times New Roman" w:cs="Times New Roman"/>
          <w:iCs/>
          <w:sz w:val="24"/>
          <w:szCs w:val="24"/>
          <w:lang w:val="sr-Cyrl-RS"/>
        </w:rPr>
        <w:t>-у</w:t>
      </w:r>
      <w:r w:rsidRPr="0081082A">
        <w:rPr>
          <w:rFonts w:ascii="Times New Roman" w:eastAsia="Calibri" w:hAnsi="Times New Roman" w:cs="Times New Roman"/>
          <w:iCs/>
          <w:sz w:val="24"/>
          <w:szCs w:val="24"/>
          <w:lang w:val="sr-Cyrl-RS"/>
        </w:rPr>
        <w:t xml:space="preserve"> 2021-2023</w:t>
      </w:r>
      <w:r w:rsidRPr="0081082A">
        <w:rPr>
          <w:rFonts w:ascii="Times New Roman" w:eastAsia="Calibri" w:hAnsi="Times New Roman" w:cs="Times New Roman"/>
          <w:sz w:val="24"/>
          <w:szCs w:val="24"/>
          <w:lang w:val="sr-Cyrl-RS"/>
        </w:rPr>
        <w:t>.</w:t>
      </w:r>
    </w:p>
    <w:p w:rsidR="00BE1F0B" w:rsidRPr="0081082A" w:rsidRDefault="00BE1F0B" w:rsidP="006107E9">
      <w:pPr>
        <w:shd w:val="clear" w:color="auto" w:fill="FFFFFF" w:themeFill="background1"/>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За спровођење </w:t>
      </w:r>
      <w:r w:rsidRPr="0081082A">
        <w:rPr>
          <w:rFonts w:ascii="Times New Roman" w:hAnsi="Times New Roman"/>
          <w:sz w:val="24"/>
          <w:lang w:val="sr-Cyrl-RS"/>
        </w:rPr>
        <w:t xml:space="preserve">Стратегије реформе јавне управе Републике Србије, поред ПРУЈФ </w:t>
      </w:r>
      <w:r w:rsidRPr="0081082A">
        <w:rPr>
          <w:rFonts w:ascii="Times New Roman" w:eastAsia="Calibri" w:hAnsi="Times New Roman" w:cs="Times New Roman"/>
          <w:sz w:val="24"/>
          <w:szCs w:val="24"/>
          <w:lang w:val="sr-Cyrl-RS"/>
        </w:rPr>
        <w:t>2021-2025,</w:t>
      </w:r>
      <w:r w:rsidRPr="0081082A">
        <w:rPr>
          <w:rFonts w:ascii="Times New Roman" w:hAnsi="Times New Roman"/>
          <w:sz w:val="24"/>
          <w:lang w:val="sr-Cyrl-RS"/>
        </w:rPr>
        <w:t xml:space="preserve"> израђују се и Програм реформе система локалне самоуправе за период од 2021. до 2025. године и Програм унапређења управљања јавним политикама и регулаторн</w:t>
      </w:r>
      <w:r w:rsidR="00D37829" w:rsidRPr="0081082A">
        <w:rPr>
          <w:rFonts w:ascii="Times New Roman" w:hAnsi="Times New Roman"/>
          <w:sz w:val="24"/>
          <w:lang w:val="sr-Cyrl-RS"/>
        </w:rPr>
        <w:t>е</w:t>
      </w:r>
      <w:r w:rsidRPr="0081082A">
        <w:rPr>
          <w:rFonts w:ascii="Times New Roman" w:hAnsi="Times New Roman"/>
          <w:sz w:val="24"/>
          <w:lang w:val="sr-Cyrl-RS"/>
        </w:rPr>
        <w:t xml:space="preserve"> реформ</w:t>
      </w:r>
      <w:r w:rsidR="00D37829" w:rsidRPr="0081082A">
        <w:rPr>
          <w:rFonts w:ascii="Times New Roman" w:hAnsi="Times New Roman"/>
          <w:sz w:val="24"/>
          <w:lang w:val="sr-Cyrl-RS"/>
        </w:rPr>
        <w:t>е</w:t>
      </w:r>
      <w:r w:rsidRPr="0081082A">
        <w:rPr>
          <w:rFonts w:ascii="Times New Roman" w:hAnsi="Times New Roman"/>
          <w:sz w:val="24"/>
          <w:lang w:val="sr-Cyrl-RS"/>
        </w:rPr>
        <w:t xml:space="preserve"> за период од 2021. до 2025. године. У оквиру тих програма планирају се мере и активности које доприносе и остваривању циљева ПРУЈФ </w:t>
      </w:r>
      <w:r w:rsidRPr="0081082A">
        <w:rPr>
          <w:rFonts w:ascii="Times New Roman" w:eastAsia="Calibri" w:hAnsi="Times New Roman" w:cs="Times New Roman"/>
          <w:sz w:val="24"/>
          <w:szCs w:val="24"/>
          <w:lang w:val="sr-Cyrl-RS"/>
        </w:rPr>
        <w:t>2021-2025, а које се односе на унапређење буџетског планирања на локалном нивоу, као и усаглашавање б</w:t>
      </w:r>
      <w:r w:rsidR="00D37829" w:rsidRPr="0081082A">
        <w:rPr>
          <w:rFonts w:ascii="Times New Roman" w:eastAsia="Calibri" w:hAnsi="Times New Roman" w:cs="Times New Roman"/>
          <w:sz w:val="24"/>
          <w:szCs w:val="24"/>
          <w:lang w:val="sr-Cyrl-RS"/>
        </w:rPr>
        <w:t>у</w:t>
      </w:r>
      <w:r w:rsidRPr="0081082A">
        <w:rPr>
          <w:rFonts w:ascii="Times New Roman" w:eastAsia="Calibri" w:hAnsi="Times New Roman" w:cs="Times New Roman"/>
          <w:sz w:val="24"/>
          <w:szCs w:val="24"/>
          <w:lang w:val="sr-Cyrl-RS"/>
        </w:rPr>
        <w:t xml:space="preserve">џетског планирања и спровођења докумената јавних политика, путем коришћења информационих система. </w:t>
      </w:r>
    </w:p>
    <w:p w:rsidR="00BE1F0B" w:rsidRPr="0081082A" w:rsidRDefault="00BE1F0B" w:rsidP="006107E9">
      <w:pPr>
        <w:shd w:val="clear" w:color="auto" w:fill="FFFFFF" w:themeFill="background1"/>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 xml:space="preserve">ПРУЈФ </w:t>
      </w:r>
      <w:r w:rsidRPr="0081082A">
        <w:rPr>
          <w:rFonts w:ascii="Times New Roman" w:eastAsia="Calibri" w:hAnsi="Times New Roman" w:cs="Times New Roman"/>
          <w:sz w:val="24"/>
          <w:szCs w:val="24"/>
          <w:lang w:val="sr-Cyrl-RS"/>
        </w:rPr>
        <w:t>2021-2025 садржи</w:t>
      </w:r>
      <w:r w:rsidRPr="0081082A">
        <w:rPr>
          <w:rFonts w:ascii="Times New Roman" w:hAnsi="Times New Roman"/>
          <w:sz w:val="24"/>
          <w:lang w:val="sr-Cyrl-RS"/>
        </w:rPr>
        <w:t xml:space="preserve"> кључне реформске мере и активности у </w:t>
      </w:r>
      <w:r w:rsidRPr="0081082A">
        <w:rPr>
          <w:rFonts w:ascii="Times New Roman" w:eastAsia="Calibri" w:hAnsi="Times New Roman" w:cs="Times New Roman"/>
          <w:sz w:val="24"/>
          <w:szCs w:val="24"/>
          <w:lang w:val="sr-Cyrl-RS"/>
        </w:rPr>
        <w:t>оквиру сваког посебног циља</w:t>
      </w:r>
      <w:r w:rsidRPr="0081082A">
        <w:rPr>
          <w:rFonts w:ascii="Times New Roman" w:hAnsi="Times New Roman"/>
          <w:sz w:val="24"/>
          <w:lang w:val="sr-Cyrl-RS"/>
        </w:rPr>
        <w:t xml:space="preserve">. </w:t>
      </w:r>
    </w:p>
    <w:p w:rsidR="00B671C8" w:rsidRPr="0081082A" w:rsidRDefault="00B671C8" w:rsidP="00840E98">
      <w:pPr>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 xml:space="preserve">Значајна разлика у односу на </w:t>
      </w:r>
      <w:r w:rsidRPr="0081082A">
        <w:rPr>
          <w:rFonts w:ascii="Times New Roman" w:eastAsia="Calibri" w:hAnsi="Times New Roman" w:cs="Times New Roman"/>
          <w:sz w:val="24"/>
          <w:szCs w:val="24"/>
          <w:lang w:val="sr-Cyrl-RS"/>
        </w:rPr>
        <w:t>претходни</w:t>
      </w:r>
      <w:r w:rsidRPr="0081082A">
        <w:rPr>
          <w:rFonts w:ascii="Times New Roman" w:hAnsi="Times New Roman"/>
          <w:sz w:val="24"/>
          <w:lang w:val="sr-Cyrl-RS"/>
        </w:rPr>
        <w:t xml:space="preserve"> ПРУЈФ је и та што је целокупни подсистем </w:t>
      </w:r>
      <w:r w:rsidRPr="0081082A">
        <w:rPr>
          <w:rFonts w:ascii="Times New Roman" w:eastAsia="Calibri" w:hAnsi="Times New Roman" w:cs="Times New Roman"/>
          <w:sz w:val="24"/>
          <w:szCs w:val="24"/>
          <w:lang w:val="sr-Cyrl-RS"/>
        </w:rPr>
        <w:t>Интерне финансијске контроле у јавном сектору, а који је у</w:t>
      </w:r>
      <w:r w:rsidRPr="0081082A">
        <w:rPr>
          <w:rFonts w:ascii="Times New Roman" w:hAnsi="Times New Roman"/>
          <w:sz w:val="24"/>
          <w:lang w:val="sr-Cyrl-RS"/>
        </w:rPr>
        <w:t xml:space="preserve"> надлежности Сектора - Централна јединица за хармонизацију</w:t>
      </w:r>
      <w:r w:rsidRPr="0081082A">
        <w:rPr>
          <w:rFonts w:ascii="Times New Roman" w:eastAsia="Calibri" w:hAnsi="Times New Roman" w:cs="Times New Roman"/>
          <w:sz w:val="24"/>
          <w:szCs w:val="24"/>
          <w:lang w:val="sr-Cyrl-RS"/>
        </w:rPr>
        <w:t xml:space="preserve"> Министарства финансија, </w:t>
      </w:r>
      <w:r w:rsidRPr="0081082A">
        <w:rPr>
          <w:rFonts w:ascii="Times New Roman" w:hAnsi="Times New Roman"/>
          <w:sz w:val="24"/>
          <w:lang w:val="sr-Cyrl-RS"/>
        </w:rPr>
        <w:t>постао један од посебних циљева ПРУЈФ</w:t>
      </w:r>
      <w:r w:rsidRPr="0081082A">
        <w:rPr>
          <w:rFonts w:ascii="Times New Roman" w:eastAsia="Calibri" w:hAnsi="Times New Roman" w:cs="Times New Roman"/>
          <w:sz w:val="24"/>
          <w:szCs w:val="24"/>
          <w:lang w:val="sr-Cyrl-RS"/>
        </w:rPr>
        <w:t xml:space="preserve"> 2021-2025 (Посебни циљ IV </w:t>
      </w:r>
      <w:r w:rsidR="00D37829" w:rsidRPr="0081082A">
        <w:rPr>
          <w:rFonts w:ascii="Times New Roman" w:eastAsia="Calibri" w:hAnsi="Times New Roman" w:cs="Times New Roman"/>
          <w:sz w:val="24"/>
          <w:szCs w:val="24"/>
          <w:lang w:val="sr-Cyrl-RS"/>
        </w:rPr>
        <w:t xml:space="preserve">- </w:t>
      </w:r>
      <w:r w:rsidRPr="0081082A">
        <w:rPr>
          <w:rFonts w:ascii="Times New Roman" w:eastAsia="Calibri" w:hAnsi="Times New Roman" w:cs="Times New Roman"/>
          <w:sz w:val="24"/>
          <w:szCs w:val="24"/>
          <w:lang w:val="sr-Cyrl-RS"/>
        </w:rPr>
        <w:t>Унапређење примене система интерне контроле у јавном сектору), те се</w:t>
      </w:r>
      <w:r w:rsidRPr="0081082A">
        <w:rPr>
          <w:rFonts w:ascii="Times New Roman" w:hAnsi="Times New Roman"/>
          <w:sz w:val="24"/>
          <w:lang w:val="sr-Cyrl-RS"/>
        </w:rPr>
        <w:t xml:space="preserve"> неће припремати нова Стратегије јавне интерне финансијске контроле у јавном сектору као што је то претходно био случај</w:t>
      </w:r>
      <w:r w:rsidRPr="0081082A">
        <w:rPr>
          <w:rStyle w:val="FootnoteReference"/>
          <w:rFonts w:ascii="Times New Roman" w:hAnsi="Times New Roman"/>
          <w:sz w:val="24"/>
          <w:lang w:val="sr-Cyrl-RS"/>
        </w:rPr>
        <w:footnoteReference w:id="9"/>
      </w:r>
      <w:r w:rsidRPr="0081082A">
        <w:rPr>
          <w:rFonts w:ascii="Times New Roman" w:eastAsia="Calibri" w:hAnsi="Times New Roman" w:cs="Times New Roman"/>
          <w:sz w:val="24"/>
          <w:szCs w:val="24"/>
          <w:lang w:val="sr-Cyrl-RS"/>
        </w:rPr>
        <w:t>,</w:t>
      </w:r>
      <w:r w:rsidRPr="0081082A">
        <w:rPr>
          <w:rFonts w:ascii="Times New Roman" w:hAnsi="Times New Roman"/>
          <w:sz w:val="24"/>
          <w:lang w:val="sr-Cyrl-RS"/>
        </w:rPr>
        <w:t xml:space="preserve"> што је договорено у процесу консултација са Европском комисијом, имајући у виду преузете обавезе у оквиру поглавља 32 </w:t>
      </w:r>
      <w:r w:rsidR="00D37829" w:rsidRPr="0081082A">
        <w:rPr>
          <w:rFonts w:ascii="Times New Roman" w:hAnsi="Times New Roman"/>
          <w:sz w:val="24"/>
          <w:lang w:val="sr-Cyrl-RS"/>
        </w:rPr>
        <w:t xml:space="preserve">- </w:t>
      </w:r>
      <w:r w:rsidRPr="0081082A">
        <w:rPr>
          <w:rFonts w:ascii="Times New Roman" w:hAnsi="Times New Roman"/>
          <w:sz w:val="24"/>
          <w:lang w:val="sr-Cyrl-RS"/>
        </w:rPr>
        <w:t xml:space="preserve">Финансијски надзор. </w:t>
      </w:r>
    </w:p>
    <w:p w:rsidR="00EE1682" w:rsidRPr="0081082A" w:rsidRDefault="00BE1F0B" w:rsidP="00EE1682">
      <w:pPr>
        <w:spacing w:before="120" w:after="0" w:line="240" w:lineRule="auto"/>
        <w:ind w:firstLine="720"/>
        <w:jc w:val="both"/>
        <w:rPr>
          <w:rFonts w:ascii="Times New Roman" w:hAnsi="Times New Roman" w:cs="Times New Roman"/>
          <w:noProof/>
          <w:sz w:val="24"/>
          <w:szCs w:val="24"/>
          <w:lang w:val="sr-Cyrl-RS"/>
        </w:rPr>
      </w:pPr>
      <w:r w:rsidRPr="0081082A">
        <w:rPr>
          <w:rFonts w:ascii="Times New Roman" w:hAnsi="Times New Roman" w:cs="Times New Roman"/>
          <w:noProof/>
          <w:sz w:val="24"/>
          <w:szCs w:val="24"/>
          <w:lang w:val="sr-Cyrl-RS"/>
        </w:rPr>
        <w:t xml:space="preserve">У току 2020. године започет је поступак припреме за израду новог документа јавне политике </w:t>
      </w:r>
      <w:r w:rsidRPr="0081082A">
        <w:rPr>
          <w:rFonts w:ascii="Courier New" w:hAnsi="Courier New" w:cs="Courier New"/>
          <w:noProof/>
          <w:sz w:val="24"/>
          <w:szCs w:val="24"/>
          <w:lang w:val="sr-Cyrl-RS"/>
        </w:rPr>
        <w:t>-</w:t>
      </w:r>
      <w:r w:rsidRPr="0081082A">
        <w:rPr>
          <w:rFonts w:ascii="Times New Roman" w:hAnsi="Times New Roman" w:cs="Times New Roman"/>
          <w:noProof/>
          <w:sz w:val="24"/>
          <w:szCs w:val="24"/>
          <w:lang w:val="sr-Cyrl-RS"/>
        </w:rPr>
        <w:t xml:space="preserve"> Стратегије за борбу против превара и управљање неправилностима у поступању са финансијским средствима Европске уније и Акционог плана за њено спровођење, као обавеза утврђена у </w:t>
      </w:r>
      <w:r w:rsidR="00644BFD" w:rsidRPr="0081082A">
        <w:rPr>
          <w:rFonts w:ascii="Times New Roman" w:hAnsi="Times New Roman" w:cs="Times New Roman"/>
          <w:noProof/>
          <w:sz w:val="24"/>
          <w:szCs w:val="24"/>
          <w:lang w:val="sr-Cyrl-RS"/>
        </w:rPr>
        <w:t>п</w:t>
      </w:r>
      <w:r w:rsidR="00FB4AD5" w:rsidRPr="0081082A">
        <w:rPr>
          <w:rFonts w:ascii="Times New Roman" w:hAnsi="Times New Roman" w:cs="Times New Roman"/>
          <w:noProof/>
          <w:sz w:val="24"/>
          <w:szCs w:val="24"/>
          <w:lang w:val="sr-Cyrl-RS"/>
        </w:rPr>
        <w:t>реговарачкој позицији</w:t>
      </w:r>
      <w:r w:rsidRPr="0081082A">
        <w:rPr>
          <w:rFonts w:ascii="Times New Roman" w:hAnsi="Times New Roman" w:cs="Times New Roman"/>
          <w:noProof/>
          <w:sz w:val="24"/>
          <w:szCs w:val="24"/>
          <w:lang w:val="sr-Cyrl-RS"/>
        </w:rPr>
        <w:t xml:space="preserve"> за</w:t>
      </w:r>
      <w:r w:rsidR="005C676E" w:rsidRPr="0081082A">
        <w:rPr>
          <w:rFonts w:ascii="Times New Roman" w:hAnsi="Times New Roman" w:cs="Times New Roman"/>
          <w:noProof/>
          <w:sz w:val="24"/>
          <w:szCs w:val="24"/>
          <w:lang w:val="sr-Cyrl-RS"/>
        </w:rPr>
        <w:t xml:space="preserve"> П</w:t>
      </w:r>
      <w:r w:rsidRPr="0081082A">
        <w:rPr>
          <w:rFonts w:ascii="Times New Roman" w:hAnsi="Times New Roman" w:cs="Times New Roman"/>
          <w:noProof/>
          <w:sz w:val="24"/>
          <w:szCs w:val="24"/>
          <w:lang w:val="sr-Cyrl-RS"/>
        </w:rPr>
        <w:t xml:space="preserve">реговарачко поглавље </w:t>
      </w:r>
      <w:r w:rsidRPr="0081082A">
        <w:rPr>
          <w:rFonts w:ascii="Times New Roman" w:hAnsi="Times New Roman" w:cs="Times New Roman"/>
          <w:noProof/>
          <w:sz w:val="24"/>
          <w:szCs w:val="24"/>
          <w:lang w:val="sr-Cyrl-RS"/>
        </w:rPr>
        <w:lastRenderedPageBreak/>
        <w:t>32 и која се израђује у складу са чл</w:t>
      </w:r>
      <w:r w:rsidR="002A61BC" w:rsidRPr="0081082A">
        <w:rPr>
          <w:rFonts w:ascii="Times New Roman" w:hAnsi="Times New Roman" w:cs="Times New Roman"/>
          <w:noProof/>
          <w:sz w:val="24"/>
          <w:szCs w:val="24"/>
          <w:lang w:val="sr-Cyrl-RS"/>
        </w:rPr>
        <w:t>аном</w:t>
      </w:r>
      <w:r w:rsidRPr="0081082A">
        <w:rPr>
          <w:rFonts w:ascii="Times New Roman" w:hAnsi="Times New Roman" w:cs="Times New Roman"/>
          <w:noProof/>
          <w:sz w:val="24"/>
          <w:szCs w:val="24"/>
          <w:lang w:val="sr-Cyrl-RS"/>
        </w:rPr>
        <w:t xml:space="preserve"> 49. </w:t>
      </w:r>
      <w:r w:rsidR="00D37829" w:rsidRPr="0081082A">
        <w:rPr>
          <w:rFonts w:ascii="Times New Roman" w:hAnsi="Times New Roman" w:cs="Times New Roman"/>
          <w:noProof/>
          <w:sz w:val="24"/>
          <w:szCs w:val="24"/>
          <w:lang w:val="sr-Cyrl-RS"/>
        </w:rPr>
        <w:t>З</w:t>
      </w:r>
      <w:r w:rsidRPr="0081082A">
        <w:rPr>
          <w:rFonts w:ascii="Times New Roman" w:hAnsi="Times New Roman" w:cs="Times New Roman"/>
          <w:noProof/>
          <w:sz w:val="24"/>
          <w:szCs w:val="24"/>
          <w:lang w:val="sr-Cyrl-RS"/>
        </w:rPr>
        <w:t>акона о планском систему</w:t>
      </w:r>
      <w:r w:rsidR="002A61BC" w:rsidRPr="0081082A">
        <w:rPr>
          <w:rFonts w:ascii="Times New Roman" w:hAnsi="Times New Roman" w:cs="Times New Roman"/>
          <w:noProof/>
          <w:sz w:val="24"/>
          <w:szCs w:val="24"/>
          <w:lang w:val="sr-Cyrl-RS"/>
        </w:rPr>
        <w:t xml:space="preserve"> </w:t>
      </w:r>
      <w:r w:rsidR="002A61BC" w:rsidRPr="0081082A">
        <w:rPr>
          <w:rFonts w:ascii="Times New Roman" w:hAnsi="Times New Roman" w:cs="Times New Roman"/>
          <w:sz w:val="24"/>
          <w:szCs w:val="24"/>
          <w:lang w:val="sr-Cyrl-RS"/>
        </w:rPr>
        <w:t>Републике Србије</w:t>
      </w:r>
      <w:r w:rsidRPr="0081082A">
        <w:rPr>
          <w:rFonts w:ascii="Times New Roman" w:hAnsi="Times New Roman" w:cs="Times New Roman"/>
          <w:noProof/>
          <w:sz w:val="24"/>
          <w:szCs w:val="24"/>
          <w:lang w:val="sr-Cyrl-RS"/>
        </w:rPr>
        <w:t>. Тиме је та област</w:t>
      </w:r>
      <w:r w:rsidR="00D37829" w:rsidRPr="0081082A">
        <w:rPr>
          <w:rFonts w:ascii="Times New Roman" w:hAnsi="Times New Roman" w:cs="Times New Roman"/>
          <w:noProof/>
          <w:sz w:val="24"/>
          <w:szCs w:val="24"/>
          <w:lang w:val="sr-Cyrl-RS"/>
        </w:rPr>
        <w:t>,</w:t>
      </w:r>
      <w:r w:rsidRPr="0081082A">
        <w:rPr>
          <w:rFonts w:ascii="Times New Roman" w:hAnsi="Times New Roman" w:cs="Times New Roman"/>
          <w:noProof/>
          <w:sz w:val="24"/>
          <w:szCs w:val="24"/>
          <w:lang w:val="sr-Cyrl-RS"/>
        </w:rPr>
        <w:t xml:space="preserve"> за разлику од претходног периода, издвојена из Акционог плана ПРУЈФ 2021-2025.</w:t>
      </w:r>
    </w:p>
    <w:p w:rsidR="00B671C8" w:rsidRPr="0081082A" w:rsidRDefault="00B671C8" w:rsidP="00B671C8">
      <w:pPr>
        <w:spacing w:before="120" w:after="0" w:line="240" w:lineRule="auto"/>
        <w:ind w:firstLine="720"/>
        <w:jc w:val="both"/>
        <w:rPr>
          <w:rFonts w:ascii="Times New Roman" w:hAnsi="Times New Roman" w:cs="Times New Roman"/>
          <w:noProof/>
          <w:sz w:val="24"/>
          <w:szCs w:val="24"/>
          <w:lang w:val="sr-Cyrl-RS"/>
        </w:rPr>
      </w:pPr>
      <w:r w:rsidRPr="0081082A">
        <w:rPr>
          <w:rFonts w:ascii="Times New Roman" w:hAnsi="Times New Roman" w:cs="Times New Roman"/>
          <w:noProof/>
          <w:sz w:val="24"/>
          <w:szCs w:val="24"/>
          <w:lang w:val="sr-Cyrl-RS"/>
        </w:rPr>
        <w:t xml:space="preserve">Нацртом </w:t>
      </w:r>
      <w:r w:rsidR="002105ED" w:rsidRPr="0081082A">
        <w:rPr>
          <w:rFonts w:ascii="Times New Roman" w:hAnsi="Times New Roman" w:cs="Times New Roman"/>
          <w:noProof/>
          <w:sz w:val="24"/>
          <w:szCs w:val="24"/>
          <w:lang w:val="sr-Cyrl-RS"/>
        </w:rPr>
        <w:t xml:space="preserve">програма </w:t>
      </w:r>
      <w:r w:rsidRPr="0081082A">
        <w:rPr>
          <w:rFonts w:ascii="Times New Roman" w:hAnsi="Times New Roman" w:cs="Times New Roman"/>
          <w:noProof/>
          <w:sz w:val="24"/>
          <w:szCs w:val="24"/>
          <w:lang w:val="sr-Cyrl-RS"/>
        </w:rPr>
        <w:t>за реформу система локалне самоуправе у Републици Србији за период 2021-2025. године, обухваћена је</w:t>
      </w:r>
      <w:r w:rsidR="00322CA6" w:rsidRPr="0081082A">
        <w:rPr>
          <w:rFonts w:ascii="Times New Roman" w:hAnsi="Times New Roman" w:cs="Times New Roman"/>
          <w:noProof/>
          <w:sz w:val="24"/>
          <w:szCs w:val="24"/>
          <w:lang w:val="sr-Cyrl-RS"/>
        </w:rPr>
        <w:t>,</w:t>
      </w:r>
      <w:r w:rsidRPr="0081082A">
        <w:rPr>
          <w:rFonts w:ascii="Times New Roman" w:hAnsi="Times New Roman" w:cs="Times New Roman"/>
          <w:noProof/>
          <w:sz w:val="24"/>
          <w:szCs w:val="24"/>
          <w:lang w:val="sr-Cyrl-RS"/>
        </w:rPr>
        <w:t xml:space="preserve"> у оквиру посебног циља 2</w:t>
      </w:r>
      <w:r w:rsidR="00322CA6" w:rsidRPr="0081082A">
        <w:rPr>
          <w:rFonts w:ascii="Times New Roman" w:hAnsi="Times New Roman" w:cs="Times New Roman"/>
          <w:noProof/>
          <w:sz w:val="24"/>
          <w:szCs w:val="24"/>
          <w:lang w:val="sr-Cyrl-RS"/>
        </w:rPr>
        <w:t xml:space="preserve"> -</w:t>
      </w:r>
      <w:r w:rsidRPr="0081082A">
        <w:rPr>
          <w:rFonts w:ascii="Times New Roman" w:hAnsi="Times New Roman" w:cs="Times New Roman"/>
          <w:noProof/>
          <w:sz w:val="24"/>
          <w:szCs w:val="24"/>
          <w:lang w:val="sr-Cyrl-RS"/>
        </w:rPr>
        <w:t xml:space="preserve"> Систем финансирања локалне самоуправе</w:t>
      </w:r>
      <w:r w:rsidR="00322CA6" w:rsidRPr="0081082A">
        <w:rPr>
          <w:rFonts w:ascii="Times New Roman" w:hAnsi="Times New Roman" w:cs="Times New Roman"/>
          <w:noProof/>
          <w:sz w:val="24"/>
          <w:szCs w:val="24"/>
          <w:lang w:val="sr-Cyrl-RS"/>
        </w:rPr>
        <w:t>,</w:t>
      </w:r>
      <w:r w:rsidRPr="0081082A">
        <w:rPr>
          <w:rFonts w:ascii="Times New Roman" w:hAnsi="Times New Roman" w:cs="Times New Roman"/>
          <w:noProof/>
          <w:sz w:val="24"/>
          <w:szCs w:val="24"/>
          <w:lang w:val="sr-Cyrl-RS"/>
        </w:rPr>
        <w:t xml:space="preserve"> и реформа управљања јавним финансијама на локалном нивоу, који предвиђа мере и активности у овој области.</w:t>
      </w:r>
    </w:p>
    <w:p w:rsidR="00B671C8" w:rsidRPr="0081082A" w:rsidRDefault="00B671C8" w:rsidP="00B671C8">
      <w:pPr>
        <w:spacing w:before="120" w:after="0" w:line="240" w:lineRule="auto"/>
        <w:ind w:firstLine="720"/>
        <w:jc w:val="both"/>
        <w:rPr>
          <w:rFonts w:ascii="Times New Roman" w:hAnsi="Times New Roman" w:cs="Times New Roman"/>
          <w:noProof/>
          <w:sz w:val="24"/>
          <w:szCs w:val="24"/>
          <w:lang w:val="sr-Cyrl-RS"/>
        </w:rPr>
      </w:pPr>
      <w:r w:rsidRPr="0081082A">
        <w:rPr>
          <w:rFonts w:ascii="Times New Roman" w:hAnsi="Times New Roman" w:cs="Times New Roman"/>
          <w:noProof/>
          <w:sz w:val="24"/>
          <w:szCs w:val="24"/>
          <w:lang w:val="sr-Cyrl-RS"/>
        </w:rPr>
        <w:t xml:space="preserve">У области сиве економије у припреми је нови </w:t>
      </w:r>
      <w:r w:rsidR="00BE1F0B" w:rsidRPr="0081082A">
        <w:rPr>
          <w:rFonts w:ascii="Times New Roman" w:hAnsi="Times New Roman" w:cs="Times New Roman"/>
          <w:noProof/>
          <w:sz w:val="24"/>
          <w:szCs w:val="24"/>
          <w:lang w:val="sr-Cyrl-RS"/>
        </w:rPr>
        <w:t>н</w:t>
      </w:r>
      <w:r w:rsidRPr="0081082A">
        <w:rPr>
          <w:rFonts w:ascii="Times New Roman" w:hAnsi="Times New Roman" w:cs="Times New Roman"/>
          <w:noProof/>
          <w:sz w:val="24"/>
          <w:szCs w:val="24"/>
          <w:lang w:val="sr-Cyrl-RS"/>
        </w:rPr>
        <w:t>ационални програм за сузбијање сиве економије, који предвиђа посебне мере у области инспекцијског надзора, пореског надора и пријаве и јавних набавки, што ће додатно унапредити и управљање јавним финансијама.</w:t>
      </w:r>
    </w:p>
    <w:p w:rsidR="00EE1682" w:rsidRPr="0081082A" w:rsidRDefault="00BE1F0B" w:rsidP="00EE1682">
      <w:pPr>
        <w:shd w:val="clear" w:color="auto" w:fill="FFFFFF" w:themeFill="background1"/>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 xml:space="preserve">Оперативни документи на нивоу </w:t>
      </w:r>
      <w:r w:rsidRPr="0081082A">
        <w:rPr>
          <w:rFonts w:ascii="Times New Roman" w:eastAsia="Calibri" w:hAnsi="Times New Roman" w:cs="Times New Roman"/>
          <w:sz w:val="24"/>
          <w:szCs w:val="24"/>
          <w:lang w:val="sr-Cyrl-RS"/>
        </w:rPr>
        <w:t>организационих јединица самог Министарства финансија, управа и других чланица Радне групе ПРУЈФ,</w:t>
      </w:r>
      <w:r w:rsidRPr="0081082A">
        <w:rPr>
          <w:rFonts w:ascii="Times New Roman" w:hAnsi="Times New Roman"/>
          <w:sz w:val="24"/>
          <w:lang w:val="sr-Cyrl-RS"/>
        </w:rPr>
        <w:t xml:space="preserve"> треба да се усагласе са ПРЈУФ 2021-2025 приликом њихове ревизије или истека важећег документа.</w:t>
      </w:r>
      <w:r w:rsidR="002B3E04" w:rsidRPr="0081082A">
        <w:rPr>
          <w:rFonts w:ascii="Times New Roman" w:hAnsi="Times New Roman"/>
          <w:sz w:val="24"/>
          <w:lang w:val="sr-Cyrl-RS"/>
        </w:rPr>
        <w:t xml:space="preserve"> </w:t>
      </w:r>
      <w:r w:rsidRPr="0081082A">
        <w:rPr>
          <w:rFonts w:ascii="Times New Roman" w:hAnsi="Times New Roman"/>
          <w:sz w:val="24"/>
          <w:lang w:val="sr-Cyrl-RS"/>
        </w:rPr>
        <w:t>Документи повезани са ПРУЈФ у области надлежности Пореске управе су Програм трансформације Пореске управе 2015-2020. са пратећим Акционим планом за период 2018-2023. година; Управа царина донела је Пословни план за унапређење организације и рада царинске службе МФ 2020-2024 и План рада за развој и коришћење електронских система царинске службе МФ 2020-2024; Управа за јавни дуг</w:t>
      </w:r>
      <w:r w:rsidR="002B3E04" w:rsidRPr="0081082A">
        <w:rPr>
          <w:rFonts w:ascii="Times New Roman" w:hAnsi="Times New Roman"/>
          <w:sz w:val="24"/>
          <w:lang w:val="sr-Cyrl-RS"/>
        </w:rPr>
        <w:t>,</w:t>
      </w:r>
      <w:r w:rsidRPr="0081082A">
        <w:rPr>
          <w:rFonts w:ascii="Times New Roman" w:hAnsi="Times New Roman"/>
          <w:sz w:val="24"/>
          <w:lang w:val="sr-Cyrl-RS"/>
        </w:rPr>
        <w:t xml:space="preserve"> у оквиру Фискалне стратегије</w:t>
      </w:r>
      <w:r w:rsidR="002B3E04" w:rsidRPr="0081082A">
        <w:rPr>
          <w:rFonts w:ascii="Times New Roman" w:hAnsi="Times New Roman"/>
          <w:sz w:val="24"/>
          <w:lang w:val="sr-Cyrl-RS"/>
        </w:rPr>
        <w:t>,</w:t>
      </w:r>
      <w:r w:rsidRPr="0081082A">
        <w:rPr>
          <w:rFonts w:ascii="Times New Roman" w:hAnsi="Times New Roman"/>
          <w:sz w:val="24"/>
          <w:lang w:val="sr-Cyrl-RS"/>
        </w:rPr>
        <w:t xml:space="preserve"> представља Стратегију управљања јавним дугом; Канцеларија за јавне набавке донела је Програм развоја јавних набавки у Републици Србији за период 2019-2023. године; с</w:t>
      </w:r>
      <w:r w:rsidRPr="0081082A">
        <w:rPr>
          <w:rFonts w:ascii="Times New Roman" w:hAnsi="Times New Roman" w:cs="Times New Roman"/>
          <w:noProof/>
          <w:sz w:val="24"/>
          <w:szCs w:val="24"/>
          <w:lang w:val="sr-Cyrl-RS"/>
        </w:rPr>
        <w:t>ачињен је и предлог Стратешког плана буџетске инспекције МФ за период 2021-2026. године</w:t>
      </w:r>
      <w:r w:rsidR="006069E9" w:rsidRPr="0081082A">
        <w:rPr>
          <w:rFonts w:ascii="Times New Roman" w:hAnsi="Times New Roman" w:cs="Times New Roman"/>
          <w:noProof/>
          <w:sz w:val="24"/>
          <w:szCs w:val="24"/>
          <w:lang w:val="sr-Cyrl-RS"/>
        </w:rPr>
        <w:t>,</w:t>
      </w:r>
      <w:r w:rsidRPr="0081082A">
        <w:rPr>
          <w:rFonts w:ascii="Times New Roman" w:hAnsi="Times New Roman" w:cs="Times New Roman"/>
          <w:noProof/>
          <w:sz w:val="24"/>
          <w:szCs w:val="24"/>
          <w:lang w:val="sr-Cyrl-RS"/>
        </w:rPr>
        <w:t xml:space="preserve"> као и пратећи Акциони план,</w:t>
      </w:r>
      <w:r w:rsidRPr="0081082A">
        <w:rPr>
          <w:rFonts w:ascii="Times New Roman" w:hAnsi="Times New Roman"/>
          <w:sz w:val="24"/>
          <w:lang w:val="sr-Cyrl-RS"/>
        </w:rPr>
        <w:t xml:space="preserve"> а </w:t>
      </w:r>
      <w:r w:rsidR="0006580D" w:rsidRPr="0081082A">
        <w:rPr>
          <w:rFonts w:ascii="Times New Roman" w:hAnsi="Times New Roman"/>
          <w:sz w:val="24"/>
          <w:lang w:val="sr-Cyrl-RS"/>
        </w:rPr>
        <w:t>ДРИ</w:t>
      </w:r>
      <w:r w:rsidRPr="0081082A">
        <w:rPr>
          <w:rFonts w:ascii="Times New Roman" w:hAnsi="Times New Roman"/>
          <w:sz w:val="24"/>
          <w:lang w:val="sr-Cyrl-RS"/>
        </w:rPr>
        <w:t xml:space="preserve"> донела је Стратешки план ДРИ 2019-2023. година.</w:t>
      </w:r>
    </w:p>
    <w:p w:rsidR="00B671C8" w:rsidRPr="0081082A" w:rsidRDefault="00B671C8" w:rsidP="00EE1682">
      <w:pPr>
        <w:shd w:val="clear" w:color="auto" w:fill="FFFFFF" w:themeFill="background1"/>
        <w:spacing w:after="0" w:line="240" w:lineRule="auto"/>
        <w:ind w:firstLine="706"/>
        <w:jc w:val="both"/>
        <w:rPr>
          <w:rFonts w:ascii="Times New Roman" w:hAnsi="Times New Roman"/>
          <w:sz w:val="24"/>
          <w:lang w:val="sr-Cyrl-RS"/>
        </w:rPr>
      </w:pPr>
      <w:r w:rsidRPr="0081082A">
        <w:rPr>
          <w:rFonts w:ascii="Times New Roman" w:eastAsia="Calibri" w:hAnsi="Times New Roman" w:cs="Times New Roman"/>
          <w:sz w:val="24"/>
          <w:szCs w:val="24"/>
          <w:lang w:val="sr-Cyrl-RS"/>
        </w:rPr>
        <w:t xml:space="preserve">ПРУЈФ се у својим мерама базира и на међународним стандардима у овој области као што су: </w:t>
      </w:r>
      <w:r w:rsidRPr="0081082A">
        <w:rPr>
          <w:rFonts w:ascii="Times New Roman" w:eastAsia="Calibri" w:hAnsi="Times New Roman" w:cs="Times New Roman"/>
          <w:i/>
          <w:iCs/>
          <w:sz w:val="24"/>
          <w:szCs w:val="24"/>
          <w:lang w:val="sr-Cyrl-RS"/>
        </w:rPr>
        <w:t>PEFA</w:t>
      </w:r>
      <w:r w:rsidRPr="0081082A">
        <w:rPr>
          <w:rFonts w:ascii="Times New Roman" w:eastAsia="Calibri" w:hAnsi="Times New Roman" w:cs="Times New Roman"/>
          <w:sz w:val="24"/>
          <w:szCs w:val="24"/>
          <w:lang w:val="sr-Cyrl-RS"/>
        </w:rPr>
        <w:t xml:space="preserve"> – Јавни расходи и финансијска одговорност, Међународни стандарди рачуноводства у јавном сектору - </w:t>
      </w:r>
      <w:r w:rsidRPr="0081082A">
        <w:rPr>
          <w:rFonts w:ascii="Times New Roman" w:eastAsia="Calibri" w:hAnsi="Times New Roman" w:cs="Times New Roman"/>
          <w:i/>
          <w:iCs/>
          <w:sz w:val="24"/>
          <w:szCs w:val="24"/>
          <w:lang w:val="sr-Cyrl-RS"/>
        </w:rPr>
        <w:t>IPSAS</w:t>
      </w:r>
      <w:r w:rsidRPr="0081082A">
        <w:rPr>
          <w:rFonts w:ascii="Times New Roman" w:eastAsia="Calibri" w:hAnsi="Times New Roman" w:cs="Times New Roman"/>
          <w:sz w:val="24"/>
          <w:szCs w:val="24"/>
          <w:lang w:val="sr-Cyrl-RS"/>
        </w:rPr>
        <w:t xml:space="preserve">, Међународни стандарди врховних ревизорских институција – </w:t>
      </w:r>
      <w:r w:rsidRPr="0081082A">
        <w:rPr>
          <w:rFonts w:ascii="Times New Roman" w:eastAsia="Calibri" w:hAnsi="Times New Roman" w:cs="Times New Roman"/>
          <w:i/>
          <w:iCs/>
          <w:sz w:val="24"/>
          <w:szCs w:val="24"/>
          <w:lang w:val="sr-Cyrl-RS"/>
        </w:rPr>
        <w:t>ISSAI</w:t>
      </w:r>
      <w:r w:rsidRPr="0081082A">
        <w:rPr>
          <w:rFonts w:ascii="Times New Roman" w:eastAsia="Calibri" w:hAnsi="Times New Roman" w:cs="Times New Roman"/>
          <w:sz w:val="24"/>
          <w:szCs w:val="24"/>
          <w:lang w:val="sr-Cyrl-RS"/>
        </w:rPr>
        <w:t xml:space="preserve"> и Међународне организације врховних ревизорских институција - </w:t>
      </w:r>
      <w:r w:rsidRPr="0081082A">
        <w:rPr>
          <w:rFonts w:ascii="Times New Roman" w:eastAsia="Calibri" w:hAnsi="Times New Roman" w:cs="Times New Roman"/>
          <w:i/>
          <w:iCs/>
          <w:sz w:val="24"/>
          <w:szCs w:val="24"/>
          <w:lang w:val="sr-Cyrl-RS"/>
        </w:rPr>
        <w:t>INTOSAI</w:t>
      </w:r>
      <w:r w:rsidRPr="0081082A">
        <w:rPr>
          <w:rFonts w:ascii="Times New Roman" w:eastAsia="Calibri" w:hAnsi="Times New Roman" w:cs="Times New Roman"/>
          <w:sz w:val="24"/>
          <w:szCs w:val="24"/>
          <w:lang w:val="sr-Cyrl-RS"/>
        </w:rPr>
        <w:t xml:space="preserve">, Европске организације врховних ревизорских институција – </w:t>
      </w:r>
      <w:r w:rsidRPr="0081082A">
        <w:rPr>
          <w:rFonts w:ascii="Times New Roman" w:eastAsia="Calibri" w:hAnsi="Times New Roman" w:cs="Times New Roman"/>
          <w:i/>
          <w:iCs/>
          <w:sz w:val="24"/>
          <w:szCs w:val="24"/>
          <w:lang w:val="sr-Cyrl-RS"/>
        </w:rPr>
        <w:t>EUROSAI</w:t>
      </w:r>
      <w:r w:rsidRPr="0081082A">
        <w:rPr>
          <w:rFonts w:ascii="Times New Roman" w:eastAsia="Calibri" w:hAnsi="Times New Roman" w:cs="Times New Roman"/>
          <w:sz w:val="24"/>
          <w:szCs w:val="24"/>
          <w:lang w:val="sr-Cyrl-RS"/>
        </w:rPr>
        <w:t xml:space="preserve">, </w:t>
      </w:r>
      <w:r w:rsidRPr="0081082A">
        <w:rPr>
          <w:rFonts w:ascii="Times New Roman" w:eastAsia="Calibri" w:hAnsi="Times New Roman" w:cs="Times New Roman"/>
          <w:i/>
          <w:iCs/>
          <w:sz w:val="24"/>
          <w:szCs w:val="24"/>
          <w:lang w:val="sr-Cyrl-RS"/>
        </w:rPr>
        <w:t xml:space="preserve">COSO </w:t>
      </w:r>
      <w:r w:rsidRPr="0081082A">
        <w:rPr>
          <w:rFonts w:ascii="Times New Roman" w:eastAsia="Calibri" w:hAnsi="Times New Roman" w:cs="Times New Roman"/>
          <w:sz w:val="24"/>
          <w:szCs w:val="24"/>
          <w:lang w:val="sr-Cyrl-RS"/>
        </w:rPr>
        <w:t xml:space="preserve">oквира и </w:t>
      </w:r>
      <w:r w:rsidRPr="0081082A">
        <w:rPr>
          <w:rFonts w:ascii="Times New Roman" w:hAnsi="Times New Roman" w:cs="Times New Roman"/>
          <w:sz w:val="24"/>
          <w:szCs w:val="24"/>
          <w:lang w:val="sr-Cyrl-RS"/>
        </w:rPr>
        <w:t xml:space="preserve">спречавању ерозије пореске основице и премештања добити - </w:t>
      </w:r>
      <w:r w:rsidRPr="0081082A">
        <w:rPr>
          <w:rFonts w:ascii="Times New Roman" w:eastAsia="Calibri" w:hAnsi="Times New Roman" w:cs="Times New Roman"/>
          <w:sz w:val="24"/>
          <w:szCs w:val="24"/>
          <w:lang w:val="sr-Cyrl-RS"/>
        </w:rPr>
        <w:t>BEPS.</w:t>
      </w:r>
      <w:r w:rsidR="0069121E" w:rsidRPr="0081082A">
        <w:rPr>
          <w:rFonts w:ascii="Times New Roman" w:eastAsia="Calibri" w:hAnsi="Times New Roman" w:cs="Times New Roman"/>
          <w:sz w:val="24"/>
          <w:szCs w:val="24"/>
          <w:lang w:val="sr-Cyrl-RS"/>
        </w:rPr>
        <w:t xml:space="preserve"> Узете су у обзир и </w:t>
      </w:r>
      <w:r w:rsidR="003463BC" w:rsidRPr="0081082A">
        <w:rPr>
          <w:rFonts w:ascii="Times New Roman" w:eastAsia="Calibri" w:hAnsi="Times New Roman" w:cs="Times New Roman"/>
          <w:sz w:val="24"/>
          <w:szCs w:val="24"/>
          <w:lang w:val="sr-Cyrl-RS"/>
        </w:rPr>
        <w:t>извештаји о процени квалитета јавних фина</w:t>
      </w:r>
      <w:r w:rsidR="00BA6E9E">
        <w:rPr>
          <w:rFonts w:ascii="Times New Roman" w:eastAsia="Calibri" w:hAnsi="Times New Roman" w:cs="Times New Roman"/>
          <w:sz w:val="24"/>
          <w:szCs w:val="24"/>
          <w:lang w:val="sr-Cyrl-RS"/>
        </w:rPr>
        <w:t>н</w:t>
      </w:r>
      <w:r w:rsidR="003463BC" w:rsidRPr="0081082A">
        <w:rPr>
          <w:rFonts w:ascii="Times New Roman" w:eastAsia="Calibri" w:hAnsi="Times New Roman" w:cs="Times New Roman"/>
          <w:sz w:val="24"/>
          <w:szCs w:val="24"/>
          <w:lang w:val="sr-Cyrl-RS"/>
        </w:rPr>
        <w:t xml:space="preserve">сија као што је Инструмент за дијагностичку процену пореских администрација – </w:t>
      </w:r>
      <w:r w:rsidR="003463BC" w:rsidRPr="0081082A">
        <w:rPr>
          <w:rFonts w:ascii="Times New Roman" w:eastAsia="Calibri" w:hAnsi="Times New Roman" w:cs="Times New Roman"/>
          <w:i/>
          <w:iCs/>
          <w:sz w:val="24"/>
          <w:szCs w:val="24"/>
          <w:lang w:val="sr-Cyrl-RS"/>
        </w:rPr>
        <w:t>TADAT</w:t>
      </w:r>
      <w:r w:rsidR="003463BC" w:rsidRPr="0081082A">
        <w:rPr>
          <w:rFonts w:ascii="Times New Roman" w:eastAsia="Calibri" w:hAnsi="Times New Roman" w:cs="Times New Roman"/>
          <w:sz w:val="24"/>
          <w:szCs w:val="24"/>
          <w:lang w:val="sr-Cyrl-RS"/>
        </w:rPr>
        <w:t xml:space="preserve">, </w:t>
      </w:r>
      <w:r w:rsidR="00D533F0" w:rsidRPr="0081082A">
        <w:rPr>
          <w:rFonts w:ascii="Times New Roman" w:eastAsia="Calibri" w:hAnsi="Times New Roman" w:cs="Times New Roman"/>
          <w:sz w:val="24"/>
          <w:szCs w:val="24"/>
          <w:lang w:val="sr-Cyrl-RS"/>
        </w:rPr>
        <w:t xml:space="preserve">Процена управљања јавним инвестицијама – PIMA, Процена перформанси управљања јавним дугом – </w:t>
      </w:r>
      <w:r w:rsidR="00D533F0" w:rsidRPr="0081082A">
        <w:rPr>
          <w:rFonts w:ascii="Times New Roman" w:eastAsia="Calibri" w:hAnsi="Times New Roman" w:cs="Times New Roman"/>
          <w:i/>
          <w:iCs/>
          <w:sz w:val="24"/>
          <w:szCs w:val="24"/>
          <w:lang w:val="sr-Cyrl-RS"/>
        </w:rPr>
        <w:t>DEMPA</w:t>
      </w:r>
      <w:r w:rsidR="00780579" w:rsidRPr="0081082A">
        <w:rPr>
          <w:rFonts w:ascii="Times New Roman" w:eastAsia="Calibri" w:hAnsi="Times New Roman" w:cs="Times New Roman"/>
          <w:sz w:val="24"/>
          <w:szCs w:val="24"/>
          <w:lang w:val="sr-Cyrl-RS"/>
        </w:rPr>
        <w:t xml:space="preserve"> и ПЕФА, док ће</w:t>
      </w:r>
      <w:r w:rsidR="00D914B6" w:rsidRPr="0081082A">
        <w:rPr>
          <w:rFonts w:ascii="Times New Roman" w:eastAsia="Calibri" w:hAnsi="Times New Roman" w:cs="Times New Roman"/>
          <w:sz w:val="24"/>
          <w:szCs w:val="24"/>
          <w:lang w:val="sr-Cyrl-RS"/>
        </w:rPr>
        <w:t xml:space="preserve"> елементи</w:t>
      </w:r>
      <w:r w:rsidR="00780579" w:rsidRPr="0081082A">
        <w:rPr>
          <w:rFonts w:ascii="Times New Roman" w:eastAsia="Calibri" w:hAnsi="Times New Roman" w:cs="Times New Roman"/>
          <w:sz w:val="24"/>
          <w:szCs w:val="24"/>
          <w:lang w:val="sr-Cyrl-RS"/>
        </w:rPr>
        <w:t xml:space="preserve"> </w:t>
      </w:r>
      <w:r w:rsidR="00607741" w:rsidRPr="0081082A">
        <w:rPr>
          <w:rFonts w:ascii="Times New Roman" w:eastAsia="Calibri" w:hAnsi="Times New Roman" w:cs="Times New Roman"/>
          <w:sz w:val="24"/>
          <w:szCs w:val="24"/>
          <w:lang w:val="sr-Cyrl-RS"/>
        </w:rPr>
        <w:t xml:space="preserve">нове </w:t>
      </w:r>
      <w:r w:rsidR="00780579" w:rsidRPr="0081082A">
        <w:rPr>
          <w:rFonts w:ascii="Times New Roman" w:eastAsia="Calibri" w:hAnsi="Times New Roman" w:cs="Times New Roman"/>
          <w:sz w:val="24"/>
          <w:szCs w:val="24"/>
          <w:lang w:val="sr-Cyrl-RS"/>
        </w:rPr>
        <w:t>процен</w:t>
      </w:r>
      <w:r w:rsidR="00D914B6" w:rsidRPr="0081082A">
        <w:rPr>
          <w:rFonts w:ascii="Times New Roman" w:eastAsia="Calibri" w:hAnsi="Times New Roman" w:cs="Times New Roman"/>
          <w:sz w:val="24"/>
          <w:szCs w:val="24"/>
          <w:lang w:val="sr-Cyrl-RS"/>
        </w:rPr>
        <w:t>е</w:t>
      </w:r>
      <w:r w:rsidR="00780579" w:rsidRPr="0081082A">
        <w:rPr>
          <w:rFonts w:ascii="Times New Roman" w:eastAsia="Calibri" w:hAnsi="Times New Roman" w:cs="Times New Roman"/>
          <w:sz w:val="24"/>
          <w:szCs w:val="24"/>
          <w:lang w:val="sr-Cyrl-RS"/>
        </w:rPr>
        <w:t xml:space="preserve"> </w:t>
      </w:r>
      <w:r w:rsidR="00780579" w:rsidRPr="0081082A">
        <w:rPr>
          <w:rFonts w:ascii="Times New Roman" w:eastAsia="Calibri" w:hAnsi="Times New Roman" w:cs="Times New Roman"/>
          <w:i/>
          <w:iCs/>
          <w:sz w:val="24"/>
          <w:szCs w:val="24"/>
          <w:lang w:val="sr-Cyrl-RS"/>
        </w:rPr>
        <w:t>OECD/SIGMA</w:t>
      </w:r>
      <w:r w:rsidR="00D914B6" w:rsidRPr="0081082A">
        <w:rPr>
          <w:rFonts w:ascii="Times New Roman" w:eastAsia="Calibri" w:hAnsi="Times New Roman" w:cs="Times New Roman"/>
          <w:sz w:val="24"/>
          <w:szCs w:val="24"/>
          <w:lang w:val="sr-Cyrl-RS"/>
        </w:rPr>
        <w:t xml:space="preserve"> о квалитету јавне управе</w:t>
      </w:r>
      <w:r w:rsidR="00607741" w:rsidRPr="0081082A">
        <w:rPr>
          <w:rFonts w:ascii="Times New Roman" w:eastAsia="Calibri" w:hAnsi="Times New Roman" w:cs="Times New Roman"/>
          <w:sz w:val="24"/>
          <w:szCs w:val="24"/>
          <w:lang w:val="sr-Cyrl-RS"/>
        </w:rPr>
        <w:t>, припремане током 2021. године,</w:t>
      </w:r>
      <w:r w:rsidR="00D914B6" w:rsidRPr="0081082A">
        <w:rPr>
          <w:rFonts w:ascii="Times New Roman" w:eastAsia="Calibri" w:hAnsi="Times New Roman" w:cs="Times New Roman"/>
          <w:sz w:val="24"/>
          <w:szCs w:val="24"/>
          <w:lang w:val="sr-Cyrl-RS"/>
        </w:rPr>
        <w:t xml:space="preserve"> би</w:t>
      </w:r>
      <w:r w:rsidR="00607741" w:rsidRPr="0081082A">
        <w:rPr>
          <w:rFonts w:ascii="Times New Roman" w:eastAsia="Calibri" w:hAnsi="Times New Roman" w:cs="Times New Roman"/>
          <w:sz w:val="24"/>
          <w:szCs w:val="24"/>
          <w:lang w:val="sr-Cyrl-RS"/>
        </w:rPr>
        <w:t>ти адресирани у извештајима о реализацији ПРУЈФ.</w:t>
      </w:r>
      <w:r w:rsidR="00780579" w:rsidRPr="0081082A">
        <w:rPr>
          <w:rFonts w:ascii="Times New Roman" w:eastAsia="Calibri" w:hAnsi="Times New Roman" w:cs="Times New Roman"/>
          <w:sz w:val="24"/>
          <w:szCs w:val="24"/>
          <w:lang w:val="sr-Cyrl-RS"/>
        </w:rPr>
        <w:t xml:space="preserve"> </w:t>
      </w:r>
      <w:r w:rsidR="003463BC" w:rsidRPr="0081082A">
        <w:rPr>
          <w:rFonts w:ascii="Times New Roman" w:eastAsia="Calibri" w:hAnsi="Times New Roman" w:cs="Times New Roman"/>
          <w:sz w:val="24"/>
          <w:szCs w:val="24"/>
          <w:lang w:val="sr-Cyrl-RS"/>
        </w:rPr>
        <w:t xml:space="preserve"> </w:t>
      </w:r>
      <w:r w:rsidRPr="0081082A">
        <w:rPr>
          <w:rFonts w:ascii="Times New Roman" w:eastAsia="Calibri" w:hAnsi="Times New Roman" w:cs="Times New Roman"/>
          <w:sz w:val="24"/>
          <w:szCs w:val="24"/>
          <w:lang w:val="sr-Cyrl-RS"/>
        </w:rPr>
        <w:t xml:space="preserve">  </w:t>
      </w:r>
    </w:p>
    <w:p w:rsidR="00203CC2" w:rsidRPr="00F551E3" w:rsidRDefault="00B671C8" w:rsidP="002D3FF7">
      <w:pPr>
        <w:spacing w:after="0" w:line="240" w:lineRule="auto"/>
        <w:ind w:firstLine="706"/>
        <w:contextualSpacing/>
        <w:jc w:val="both"/>
        <w:rPr>
          <w:rFonts w:ascii="Times New Roman" w:eastAsia="Calibri" w:hAnsi="Times New Roman" w:cs="Times New Roman"/>
          <w:sz w:val="24"/>
          <w:szCs w:val="24"/>
        </w:rPr>
        <w:sectPr w:rsidR="00203CC2" w:rsidRPr="00F551E3" w:rsidSect="006C0991">
          <w:headerReference w:type="default" r:id="rId11"/>
          <w:footerReference w:type="default" r:id="rId12"/>
          <w:pgSz w:w="11906" w:h="16838"/>
          <w:pgMar w:top="1440" w:right="1440" w:bottom="1440" w:left="1440" w:header="720" w:footer="720" w:gutter="0"/>
          <w:cols w:space="720"/>
          <w:titlePg/>
          <w:docGrid w:linePitch="360"/>
        </w:sectPr>
      </w:pPr>
      <w:r w:rsidRPr="0081082A">
        <w:rPr>
          <w:rFonts w:ascii="Times New Roman" w:eastAsia="Calibri" w:hAnsi="Times New Roman" w:cs="Times New Roman"/>
          <w:sz w:val="24"/>
          <w:szCs w:val="24"/>
          <w:lang w:val="sr-Cyrl-RS"/>
        </w:rPr>
        <w:t>Преглед релевантних планских докумената</w:t>
      </w:r>
      <w:r w:rsidRPr="0081082A">
        <w:rPr>
          <w:rFonts w:ascii="Times New Roman" w:hAnsi="Times New Roman"/>
          <w:sz w:val="24"/>
          <w:lang w:val="sr-Cyrl-RS"/>
        </w:rPr>
        <w:t xml:space="preserve"> који детаљније разрађују циљеве и мере </w:t>
      </w:r>
      <w:r w:rsidRPr="0081082A">
        <w:rPr>
          <w:rFonts w:ascii="Times New Roman" w:eastAsia="Calibri" w:hAnsi="Times New Roman" w:cs="Times New Roman"/>
          <w:sz w:val="24"/>
          <w:szCs w:val="24"/>
          <w:lang w:val="sr-Cyrl-RS"/>
        </w:rPr>
        <w:t>ПРУЈФ 2021-2025 и њихова међусобна повез</w:t>
      </w:r>
      <w:r w:rsidR="00F551E3">
        <w:rPr>
          <w:rFonts w:ascii="Times New Roman" w:eastAsia="Calibri" w:hAnsi="Times New Roman" w:cs="Times New Roman"/>
          <w:sz w:val="24"/>
          <w:szCs w:val="24"/>
          <w:lang w:val="sr-Cyrl-RS"/>
        </w:rPr>
        <w:t>аност, приказани су на Слици 1.</w:t>
      </w:r>
    </w:p>
    <w:tbl>
      <w:tblPr>
        <w:tblpPr w:leftFromText="180" w:rightFromText="180" w:vertAnchor="page" w:horzAnchor="margin" w:tblpX="484" w:tblpY="1306"/>
        <w:tblW w:w="4828" w:type="pct"/>
        <w:tblCellMar>
          <w:left w:w="58" w:type="dxa"/>
          <w:right w:w="58" w:type="dxa"/>
        </w:tblCellMar>
        <w:tblLook w:val="04A0" w:firstRow="1" w:lastRow="0" w:firstColumn="1" w:lastColumn="0" w:noHBand="0" w:noVBand="1"/>
      </w:tblPr>
      <w:tblGrid>
        <w:gridCol w:w="1361"/>
        <w:gridCol w:w="1142"/>
        <w:gridCol w:w="1058"/>
        <w:gridCol w:w="2031"/>
        <w:gridCol w:w="1186"/>
        <w:gridCol w:w="996"/>
        <w:gridCol w:w="1148"/>
        <w:gridCol w:w="1145"/>
        <w:gridCol w:w="1765"/>
        <w:gridCol w:w="1758"/>
      </w:tblGrid>
      <w:tr w:rsidR="00ED6797" w:rsidRPr="0081082A" w:rsidTr="00444084">
        <w:trPr>
          <w:trHeight w:val="264"/>
        </w:trPr>
        <w:tc>
          <w:tcPr>
            <w:tcW w:w="432" w:type="pct"/>
            <w:tcBorders>
              <w:top w:val="single" w:sz="4" w:space="0" w:color="auto"/>
              <w:left w:val="single" w:sz="4" w:space="0" w:color="auto"/>
              <w:bottom w:val="single" w:sz="4" w:space="0" w:color="auto"/>
              <w:right w:val="single" w:sz="4" w:space="0" w:color="auto"/>
            </w:tcBorders>
            <w:shd w:val="clear" w:color="000000" w:fill="2F75B5"/>
            <w:noWrap/>
            <w:vAlign w:val="center"/>
            <w:hideMark/>
          </w:tcPr>
          <w:p w:rsidR="00ED6797" w:rsidRPr="0081082A" w:rsidRDefault="00ED6797" w:rsidP="00444084">
            <w:pPr>
              <w:spacing w:before="0" w:after="0" w:line="240" w:lineRule="auto"/>
              <w:jc w:val="center"/>
              <w:rPr>
                <w:rFonts w:ascii="Times New Roman" w:eastAsia="Times New Roman" w:hAnsi="Times New Roman" w:cs="Times New Roman"/>
                <w:b/>
                <w:bCs/>
                <w:color w:val="000000"/>
                <w:sz w:val="14"/>
                <w:szCs w:val="14"/>
                <w:lang w:val="sr-Cyrl-RS"/>
              </w:rPr>
            </w:pPr>
            <w:r w:rsidRPr="0081082A">
              <w:rPr>
                <w:rFonts w:ascii="Times New Roman" w:eastAsia="Times New Roman" w:hAnsi="Times New Roman" w:cs="Times New Roman"/>
                <w:b/>
                <w:bCs/>
                <w:color w:val="000000"/>
                <w:sz w:val="14"/>
                <w:szCs w:val="14"/>
                <w:lang w:val="sr-Cyrl-RS"/>
              </w:rPr>
              <w:lastRenderedPageBreak/>
              <w:t>Посебан циљ 1</w:t>
            </w:r>
          </w:p>
        </w:tc>
        <w:tc>
          <w:tcPr>
            <w:tcW w:w="2024" w:type="pct"/>
            <w:gridSpan w:val="4"/>
            <w:tcBorders>
              <w:top w:val="single" w:sz="4" w:space="0" w:color="auto"/>
              <w:left w:val="nil"/>
              <w:bottom w:val="single" w:sz="4" w:space="0" w:color="auto"/>
              <w:right w:val="single" w:sz="4" w:space="0" w:color="000000"/>
            </w:tcBorders>
            <w:shd w:val="clear" w:color="000000" w:fill="2F75B5"/>
            <w:noWrap/>
            <w:vAlign w:val="center"/>
            <w:hideMark/>
          </w:tcPr>
          <w:p w:rsidR="00ED6797" w:rsidRPr="0081082A" w:rsidRDefault="00ED6797" w:rsidP="00444084">
            <w:pPr>
              <w:spacing w:before="0" w:after="0" w:line="240" w:lineRule="auto"/>
              <w:jc w:val="center"/>
              <w:rPr>
                <w:rFonts w:ascii="Times New Roman" w:eastAsia="Times New Roman" w:hAnsi="Times New Roman" w:cs="Times New Roman"/>
                <w:b/>
                <w:bCs/>
                <w:color w:val="000000"/>
                <w:sz w:val="14"/>
                <w:szCs w:val="14"/>
                <w:lang w:val="sr-Cyrl-RS"/>
              </w:rPr>
            </w:pPr>
            <w:r w:rsidRPr="0081082A">
              <w:rPr>
                <w:rFonts w:ascii="Times New Roman" w:eastAsia="Times New Roman" w:hAnsi="Times New Roman" w:cs="Times New Roman"/>
                <w:b/>
                <w:bCs/>
                <w:color w:val="000000"/>
                <w:sz w:val="14"/>
                <w:szCs w:val="14"/>
                <w:lang w:val="sr-Cyrl-RS"/>
              </w:rPr>
              <w:t>Посебан циљ 2</w:t>
            </w:r>
          </w:p>
        </w:tc>
        <w:tc>
          <w:tcPr>
            <w:tcW w:w="804" w:type="pct"/>
            <w:gridSpan w:val="2"/>
            <w:tcBorders>
              <w:top w:val="single" w:sz="4" w:space="0" w:color="auto"/>
              <w:left w:val="nil"/>
              <w:bottom w:val="single" w:sz="4" w:space="0" w:color="auto"/>
              <w:right w:val="single" w:sz="4" w:space="0" w:color="auto"/>
            </w:tcBorders>
            <w:shd w:val="clear" w:color="000000" w:fill="2F75B5"/>
            <w:noWrap/>
            <w:vAlign w:val="center"/>
            <w:hideMark/>
          </w:tcPr>
          <w:p w:rsidR="00ED6797" w:rsidRPr="0081082A" w:rsidRDefault="00ED6797" w:rsidP="00444084">
            <w:pPr>
              <w:spacing w:before="0" w:after="0" w:line="240" w:lineRule="auto"/>
              <w:jc w:val="center"/>
              <w:rPr>
                <w:rFonts w:ascii="Times New Roman" w:eastAsia="Times New Roman" w:hAnsi="Times New Roman" w:cs="Times New Roman"/>
                <w:b/>
                <w:bCs/>
                <w:color w:val="000000"/>
                <w:sz w:val="14"/>
                <w:szCs w:val="14"/>
                <w:lang w:val="sr-Cyrl-RS"/>
              </w:rPr>
            </w:pPr>
            <w:r w:rsidRPr="0081082A">
              <w:rPr>
                <w:rFonts w:ascii="Times New Roman" w:eastAsia="Times New Roman" w:hAnsi="Times New Roman" w:cs="Times New Roman"/>
                <w:b/>
                <w:bCs/>
                <w:color w:val="000000"/>
                <w:sz w:val="14"/>
                <w:szCs w:val="14"/>
                <w:lang w:val="sr-Cyrl-RS"/>
              </w:rPr>
              <w:t>Посебан циљ 3</w:t>
            </w:r>
          </w:p>
        </w:tc>
        <w:tc>
          <w:tcPr>
            <w:tcW w:w="429" w:type="pct"/>
            <w:tcBorders>
              <w:top w:val="single" w:sz="4" w:space="0" w:color="auto"/>
              <w:left w:val="nil"/>
              <w:bottom w:val="single" w:sz="4" w:space="0" w:color="auto"/>
              <w:right w:val="single" w:sz="4" w:space="0" w:color="auto"/>
            </w:tcBorders>
            <w:shd w:val="clear" w:color="000000" w:fill="2F75B5"/>
            <w:noWrap/>
            <w:vAlign w:val="center"/>
            <w:hideMark/>
          </w:tcPr>
          <w:p w:rsidR="00ED6797" w:rsidRPr="0081082A" w:rsidRDefault="00ED6797" w:rsidP="00444084">
            <w:pPr>
              <w:spacing w:before="0" w:after="0" w:line="240" w:lineRule="auto"/>
              <w:jc w:val="center"/>
              <w:rPr>
                <w:rFonts w:ascii="Times New Roman" w:eastAsia="Times New Roman" w:hAnsi="Times New Roman" w:cs="Times New Roman"/>
                <w:b/>
                <w:bCs/>
                <w:color w:val="000000"/>
                <w:sz w:val="14"/>
                <w:szCs w:val="14"/>
                <w:lang w:val="sr-Cyrl-RS"/>
              </w:rPr>
            </w:pPr>
            <w:r w:rsidRPr="0081082A">
              <w:rPr>
                <w:rFonts w:ascii="Times New Roman" w:eastAsia="Times New Roman" w:hAnsi="Times New Roman" w:cs="Times New Roman"/>
                <w:b/>
                <w:bCs/>
                <w:color w:val="000000"/>
                <w:sz w:val="14"/>
                <w:szCs w:val="14"/>
                <w:lang w:val="sr-Cyrl-RS"/>
              </w:rPr>
              <w:t>Посебан циљ 4</w:t>
            </w:r>
          </w:p>
        </w:tc>
        <w:tc>
          <w:tcPr>
            <w:tcW w:w="657" w:type="pct"/>
            <w:tcBorders>
              <w:top w:val="single" w:sz="4" w:space="0" w:color="auto"/>
              <w:left w:val="nil"/>
              <w:bottom w:val="single" w:sz="4" w:space="0" w:color="auto"/>
              <w:right w:val="single" w:sz="4" w:space="0" w:color="auto"/>
            </w:tcBorders>
            <w:shd w:val="clear" w:color="000000" w:fill="2F75B5"/>
            <w:noWrap/>
            <w:vAlign w:val="center"/>
            <w:hideMark/>
          </w:tcPr>
          <w:p w:rsidR="00ED6797" w:rsidRPr="0081082A" w:rsidRDefault="00ED6797" w:rsidP="00444084">
            <w:pPr>
              <w:spacing w:before="0" w:after="0" w:line="240" w:lineRule="auto"/>
              <w:jc w:val="center"/>
              <w:rPr>
                <w:rFonts w:ascii="Times New Roman" w:eastAsia="Times New Roman" w:hAnsi="Times New Roman" w:cs="Times New Roman"/>
                <w:b/>
                <w:bCs/>
                <w:color w:val="000000"/>
                <w:sz w:val="14"/>
                <w:szCs w:val="14"/>
                <w:lang w:val="sr-Cyrl-RS"/>
              </w:rPr>
            </w:pPr>
            <w:r w:rsidRPr="0081082A">
              <w:rPr>
                <w:rFonts w:ascii="Times New Roman" w:eastAsia="Times New Roman" w:hAnsi="Times New Roman" w:cs="Times New Roman"/>
                <w:b/>
                <w:bCs/>
                <w:color w:val="000000"/>
                <w:sz w:val="14"/>
                <w:szCs w:val="14"/>
                <w:lang w:val="sr-Cyrl-RS"/>
              </w:rPr>
              <w:t>Посебан циљ 5</w:t>
            </w:r>
          </w:p>
        </w:tc>
        <w:tc>
          <w:tcPr>
            <w:tcW w:w="656" w:type="pct"/>
            <w:tcBorders>
              <w:top w:val="single" w:sz="4" w:space="0" w:color="auto"/>
              <w:left w:val="nil"/>
              <w:bottom w:val="single" w:sz="4" w:space="0" w:color="auto"/>
              <w:right w:val="single" w:sz="4" w:space="0" w:color="auto"/>
            </w:tcBorders>
            <w:shd w:val="clear" w:color="000000" w:fill="2F75B5"/>
          </w:tcPr>
          <w:p w:rsidR="00441572" w:rsidRDefault="00441572" w:rsidP="00444084">
            <w:pPr>
              <w:spacing w:before="0" w:after="0" w:line="240" w:lineRule="auto"/>
              <w:jc w:val="center"/>
              <w:rPr>
                <w:rFonts w:ascii="Times New Roman" w:eastAsia="Times New Roman" w:hAnsi="Times New Roman" w:cs="Times New Roman"/>
                <w:b/>
                <w:bCs/>
                <w:color w:val="000000"/>
                <w:sz w:val="14"/>
                <w:szCs w:val="14"/>
                <w:lang w:val="sr-Cyrl-RS"/>
              </w:rPr>
            </w:pPr>
          </w:p>
          <w:p w:rsidR="00441572" w:rsidRPr="00441572" w:rsidRDefault="00441572" w:rsidP="00444084">
            <w:pPr>
              <w:spacing w:before="0" w:after="0" w:line="240" w:lineRule="auto"/>
              <w:jc w:val="center"/>
              <w:rPr>
                <w:rFonts w:ascii="Times New Roman" w:eastAsia="Times New Roman" w:hAnsi="Times New Roman" w:cs="Times New Roman"/>
                <w:b/>
                <w:bCs/>
                <w:color w:val="000000"/>
                <w:sz w:val="14"/>
                <w:szCs w:val="14"/>
                <w:lang w:val="sr-Cyrl-RS"/>
              </w:rPr>
            </w:pPr>
            <w:r>
              <w:rPr>
                <w:rFonts w:ascii="Times New Roman" w:eastAsia="Times New Roman" w:hAnsi="Times New Roman" w:cs="Times New Roman"/>
                <w:b/>
                <w:bCs/>
                <w:color w:val="000000"/>
                <w:sz w:val="14"/>
                <w:szCs w:val="14"/>
              </w:rPr>
              <w:t>Посебан циљ 6</w:t>
            </w:r>
          </w:p>
          <w:p w:rsidR="00441572" w:rsidRPr="00ED6797" w:rsidRDefault="00441572" w:rsidP="00444084">
            <w:pPr>
              <w:spacing w:before="0" w:after="0" w:line="240" w:lineRule="auto"/>
              <w:rPr>
                <w:rFonts w:ascii="Times New Roman" w:eastAsia="Times New Roman" w:hAnsi="Times New Roman" w:cs="Times New Roman"/>
                <w:b/>
                <w:bCs/>
                <w:color w:val="000000"/>
                <w:sz w:val="14"/>
                <w:szCs w:val="14"/>
                <w:lang w:val="sr-Cyrl-RS"/>
              </w:rPr>
            </w:pPr>
          </w:p>
        </w:tc>
      </w:tr>
      <w:tr w:rsidR="00ED6797" w:rsidRPr="0081082A" w:rsidTr="00444084">
        <w:trPr>
          <w:trHeight w:val="1342"/>
        </w:trPr>
        <w:tc>
          <w:tcPr>
            <w:tcW w:w="432" w:type="pct"/>
            <w:tcBorders>
              <w:top w:val="nil"/>
              <w:left w:val="single" w:sz="4" w:space="0" w:color="auto"/>
              <w:bottom w:val="single" w:sz="4" w:space="0" w:color="auto"/>
              <w:right w:val="single" w:sz="4" w:space="0" w:color="auto"/>
            </w:tcBorders>
            <w:shd w:val="clear" w:color="auto" w:fill="FFE599" w:themeFill="accent4" w:themeFillTint="66"/>
            <w:vAlign w:val="center"/>
            <w:hideMark/>
          </w:tcPr>
          <w:p w:rsidR="00ED6797" w:rsidRPr="0081082A" w:rsidRDefault="00ED6797" w:rsidP="00444084">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pacing w:before="0" w:after="0" w:line="240" w:lineRule="auto"/>
              <w:jc w:val="center"/>
              <w:rPr>
                <w:rFonts w:ascii="Times New Roman" w:hAnsi="Times New Roman" w:cs="Times New Roman"/>
                <w:sz w:val="14"/>
                <w:szCs w:val="14"/>
                <w:lang w:val="sr-Cyrl-RS"/>
              </w:rPr>
            </w:pPr>
            <w:r w:rsidRPr="0081082A">
              <w:rPr>
                <w:rFonts w:ascii="Times New Roman" w:hAnsi="Times New Roman" w:cs="Times New Roman"/>
                <w:sz w:val="14"/>
                <w:szCs w:val="14"/>
                <w:lang w:val="sr-Cyrl-RS"/>
              </w:rPr>
              <w:t xml:space="preserve"> УНАПРЕЂЕНИ КАПАЦИТЕТИ ЗА БУЏЕТСКО ПЛАНИРАЊЕ И УПРАВЉАЊЕ ЈАВНИМ ИНВЕСТИЦИЈАМА</w:t>
            </w:r>
          </w:p>
          <w:p w:rsidR="00ED6797" w:rsidRPr="0081082A" w:rsidRDefault="00ED6797" w:rsidP="00444084">
            <w:pPr>
              <w:spacing w:before="0" w:after="0" w:line="240" w:lineRule="auto"/>
              <w:jc w:val="center"/>
              <w:rPr>
                <w:rFonts w:ascii="Times New Roman" w:eastAsia="Times New Roman" w:hAnsi="Times New Roman" w:cs="Times New Roman"/>
                <w:color w:val="FF0000"/>
                <w:sz w:val="14"/>
                <w:szCs w:val="14"/>
                <w:lang w:val="sr-Cyrl-RS"/>
              </w:rPr>
            </w:pPr>
          </w:p>
        </w:tc>
        <w:tc>
          <w:tcPr>
            <w:tcW w:w="2024" w:type="pct"/>
            <w:gridSpan w:val="4"/>
            <w:tcBorders>
              <w:top w:val="single" w:sz="4" w:space="0" w:color="auto"/>
              <w:left w:val="nil"/>
              <w:bottom w:val="single" w:sz="4" w:space="0" w:color="auto"/>
              <w:right w:val="single" w:sz="4" w:space="0" w:color="000000"/>
            </w:tcBorders>
            <w:shd w:val="clear" w:color="auto" w:fill="FFE599" w:themeFill="accent4" w:themeFillTint="66"/>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FF0000"/>
                <w:sz w:val="14"/>
                <w:szCs w:val="14"/>
                <w:lang w:val="sr-Cyrl-RS"/>
              </w:rPr>
            </w:pPr>
            <w:r w:rsidRPr="0081082A">
              <w:rPr>
                <w:rFonts w:ascii="Times New Roman" w:eastAsia="Calibri" w:hAnsi="Times New Roman" w:cs="Times New Roman"/>
                <w:caps/>
                <w:spacing w:val="15"/>
                <w:sz w:val="14"/>
                <w:szCs w:val="14"/>
                <w:lang w:val="sr-Cyrl-RS"/>
              </w:rPr>
              <w:t>Ефикасно прикупљање и управљање буџетским средствима</w:t>
            </w:r>
            <w:r w:rsidRPr="0081082A">
              <w:rPr>
                <w:rStyle w:val="CommentReference"/>
                <w:rFonts w:ascii="Times New Roman" w:hAnsi="Times New Roman" w:cs="Times New Roman"/>
                <w:caps/>
                <w:sz w:val="14"/>
                <w:szCs w:val="14"/>
                <w:lang w:val="sr-Cyrl-RS"/>
              </w:rPr>
              <w:t xml:space="preserve"> </w:t>
            </w:r>
          </w:p>
        </w:tc>
        <w:tc>
          <w:tcPr>
            <w:tcW w:w="804" w:type="pct"/>
            <w:gridSpan w:val="2"/>
            <w:tcBorders>
              <w:top w:val="single" w:sz="4" w:space="0" w:color="auto"/>
              <w:left w:val="nil"/>
              <w:bottom w:val="single" w:sz="4" w:space="0" w:color="auto"/>
              <w:right w:val="single" w:sz="4" w:space="0" w:color="000000"/>
            </w:tcBorders>
            <w:shd w:val="clear" w:color="000000" w:fill="FFE6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 xml:space="preserve">УНАПРЕЂЕЊЕ БУЏЕТСКЕ ДИСЦИПЛИНЕ И ТРАНСПАРЕНТНИЈЕ КОРИШЋЕЊЕ ЈАВНИХ СРЕДСТАВА </w:t>
            </w:r>
          </w:p>
        </w:tc>
        <w:tc>
          <w:tcPr>
            <w:tcW w:w="429" w:type="pct"/>
            <w:tcBorders>
              <w:top w:val="nil"/>
              <w:left w:val="nil"/>
              <w:bottom w:val="single" w:sz="4" w:space="0" w:color="auto"/>
              <w:right w:val="nil"/>
            </w:tcBorders>
            <w:shd w:val="clear" w:color="000000" w:fill="FFE6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УНАПРЕЂЕЊЕ ПРИМЕНЕ СИСТЕМА ИНТЕРНЕ КОНТРОЛЕ У ЈАВНОМ СЕКТОРУ</w:t>
            </w:r>
          </w:p>
        </w:tc>
        <w:tc>
          <w:tcPr>
            <w:tcW w:w="657" w:type="pct"/>
            <w:tcBorders>
              <w:top w:val="nil"/>
              <w:left w:val="single" w:sz="4" w:space="0" w:color="auto"/>
              <w:bottom w:val="single" w:sz="4" w:space="0" w:color="auto"/>
              <w:right w:val="single" w:sz="4" w:space="0" w:color="auto"/>
            </w:tcBorders>
            <w:shd w:val="clear" w:color="000000" w:fill="FFE6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FF0000"/>
                <w:sz w:val="14"/>
                <w:szCs w:val="14"/>
                <w:lang w:val="sr-Cyrl-RS"/>
              </w:rPr>
            </w:pPr>
            <w:r w:rsidRPr="0081082A">
              <w:rPr>
                <w:rFonts w:ascii="Times New Roman" w:eastAsia="Times New Roman" w:hAnsi="Times New Roman" w:cs="Times New Roman"/>
                <w:sz w:val="14"/>
                <w:szCs w:val="14"/>
                <w:lang w:val="sr-Cyrl-RS"/>
              </w:rPr>
              <w:t>УНАПРЕЂЕЊЕ РАЧУНОВОДСТВА И УВОЂЕЊЕ РАЧУНОВОДСТВЕНИХ СТАНДАРДА</w:t>
            </w:r>
          </w:p>
        </w:tc>
        <w:tc>
          <w:tcPr>
            <w:tcW w:w="656" w:type="pct"/>
            <w:tcBorders>
              <w:top w:val="nil"/>
              <w:left w:val="single" w:sz="4" w:space="0" w:color="auto"/>
              <w:bottom w:val="single" w:sz="4" w:space="0" w:color="auto"/>
              <w:right w:val="single" w:sz="4" w:space="0" w:color="auto"/>
            </w:tcBorders>
            <w:shd w:val="clear" w:color="000000" w:fill="FFE699"/>
          </w:tcPr>
          <w:p w:rsidR="00ED6797" w:rsidRDefault="00ED6797" w:rsidP="00444084">
            <w:pPr>
              <w:spacing w:before="0" w:after="0" w:line="240" w:lineRule="auto"/>
              <w:jc w:val="center"/>
              <w:rPr>
                <w:rFonts w:ascii="Times New Roman" w:eastAsia="Times New Roman" w:hAnsi="Times New Roman" w:cs="Times New Roman"/>
                <w:sz w:val="14"/>
                <w:szCs w:val="14"/>
                <w:lang w:val="sr-Cyrl-RS"/>
              </w:rPr>
            </w:pPr>
          </w:p>
          <w:p w:rsidR="00DB681A" w:rsidRDefault="00DB681A" w:rsidP="00444084">
            <w:pPr>
              <w:spacing w:before="0" w:after="0" w:line="240" w:lineRule="auto"/>
              <w:jc w:val="center"/>
              <w:rPr>
                <w:rFonts w:ascii="Times New Roman" w:eastAsia="Times New Roman" w:hAnsi="Times New Roman" w:cs="Times New Roman"/>
                <w:sz w:val="14"/>
                <w:szCs w:val="14"/>
                <w:lang w:val="sr-Cyrl-RS"/>
              </w:rPr>
            </w:pPr>
          </w:p>
          <w:p w:rsidR="00DB681A" w:rsidRDefault="00DB681A" w:rsidP="00444084">
            <w:pPr>
              <w:spacing w:before="0" w:after="0" w:line="240" w:lineRule="auto"/>
              <w:jc w:val="center"/>
              <w:rPr>
                <w:rFonts w:ascii="Times New Roman" w:eastAsia="Times New Roman" w:hAnsi="Times New Roman" w:cs="Times New Roman"/>
                <w:sz w:val="14"/>
                <w:szCs w:val="14"/>
                <w:lang w:val="sr-Cyrl-RS"/>
              </w:rPr>
            </w:pPr>
          </w:p>
          <w:p w:rsidR="00DB681A" w:rsidRPr="0081082A" w:rsidRDefault="00DB681A" w:rsidP="00444084">
            <w:pPr>
              <w:spacing w:before="0" w:after="0" w:line="240" w:lineRule="auto"/>
              <w:jc w:val="center"/>
              <w:rPr>
                <w:rFonts w:ascii="Times New Roman" w:eastAsia="Times New Roman" w:hAnsi="Times New Roman" w:cs="Times New Roman"/>
                <w:sz w:val="14"/>
                <w:szCs w:val="14"/>
                <w:lang w:val="sr-Cyrl-RS"/>
              </w:rPr>
            </w:pPr>
            <w:r>
              <w:rPr>
                <w:rFonts w:ascii="Times New Roman" w:eastAsia="Times New Roman" w:hAnsi="Times New Roman" w:cs="Times New Roman"/>
                <w:color w:val="000000"/>
                <w:sz w:val="14"/>
                <w:szCs w:val="14"/>
              </w:rPr>
              <w:t xml:space="preserve">ЈАЧАЊЕ СПОЉНОГ НАДЗОРА НАД ЈАВНИМ ФИНАНСИЈАМА  </w:t>
            </w:r>
          </w:p>
        </w:tc>
      </w:tr>
      <w:tr w:rsidR="00ED6797" w:rsidRPr="0081082A" w:rsidTr="006C591A">
        <w:trPr>
          <w:trHeight w:val="168"/>
        </w:trPr>
        <w:tc>
          <w:tcPr>
            <w:tcW w:w="432" w:type="pct"/>
            <w:tcBorders>
              <w:top w:val="nil"/>
              <w:left w:val="single" w:sz="4" w:space="0" w:color="auto"/>
              <w:bottom w:val="single" w:sz="4" w:space="0" w:color="auto"/>
              <w:right w:val="single" w:sz="4" w:space="0" w:color="auto"/>
            </w:tcBorders>
            <w:shd w:val="clear" w:color="auto" w:fill="4472C4" w:themeFill="accent5"/>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Фискална стратегија за 2021</w:t>
            </w:r>
            <w:r>
              <w:rPr>
                <w:rFonts w:ascii="Times New Roman" w:eastAsia="Times New Roman" w:hAnsi="Times New Roman" w:cs="Times New Roman"/>
                <w:color w:val="000000"/>
                <w:sz w:val="14"/>
                <w:szCs w:val="14"/>
                <w:lang w:val="sr-Cyrl-RS"/>
              </w:rPr>
              <w:t>.</w:t>
            </w:r>
            <w:r w:rsidRPr="0081082A">
              <w:rPr>
                <w:rFonts w:ascii="Times New Roman" w:eastAsia="Times New Roman" w:hAnsi="Times New Roman" w:cs="Times New Roman"/>
                <w:color w:val="000000"/>
                <w:sz w:val="14"/>
                <w:szCs w:val="14"/>
                <w:lang w:val="sr-Cyrl-RS"/>
              </w:rPr>
              <w:t xml:space="preserve"> годину са прогнозазма за 2022</w:t>
            </w:r>
            <w:r>
              <w:rPr>
                <w:rFonts w:ascii="Times New Roman" w:eastAsia="Times New Roman" w:hAnsi="Times New Roman" w:cs="Times New Roman"/>
                <w:color w:val="000000"/>
                <w:sz w:val="14"/>
                <w:szCs w:val="14"/>
                <w:lang w:val="sr-Cyrl-RS"/>
              </w:rPr>
              <w:t>.</w:t>
            </w:r>
            <w:r w:rsidRPr="0081082A">
              <w:rPr>
                <w:rFonts w:ascii="Times New Roman" w:eastAsia="Times New Roman" w:hAnsi="Times New Roman" w:cs="Times New Roman"/>
                <w:color w:val="000000"/>
                <w:sz w:val="14"/>
                <w:szCs w:val="14"/>
                <w:lang w:val="sr-Cyrl-RS"/>
              </w:rPr>
              <w:t xml:space="preserve"> и 2023. годикну</w:t>
            </w:r>
          </w:p>
        </w:tc>
        <w:tc>
          <w:tcPr>
            <w:tcW w:w="428" w:type="pct"/>
            <w:tcBorders>
              <w:top w:val="nil"/>
              <w:left w:val="nil"/>
              <w:bottom w:val="single" w:sz="4" w:space="0" w:color="auto"/>
              <w:right w:val="single" w:sz="4" w:space="0" w:color="auto"/>
            </w:tcBorders>
            <w:shd w:val="clear" w:color="000000" w:fill="9BC2E6"/>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Програм трансформације Пореске управе 2021 – 2023 и Акциони план Програма трансформације Пореске управе 2018 - 2023</w:t>
            </w:r>
          </w:p>
        </w:tc>
        <w:tc>
          <w:tcPr>
            <w:tcW w:w="397" w:type="pct"/>
            <w:tcBorders>
              <w:top w:val="nil"/>
              <w:left w:val="nil"/>
              <w:bottom w:val="single" w:sz="4" w:space="0" w:color="auto"/>
              <w:right w:val="single" w:sz="4" w:space="0" w:color="auto"/>
            </w:tcBorders>
            <w:shd w:val="clear" w:color="000000" w:fill="9BC2E6"/>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 xml:space="preserve">Пословни план за унапређење организације и рада царинске службе Министарства финансија 2020 – 2024 </w:t>
            </w:r>
          </w:p>
        </w:tc>
        <w:tc>
          <w:tcPr>
            <w:tcW w:w="755" w:type="pct"/>
            <w:tcBorders>
              <w:top w:val="single" w:sz="4" w:space="0" w:color="auto"/>
              <w:left w:val="single" w:sz="4" w:space="0" w:color="auto"/>
              <w:bottom w:val="single" w:sz="4" w:space="0" w:color="auto"/>
              <w:right w:val="single" w:sz="4" w:space="0" w:color="auto"/>
            </w:tcBorders>
            <w:shd w:val="clear" w:color="auto" w:fill="4472C4" w:themeFill="accent5"/>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6"/>
                <w:szCs w:val="16"/>
                <w:lang w:val="sr-Cyrl-RS"/>
              </w:rPr>
            </w:pPr>
            <w:r w:rsidRPr="0081082A">
              <w:rPr>
                <w:rFonts w:ascii="Times New Roman" w:eastAsia="Times New Roman" w:hAnsi="Times New Roman" w:cs="Times New Roman"/>
                <w:color w:val="000000"/>
                <w:sz w:val="16"/>
                <w:szCs w:val="16"/>
                <w:lang w:val="sr-Cyrl-RS"/>
              </w:rPr>
              <w:t>Фискална стратеција за 2021</w:t>
            </w:r>
            <w:r>
              <w:rPr>
                <w:rFonts w:ascii="Times New Roman" w:eastAsia="Times New Roman" w:hAnsi="Times New Roman" w:cs="Times New Roman"/>
                <w:color w:val="000000"/>
                <w:sz w:val="16"/>
                <w:szCs w:val="16"/>
                <w:lang w:val="sr-Cyrl-RS"/>
              </w:rPr>
              <w:t>.</w:t>
            </w:r>
            <w:r w:rsidRPr="0081082A">
              <w:rPr>
                <w:rFonts w:ascii="Times New Roman" w:eastAsia="Times New Roman" w:hAnsi="Times New Roman" w:cs="Times New Roman"/>
                <w:color w:val="000000"/>
                <w:sz w:val="16"/>
                <w:szCs w:val="16"/>
                <w:lang w:val="sr-Cyrl-RS"/>
              </w:rPr>
              <w:t xml:space="preserve"> годину са прогнозама за 2022</w:t>
            </w:r>
            <w:r>
              <w:rPr>
                <w:rFonts w:ascii="Times New Roman" w:eastAsia="Times New Roman" w:hAnsi="Times New Roman" w:cs="Times New Roman"/>
                <w:color w:val="000000"/>
                <w:sz w:val="16"/>
                <w:szCs w:val="16"/>
                <w:lang w:val="sr-Cyrl-RS"/>
              </w:rPr>
              <w:t>.</w:t>
            </w:r>
            <w:r w:rsidRPr="0081082A">
              <w:rPr>
                <w:rFonts w:ascii="Times New Roman" w:eastAsia="Times New Roman" w:hAnsi="Times New Roman" w:cs="Times New Roman"/>
                <w:color w:val="000000"/>
                <w:sz w:val="16"/>
                <w:szCs w:val="16"/>
                <w:lang w:val="sr-Cyrl-RS"/>
              </w:rPr>
              <w:t xml:space="preserve"> и 2023. годину</w:t>
            </w:r>
          </w:p>
        </w:tc>
        <w:tc>
          <w:tcPr>
            <w:tcW w:w="444" w:type="pct"/>
            <w:tcBorders>
              <w:top w:val="nil"/>
              <w:left w:val="nil"/>
              <w:bottom w:val="single" w:sz="4" w:space="0" w:color="auto"/>
              <w:right w:val="single" w:sz="4" w:space="0" w:color="auto"/>
            </w:tcBorders>
            <w:shd w:val="clear" w:color="auto" w:fill="4472C4" w:themeFill="accent5"/>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Програм развоја јавних набавки у Републици Србији за период 2019-2023</w:t>
            </w:r>
          </w:p>
        </w:tc>
        <w:tc>
          <w:tcPr>
            <w:tcW w:w="374" w:type="pct"/>
            <w:vMerge w:val="restart"/>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sz w:val="14"/>
                <w:szCs w:val="14"/>
                <w:lang w:val="sr-Cyrl-RS"/>
              </w:rPr>
              <w:t>Акциони план за Поглавље 22</w:t>
            </w:r>
          </w:p>
        </w:tc>
        <w:tc>
          <w:tcPr>
            <w:tcW w:w="430" w:type="pct"/>
            <w:tcBorders>
              <w:top w:val="nil"/>
              <w:left w:val="nil"/>
              <w:bottom w:val="single" w:sz="4" w:space="0" w:color="auto"/>
              <w:right w:val="single" w:sz="4" w:space="0" w:color="auto"/>
            </w:tcBorders>
            <w:shd w:val="clear" w:color="000000" w:fill="9BC2E6"/>
            <w:vAlign w:val="center"/>
            <w:hideMark/>
          </w:tcPr>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sz w:val="14"/>
                <w:szCs w:val="14"/>
                <w:lang w:val="sr-Cyrl-RS"/>
              </w:rPr>
              <w:t>Акциони план за запошљавање инспектора и других службеника у републичким инспекцијама 2019-2021</w:t>
            </w:r>
          </w:p>
        </w:tc>
        <w:tc>
          <w:tcPr>
            <w:tcW w:w="429" w:type="pct"/>
            <w:tcBorders>
              <w:top w:val="nil"/>
              <w:left w:val="nil"/>
              <w:bottom w:val="single" w:sz="4" w:space="0" w:color="auto"/>
              <w:right w:val="single" w:sz="4" w:space="0" w:color="auto"/>
            </w:tcBorders>
            <w:shd w:val="clear" w:color="auto" w:fill="4472C4" w:themeFill="accent5"/>
            <w:vAlign w:val="center"/>
            <w:hideMark/>
          </w:tcPr>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sz w:val="14"/>
                <w:szCs w:val="14"/>
                <w:lang w:val="sr-Cyrl-RS"/>
              </w:rPr>
              <w:t>Стратеција РЈУ 2021-2030</w:t>
            </w:r>
          </w:p>
        </w:tc>
        <w:tc>
          <w:tcPr>
            <w:tcW w:w="657" w:type="pct"/>
            <w:tcBorders>
              <w:top w:val="nil"/>
              <w:left w:val="nil"/>
              <w:bottom w:val="single" w:sz="4" w:space="0" w:color="auto"/>
              <w:right w:val="single" w:sz="4" w:space="0" w:color="auto"/>
            </w:tcBorders>
            <w:shd w:val="clear" w:color="auto" w:fill="4472C4" w:themeFill="accent5"/>
            <w:vAlign w:val="center"/>
            <w:hideMark/>
          </w:tcPr>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sz w:val="16"/>
                <w:szCs w:val="16"/>
                <w:lang w:val="sr-Cyrl-RS"/>
              </w:rPr>
              <w:t>Фискална стратегија</w:t>
            </w:r>
            <w:r w:rsidRPr="0081082A">
              <w:rPr>
                <w:rFonts w:ascii="Times New Roman" w:eastAsia="Times New Roman" w:hAnsi="Times New Roman" w:cs="Times New Roman"/>
                <w:color w:val="000000"/>
                <w:sz w:val="16"/>
                <w:szCs w:val="16"/>
                <w:lang w:val="sr-Cyrl-RS"/>
              </w:rPr>
              <w:t xml:space="preserve"> за 2021</w:t>
            </w:r>
            <w:r>
              <w:rPr>
                <w:rFonts w:ascii="Times New Roman" w:eastAsia="Times New Roman" w:hAnsi="Times New Roman" w:cs="Times New Roman"/>
                <w:color w:val="000000"/>
                <w:sz w:val="16"/>
                <w:szCs w:val="16"/>
                <w:lang w:val="sr-Cyrl-RS"/>
              </w:rPr>
              <w:t>.</w:t>
            </w:r>
            <w:r w:rsidRPr="0081082A">
              <w:rPr>
                <w:rFonts w:ascii="Times New Roman" w:eastAsia="Times New Roman" w:hAnsi="Times New Roman" w:cs="Times New Roman"/>
                <w:color w:val="000000"/>
                <w:sz w:val="16"/>
                <w:szCs w:val="16"/>
                <w:lang w:val="sr-Cyrl-RS"/>
              </w:rPr>
              <w:t xml:space="preserve"> годину са прогнозама за 2022</w:t>
            </w:r>
            <w:r>
              <w:rPr>
                <w:rFonts w:ascii="Times New Roman" w:eastAsia="Times New Roman" w:hAnsi="Times New Roman" w:cs="Times New Roman"/>
                <w:color w:val="000000"/>
                <w:sz w:val="16"/>
                <w:szCs w:val="16"/>
                <w:lang w:val="sr-Cyrl-RS"/>
              </w:rPr>
              <w:t>.</w:t>
            </w:r>
            <w:r w:rsidRPr="0081082A">
              <w:rPr>
                <w:rFonts w:ascii="Times New Roman" w:eastAsia="Times New Roman" w:hAnsi="Times New Roman" w:cs="Times New Roman"/>
                <w:color w:val="000000"/>
                <w:sz w:val="16"/>
                <w:szCs w:val="16"/>
                <w:lang w:val="sr-Cyrl-RS"/>
              </w:rPr>
              <w:t xml:space="preserve"> и 2023. годину</w:t>
            </w:r>
          </w:p>
        </w:tc>
        <w:tc>
          <w:tcPr>
            <w:tcW w:w="656" w:type="pct"/>
            <w:tcBorders>
              <w:top w:val="nil"/>
              <w:left w:val="nil"/>
              <w:bottom w:val="single" w:sz="4" w:space="0" w:color="auto"/>
              <w:right w:val="single" w:sz="4" w:space="0" w:color="auto"/>
            </w:tcBorders>
            <w:shd w:val="clear" w:color="auto" w:fill="9CC2E5" w:themeFill="accent1" w:themeFillTint="99"/>
          </w:tcPr>
          <w:p w:rsidR="00ED6797" w:rsidRDefault="00ED6797" w:rsidP="00444084">
            <w:pPr>
              <w:spacing w:before="0" w:after="0" w:line="240" w:lineRule="auto"/>
              <w:jc w:val="center"/>
              <w:rPr>
                <w:rFonts w:ascii="Times New Roman" w:eastAsia="Times New Roman" w:hAnsi="Times New Roman" w:cs="Times New Roman"/>
                <w:sz w:val="16"/>
                <w:szCs w:val="16"/>
                <w:lang w:val="sr-Cyrl-RS"/>
              </w:rPr>
            </w:pPr>
          </w:p>
          <w:p w:rsidR="00DB681A" w:rsidRDefault="00DB681A" w:rsidP="00444084">
            <w:pPr>
              <w:spacing w:before="0" w:after="0" w:line="240" w:lineRule="auto"/>
              <w:jc w:val="center"/>
              <w:rPr>
                <w:rFonts w:ascii="Times New Roman" w:eastAsia="Times New Roman" w:hAnsi="Times New Roman" w:cs="Times New Roman"/>
                <w:sz w:val="16"/>
                <w:szCs w:val="16"/>
                <w:lang w:val="sr-Cyrl-RS"/>
              </w:rPr>
            </w:pPr>
          </w:p>
          <w:p w:rsidR="00DB681A" w:rsidRDefault="00DB681A" w:rsidP="00444084">
            <w:pPr>
              <w:spacing w:before="0" w:after="0" w:line="240" w:lineRule="auto"/>
              <w:jc w:val="center"/>
              <w:rPr>
                <w:rFonts w:ascii="Times New Roman" w:eastAsia="Times New Roman" w:hAnsi="Times New Roman" w:cs="Times New Roman"/>
                <w:sz w:val="16"/>
                <w:szCs w:val="16"/>
                <w:lang w:val="sr-Cyrl-RS"/>
              </w:rPr>
            </w:pPr>
          </w:p>
          <w:p w:rsidR="00DB681A" w:rsidRPr="0081082A" w:rsidRDefault="00DB681A" w:rsidP="00444084">
            <w:pPr>
              <w:spacing w:before="0" w:after="0" w:line="240" w:lineRule="auto"/>
              <w:jc w:val="center"/>
              <w:rPr>
                <w:rFonts w:ascii="Times New Roman" w:eastAsia="Times New Roman" w:hAnsi="Times New Roman" w:cs="Times New Roman"/>
                <w:sz w:val="16"/>
                <w:szCs w:val="16"/>
                <w:lang w:val="sr-Cyrl-RS"/>
              </w:rPr>
            </w:pPr>
            <w:r>
              <w:rPr>
                <w:rFonts w:ascii="Times New Roman" w:eastAsia="Times New Roman" w:hAnsi="Times New Roman" w:cs="Times New Roman"/>
                <w:sz w:val="14"/>
                <w:szCs w:val="14"/>
              </w:rPr>
              <w:t>Стратешки план Државне ревизорске институције 2019-2023</w:t>
            </w:r>
          </w:p>
        </w:tc>
      </w:tr>
      <w:tr w:rsidR="00ED6797" w:rsidRPr="0081082A" w:rsidTr="006C591A">
        <w:trPr>
          <w:trHeight w:val="25"/>
        </w:trPr>
        <w:tc>
          <w:tcPr>
            <w:tcW w:w="432" w:type="pct"/>
            <w:tcBorders>
              <w:top w:val="nil"/>
              <w:left w:val="single" w:sz="4" w:space="0" w:color="auto"/>
              <w:bottom w:val="single" w:sz="4" w:space="0" w:color="auto"/>
              <w:right w:val="single" w:sz="4" w:space="0" w:color="auto"/>
            </w:tcBorders>
            <w:shd w:val="clear" w:color="auto" w:fill="4472C4" w:themeFill="accent5"/>
            <w:vAlign w:val="center"/>
            <w:hideMark/>
          </w:tcPr>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sz w:val="14"/>
                <w:szCs w:val="14"/>
                <w:lang w:val="sr-Cyrl-RS"/>
              </w:rPr>
              <w:t>Програм економских реформи 2021-2023 (ЕРП)</w:t>
            </w:r>
          </w:p>
          <w:p w:rsidR="00ED6797" w:rsidRPr="0081082A" w:rsidRDefault="00ED6797" w:rsidP="00444084">
            <w:pPr>
              <w:spacing w:before="0" w:after="0" w:line="240" w:lineRule="auto"/>
              <w:jc w:val="center"/>
              <w:rPr>
                <w:rFonts w:ascii="Times New Roman" w:eastAsia="Times New Roman" w:hAnsi="Times New Roman" w:cs="Times New Roman"/>
                <w:color w:val="000000"/>
                <w:sz w:val="16"/>
                <w:szCs w:val="16"/>
                <w:lang w:val="sr-Cyrl-RS"/>
              </w:rPr>
            </w:pPr>
            <w:r w:rsidRPr="0081082A">
              <w:rPr>
                <w:rFonts w:ascii="Times New Roman" w:eastAsia="Times New Roman" w:hAnsi="Times New Roman" w:cs="Times New Roman"/>
                <w:color w:val="000000"/>
                <w:sz w:val="16"/>
                <w:szCs w:val="16"/>
                <w:lang w:val="sr-Cyrl-RS"/>
              </w:rPr>
              <w:t xml:space="preserve"> </w:t>
            </w:r>
          </w:p>
          <w:p w:rsidR="00ED6797" w:rsidRPr="0081082A" w:rsidRDefault="00ED6797" w:rsidP="00444084">
            <w:pPr>
              <w:spacing w:before="0" w:after="0" w:line="240" w:lineRule="auto"/>
              <w:jc w:val="center"/>
              <w:rPr>
                <w:rFonts w:ascii="Times New Roman" w:eastAsia="Times New Roman" w:hAnsi="Times New Roman" w:cs="Times New Roman"/>
                <w:color w:val="FF0000"/>
                <w:sz w:val="14"/>
                <w:szCs w:val="14"/>
                <w:lang w:val="sr-Cyrl-RS"/>
              </w:rPr>
            </w:pPr>
          </w:p>
        </w:tc>
        <w:tc>
          <w:tcPr>
            <w:tcW w:w="428" w:type="pct"/>
            <w:tcBorders>
              <w:top w:val="nil"/>
              <w:left w:val="nil"/>
              <w:bottom w:val="single" w:sz="4" w:space="0" w:color="auto"/>
              <w:right w:val="single" w:sz="4" w:space="0" w:color="auto"/>
            </w:tcBorders>
            <w:shd w:val="clear" w:color="auto" w:fill="4472C4" w:themeFill="accent5"/>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 xml:space="preserve">Програм економских реформи 2021-2023 (ЕРП) </w:t>
            </w: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tc>
        <w:tc>
          <w:tcPr>
            <w:tcW w:w="397" w:type="pct"/>
            <w:tcBorders>
              <w:top w:val="nil"/>
              <w:left w:val="nil"/>
              <w:bottom w:val="single" w:sz="4" w:space="0" w:color="auto"/>
              <w:right w:val="single" w:sz="4" w:space="0" w:color="auto"/>
            </w:tcBorders>
            <w:shd w:val="clear" w:color="000000" w:fill="9BC2E6"/>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План рада за развој и коришћење електронских система царинске службе Министарства финансија 2020–2024</w:t>
            </w: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tc>
        <w:tc>
          <w:tcPr>
            <w:tcW w:w="755" w:type="pct"/>
            <w:tcBorders>
              <w:top w:val="single" w:sz="4" w:space="0" w:color="auto"/>
              <w:left w:val="single" w:sz="4" w:space="0" w:color="auto"/>
              <w:bottom w:val="single" w:sz="4" w:space="0" w:color="auto"/>
              <w:right w:val="single" w:sz="4" w:space="0" w:color="auto"/>
            </w:tcBorders>
            <w:shd w:val="clear" w:color="000000" w:fill="9BC2E6"/>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6"/>
                <w:szCs w:val="16"/>
                <w:lang w:val="sr-Cyrl-RS"/>
              </w:rPr>
            </w:pPr>
            <w:r w:rsidRPr="0081082A">
              <w:rPr>
                <w:rFonts w:ascii="Times New Roman" w:eastAsia="Times New Roman" w:hAnsi="Times New Roman" w:cs="Times New Roman"/>
                <w:color w:val="000000"/>
                <w:sz w:val="16"/>
                <w:szCs w:val="16"/>
                <w:lang w:val="sr-Cyrl-RS"/>
              </w:rPr>
              <w:t>Стратегија управљања јавним дугом</w:t>
            </w:r>
          </w:p>
          <w:p w:rsidR="00ED6797" w:rsidRPr="0081082A" w:rsidRDefault="00ED6797" w:rsidP="00444084">
            <w:pPr>
              <w:spacing w:before="0" w:after="0" w:line="240" w:lineRule="auto"/>
              <w:rPr>
                <w:rFonts w:ascii="Times New Roman" w:eastAsia="Times New Roman" w:hAnsi="Times New Roman" w:cs="Times New Roman"/>
                <w:color w:val="000000"/>
                <w:sz w:val="14"/>
                <w:szCs w:val="14"/>
                <w:lang w:val="sr-Cyrl-RS"/>
              </w:rPr>
            </w:pPr>
          </w:p>
        </w:tc>
        <w:tc>
          <w:tcPr>
            <w:tcW w:w="444" w:type="pct"/>
            <w:vMerge w:val="restart"/>
            <w:tcBorders>
              <w:top w:val="nil"/>
              <w:left w:val="single" w:sz="4" w:space="0" w:color="auto"/>
              <w:bottom w:val="single" w:sz="4" w:space="0" w:color="000000"/>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Преговарачко поглавље 5</w:t>
            </w:r>
          </w:p>
        </w:tc>
        <w:tc>
          <w:tcPr>
            <w:tcW w:w="374" w:type="pct"/>
            <w:vMerge/>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rPr>
                <w:rFonts w:ascii="Times New Roman" w:eastAsia="Times New Roman" w:hAnsi="Times New Roman" w:cs="Times New Roman"/>
                <w:sz w:val="14"/>
                <w:szCs w:val="14"/>
                <w:lang w:val="sr-Cyrl-RS"/>
              </w:rPr>
            </w:pPr>
          </w:p>
        </w:tc>
        <w:tc>
          <w:tcPr>
            <w:tcW w:w="430" w:type="pct"/>
            <w:vMerge w:val="restart"/>
            <w:tcBorders>
              <w:top w:val="nil"/>
              <w:left w:val="single" w:sz="4" w:space="0" w:color="auto"/>
              <w:right w:val="single" w:sz="4" w:space="0" w:color="auto"/>
            </w:tcBorders>
            <w:shd w:val="clear" w:color="auto" w:fill="9CC2E5" w:themeFill="accent1"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sz w:val="16"/>
                <w:szCs w:val="16"/>
                <w:lang w:val="sr-Cyrl-RS"/>
              </w:rPr>
            </w:pPr>
            <w:r w:rsidRPr="0081082A">
              <w:rPr>
                <w:rFonts w:ascii="Times New Roman" w:eastAsia="Times New Roman" w:hAnsi="Times New Roman" w:cs="Times New Roman"/>
                <w:sz w:val="16"/>
                <w:szCs w:val="16"/>
                <w:lang w:val="sr-Cyrl-RS"/>
              </w:rPr>
              <w:t>Стратешки план буџетске инспекције Министарства финансија за период 2021-2026</w:t>
            </w:r>
          </w:p>
          <w:p w:rsidR="00ED6797" w:rsidRPr="0081082A" w:rsidRDefault="00ED6797" w:rsidP="00444084">
            <w:pPr>
              <w:spacing w:before="0" w:after="0" w:line="240" w:lineRule="auto"/>
              <w:jc w:val="center"/>
              <w:rPr>
                <w:rFonts w:ascii="Times New Roman" w:eastAsia="Times New Roman" w:hAnsi="Times New Roman" w:cs="Times New Roman"/>
                <w:sz w:val="16"/>
                <w:szCs w:val="16"/>
                <w:highlight w:val="green"/>
                <w:lang w:val="sr-Cyrl-RS"/>
              </w:rPr>
            </w:pPr>
          </w:p>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sz w:val="16"/>
                <w:szCs w:val="16"/>
                <w:lang w:val="sr-Cyrl-RS"/>
              </w:rPr>
              <w:t>Стратегија за сузбијање неправилности и превара у поступању са финансијским средствима Европске уније у Републици Србији</w:t>
            </w:r>
          </w:p>
        </w:tc>
        <w:tc>
          <w:tcPr>
            <w:tcW w:w="429" w:type="pct"/>
            <w:vMerge w:val="restart"/>
            <w:tcBorders>
              <w:top w:val="nil"/>
              <w:left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rPr>
                <w:rFonts w:ascii="Times New Roman" w:eastAsia="Times New Roman" w:hAnsi="Times New Roman" w:cs="Times New Roman"/>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sz w:val="14"/>
                <w:szCs w:val="14"/>
                <w:lang w:val="sr-Cyrl-RS"/>
              </w:rPr>
              <w:t>Преговарачка поглавља 32 и 22</w:t>
            </w:r>
          </w:p>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color w:val="000000"/>
                <w:sz w:val="14"/>
                <w:szCs w:val="14"/>
                <w:lang w:val="sr-Cyrl-RS"/>
              </w:rPr>
              <w:t>Преговарачко поглавље 23</w:t>
            </w:r>
          </w:p>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p>
        </w:tc>
        <w:tc>
          <w:tcPr>
            <w:tcW w:w="657" w:type="pct"/>
            <w:tcBorders>
              <w:top w:val="nil"/>
              <w:left w:val="nil"/>
              <w:bottom w:val="single" w:sz="4" w:space="0" w:color="auto"/>
              <w:right w:val="single" w:sz="4" w:space="0" w:color="auto"/>
            </w:tcBorders>
            <w:shd w:val="clear" w:color="auto" w:fill="4472C4" w:themeFill="accent5"/>
            <w:vAlign w:val="center"/>
            <w:hideMark/>
          </w:tcPr>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sz w:val="14"/>
                <w:szCs w:val="14"/>
                <w:lang w:val="sr-Cyrl-RS"/>
              </w:rPr>
              <w:t>Програм економских реформи 2021-2023</w:t>
            </w:r>
          </w:p>
        </w:tc>
        <w:tc>
          <w:tcPr>
            <w:tcW w:w="656" w:type="pct"/>
            <w:tcBorders>
              <w:top w:val="nil"/>
              <w:left w:val="nil"/>
              <w:bottom w:val="single" w:sz="4" w:space="0" w:color="auto"/>
              <w:right w:val="single" w:sz="4" w:space="0" w:color="auto"/>
            </w:tcBorders>
            <w:shd w:val="clear" w:color="auto" w:fill="F4B083" w:themeFill="accent2" w:themeFillTint="99"/>
          </w:tcPr>
          <w:p w:rsidR="00ED6797" w:rsidRDefault="00ED6797" w:rsidP="00444084">
            <w:pPr>
              <w:spacing w:before="0" w:after="0" w:line="240" w:lineRule="auto"/>
              <w:jc w:val="center"/>
              <w:rPr>
                <w:rFonts w:ascii="Times New Roman" w:eastAsia="Times New Roman" w:hAnsi="Times New Roman" w:cs="Times New Roman"/>
                <w:sz w:val="14"/>
                <w:szCs w:val="14"/>
                <w:lang w:val="sr-Cyrl-RS"/>
              </w:rPr>
            </w:pPr>
          </w:p>
          <w:p w:rsidR="00DB681A" w:rsidRDefault="00DB681A" w:rsidP="00444084">
            <w:pPr>
              <w:spacing w:before="0" w:after="0" w:line="240" w:lineRule="auto"/>
              <w:jc w:val="center"/>
              <w:rPr>
                <w:rFonts w:ascii="Times New Roman" w:eastAsia="Times New Roman" w:hAnsi="Times New Roman" w:cs="Times New Roman"/>
                <w:sz w:val="14"/>
                <w:szCs w:val="14"/>
                <w:lang w:val="sr-Cyrl-RS"/>
              </w:rPr>
            </w:pPr>
          </w:p>
          <w:p w:rsidR="00DB681A" w:rsidRDefault="00DB681A" w:rsidP="00444084">
            <w:pPr>
              <w:spacing w:before="0" w:after="0" w:line="240" w:lineRule="auto"/>
              <w:jc w:val="center"/>
              <w:rPr>
                <w:rFonts w:ascii="Times New Roman" w:eastAsia="Times New Roman" w:hAnsi="Times New Roman" w:cs="Times New Roman"/>
                <w:sz w:val="14"/>
                <w:szCs w:val="14"/>
                <w:lang w:val="sr-Cyrl-RS"/>
              </w:rPr>
            </w:pPr>
          </w:p>
          <w:p w:rsidR="00DB681A" w:rsidRDefault="00DB681A" w:rsidP="00444084">
            <w:pPr>
              <w:spacing w:before="0" w:after="0" w:line="240" w:lineRule="auto"/>
              <w:jc w:val="center"/>
              <w:rPr>
                <w:rFonts w:ascii="Times New Roman" w:eastAsia="Times New Roman" w:hAnsi="Times New Roman" w:cs="Times New Roman"/>
                <w:sz w:val="14"/>
                <w:szCs w:val="14"/>
              </w:rPr>
            </w:pPr>
          </w:p>
          <w:p w:rsidR="00EB6098" w:rsidRPr="00EB6098" w:rsidRDefault="00EB6098" w:rsidP="00444084">
            <w:pPr>
              <w:spacing w:before="0" w:after="0" w:line="240" w:lineRule="auto"/>
              <w:jc w:val="center"/>
              <w:rPr>
                <w:rFonts w:ascii="Times New Roman" w:eastAsia="Times New Roman" w:hAnsi="Times New Roman" w:cs="Times New Roman"/>
                <w:sz w:val="14"/>
                <w:szCs w:val="14"/>
              </w:rPr>
            </w:pPr>
          </w:p>
          <w:p w:rsidR="00DB681A" w:rsidRPr="0081082A" w:rsidRDefault="00DB681A" w:rsidP="00444084">
            <w:pPr>
              <w:spacing w:before="0" w:after="0" w:line="240" w:lineRule="auto"/>
              <w:jc w:val="center"/>
              <w:rPr>
                <w:rFonts w:ascii="Times New Roman" w:eastAsia="Times New Roman" w:hAnsi="Times New Roman" w:cs="Times New Roman"/>
                <w:sz w:val="14"/>
                <w:szCs w:val="14"/>
                <w:lang w:val="sr-Cyrl-RS"/>
              </w:rPr>
            </w:pPr>
            <w:r>
              <w:rPr>
                <w:rFonts w:ascii="Times New Roman" w:eastAsia="Times New Roman" w:hAnsi="Times New Roman" w:cs="Times New Roman"/>
                <w:sz w:val="14"/>
                <w:szCs w:val="14"/>
              </w:rPr>
              <w:t>П</w:t>
            </w:r>
            <w:r>
              <w:rPr>
                <w:rFonts w:ascii="Times New Roman" w:eastAsia="Times New Roman" w:hAnsi="Times New Roman" w:cs="Times New Roman"/>
                <w:sz w:val="14"/>
                <w:szCs w:val="14"/>
                <w:lang w:val="sr-Cyrl-RS"/>
              </w:rPr>
              <w:t>реговарачко п</w:t>
            </w:r>
            <w:r>
              <w:rPr>
                <w:rFonts w:ascii="Times New Roman" w:eastAsia="Times New Roman" w:hAnsi="Times New Roman" w:cs="Times New Roman"/>
                <w:sz w:val="14"/>
                <w:szCs w:val="14"/>
              </w:rPr>
              <w:t>оглавље 32</w:t>
            </w:r>
          </w:p>
        </w:tc>
      </w:tr>
      <w:tr w:rsidR="00ED6797" w:rsidRPr="0081082A" w:rsidTr="00444084">
        <w:trPr>
          <w:trHeight w:val="1034"/>
        </w:trPr>
        <w:tc>
          <w:tcPr>
            <w:tcW w:w="432" w:type="pct"/>
            <w:tcBorders>
              <w:top w:val="nil"/>
              <w:left w:val="single" w:sz="4" w:space="0" w:color="auto"/>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 xml:space="preserve">Преговарачка поглавља 17 и 33 </w:t>
            </w:r>
          </w:p>
        </w:tc>
        <w:tc>
          <w:tcPr>
            <w:tcW w:w="428" w:type="pct"/>
            <w:tcBorders>
              <w:top w:val="nil"/>
              <w:left w:val="nil"/>
              <w:bottom w:val="single" w:sz="4" w:space="0" w:color="auto"/>
              <w:right w:val="single" w:sz="4" w:space="0" w:color="auto"/>
            </w:tcBorders>
            <w:shd w:val="clear" w:color="auto" w:fill="4472C4" w:themeFill="accent5"/>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Акциони план за спровођење Програама Владе 2020-2022</w:t>
            </w: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План рада Владе за 2021. годину</w:t>
            </w:r>
          </w:p>
        </w:tc>
        <w:tc>
          <w:tcPr>
            <w:tcW w:w="397" w:type="pct"/>
            <w:tcBorders>
              <w:top w:val="nil"/>
              <w:left w:val="nil"/>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6"/>
                <w:szCs w:val="16"/>
                <w:lang w:val="sr-Cyrl-RS"/>
              </w:rPr>
            </w:pPr>
            <w:r w:rsidRPr="0081082A">
              <w:rPr>
                <w:rFonts w:ascii="Times New Roman" w:eastAsia="Times New Roman" w:hAnsi="Times New Roman" w:cs="Times New Roman"/>
                <w:color w:val="000000"/>
                <w:sz w:val="16"/>
                <w:szCs w:val="16"/>
                <w:lang w:val="sr-Cyrl-RS"/>
              </w:rPr>
              <w:t>Преговарачка поглавља 29, 33 и 17</w:t>
            </w: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tc>
        <w:tc>
          <w:tcPr>
            <w:tcW w:w="755" w:type="pct"/>
            <w:tcBorders>
              <w:top w:val="single" w:sz="4" w:space="0" w:color="auto"/>
              <w:left w:val="single" w:sz="4" w:space="0" w:color="auto"/>
              <w:bottom w:val="single" w:sz="4" w:space="0" w:color="auto"/>
              <w:right w:val="single" w:sz="4" w:space="0" w:color="auto"/>
            </w:tcBorders>
            <w:shd w:val="clear" w:color="000000" w:fill="9BC2E6"/>
            <w:vAlign w:val="center"/>
            <w:hideMark/>
          </w:tcPr>
          <w:p w:rsidR="00ED6797" w:rsidRPr="0081082A" w:rsidRDefault="00ED6797" w:rsidP="00444084">
            <w:pPr>
              <w:spacing w:before="0" w:after="0" w:line="240" w:lineRule="auto"/>
              <w:jc w:val="center"/>
              <w:rPr>
                <w:rFonts w:ascii="Times New Roman" w:eastAsia="Times New Roman" w:hAnsi="Times New Roman" w:cs="Times New Roman"/>
                <w:sz w:val="16"/>
                <w:szCs w:val="16"/>
                <w:lang w:val="sr-Cyrl-RS"/>
              </w:rPr>
            </w:pPr>
            <w:r w:rsidRPr="0081082A">
              <w:rPr>
                <w:rFonts w:ascii="Times New Roman" w:eastAsia="Times New Roman" w:hAnsi="Times New Roman" w:cs="Times New Roman"/>
                <w:color w:val="000000"/>
                <w:sz w:val="16"/>
                <w:szCs w:val="16"/>
                <w:lang w:val="sr-Cyrl-RS"/>
              </w:rPr>
              <w:t xml:space="preserve">Програм економских реформи </w:t>
            </w:r>
            <w:r w:rsidRPr="0081082A">
              <w:rPr>
                <w:rFonts w:ascii="Times New Roman" w:eastAsia="Times New Roman" w:hAnsi="Times New Roman" w:cs="Times New Roman"/>
                <w:sz w:val="16"/>
                <w:szCs w:val="16"/>
                <w:lang w:val="sr-Cyrl-RS"/>
              </w:rPr>
              <w:t xml:space="preserve">2021-2023 </w:t>
            </w:r>
            <w:r w:rsidRPr="0081082A">
              <w:rPr>
                <w:rFonts w:ascii="Times New Roman" w:eastAsia="Times New Roman" w:hAnsi="Times New Roman" w:cs="Times New Roman"/>
                <w:sz w:val="14"/>
                <w:szCs w:val="14"/>
                <w:lang w:val="sr-Cyrl-RS"/>
              </w:rPr>
              <w:t>(ЕРП)</w:t>
            </w:r>
          </w:p>
          <w:p w:rsidR="00ED6797" w:rsidRPr="0081082A" w:rsidRDefault="00ED6797" w:rsidP="00444084">
            <w:pPr>
              <w:spacing w:before="0" w:after="0" w:line="240" w:lineRule="auto"/>
              <w:rPr>
                <w:rFonts w:ascii="Times New Roman" w:eastAsia="Times New Roman" w:hAnsi="Times New Roman" w:cs="Times New Roman"/>
                <w:color w:val="000000"/>
                <w:sz w:val="14"/>
                <w:szCs w:val="14"/>
                <w:lang w:val="sr-Cyrl-RS"/>
              </w:rPr>
            </w:pPr>
          </w:p>
        </w:tc>
        <w:tc>
          <w:tcPr>
            <w:tcW w:w="444" w:type="pct"/>
            <w:vMerge/>
            <w:tcBorders>
              <w:top w:val="nil"/>
              <w:left w:val="single" w:sz="4" w:space="0" w:color="auto"/>
              <w:bottom w:val="single" w:sz="4" w:space="0" w:color="000000"/>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rPr>
                <w:rFonts w:ascii="Times New Roman" w:eastAsia="Times New Roman" w:hAnsi="Times New Roman" w:cs="Times New Roman"/>
                <w:color w:val="000000"/>
                <w:sz w:val="14"/>
                <w:szCs w:val="14"/>
                <w:lang w:val="sr-Cyrl-RS"/>
              </w:rPr>
            </w:pPr>
          </w:p>
        </w:tc>
        <w:tc>
          <w:tcPr>
            <w:tcW w:w="374" w:type="pct"/>
            <w:vMerge/>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rPr>
                <w:rFonts w:ascii="Times New Roman" w:eastAsia="Times New Roman" w:hAnsi="Times New Roman" w:cs="Times New Roman"/>
                <w:sz w:val="14"/>
                <w:szCs w:val="14"/>
                <w:lang w:val="sr-Cyrl-RS"/>
              </w:rPr>
            </w:pPr>
          </w:p>
        </w:tc>
        <w:tc>
          <w:tcPr>
            <w:tcW w:w="430" w:type="pct"/>
            <w:vMerge/>
            <w:tcBorders>
              <w:left w:val="single" w:sz="4" w:space="0" w:color="auto"/>
              <w:bottom w:val="single" w:sz="4" w:space="0" w:color="auto"/>
              <w:right w:val="single" w:sz="4" w:space="0" w:color="auto"/>
            </w:tcBorders>
            <w:shd w:val="clear" w:color="auto" w:fill="9CC2E5" w:themeFill="accent1" w:themeFillTint="99"/>
            <w:vAlign w:val="center"/>
            <w:hideMark/>
          </w:tcPr>
          <w:p w:rsidR="00ED6797" w:rsidRPr="0081082A" w:rsidRDefault="00ED6797" w:rsidP="00444084">
            <w:pPr>
              <w:spacing w:before="0" w:after="0" w:line="240" w:lineRule="auto"/>
              <w:rPr>
                <w:rFonts w:ascii="Times New Roman" w:eastAsia="Times New Roman" w:hAnsi="Times New Roman" w:cs="Times New Roman"/>
                <w:sz w:val="14"/>
                <w:szCs w:val="14"/>
                <w:lang w:val="sr-Cyrl-RS"/>
              </w:rPr>
            </w:pPr>
          </w:p>
        </w:tc>
        <w:tc>
          <w:tcPr>
            <w:tcW w:w="429" w:type="pct"/>
            <w:vMerge/>
            <w:tcBorders>
              <w:left w:val="single" w:sz="4" w:space="0" w:color="auto"/>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rPr>
                <w:rFonts w:ascii="Times New Roman" w:eastAsia="Times New Roman" w:hAnsi="Times New Roman" w:cs="Times New Roman"/>
                <w:sz w:val="14"/>
                <w:szCs w:val="14"/>
                <w:lang w:val="sr-Cyrl-RS"/>
              </w:rPr>
            </w:pPr>
          </w:p>
        </w:tc>
        <w:tc>
          <w:tcPr>
            <w:tcW w:w="657" w:type="pct"/>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sz w:val="14"/>
                <w:szCs w:val="14"/>
                <w:lang w:val="sr-Cyrl-RS"/>
              </w:rPr>
            </w:pPr>
            <w:r w:rsidRPr="0081082A">
              <w:rPr>
                <w:rFonts w:ascii="Times New Roman" w:eastAsia="Times New Roman" w:hAnsi="Times New Roman" w:cs="Times New Roman"/>
                <w:sz w:val="14"/>
                <w:szCs w:val="14"/>
                <w:lang w:val="sr-Cyrl-RS"/>
              </w:rPr>
              <w:t>Преговарачко поглавље 17</w:t>
            </w:r>
          </w:p>
        </w:tc>
        <w:tc>
          <w:tcPr>
            <w:tcW w:w="656" w:type="pct"/>
            <w:tcBorders>
              <w:top w:val="single" w:sz="4" w:space="0" w:color="auto"/>
              <w:left w:val="single" w:sz="4" w:space="0" w:color="auto"/>
              <w:bottom w:val="single" w:sz="4" w:space="0" w:color="auto"/>
              <w:right w:val="single" w:sz="4" w:space="0" w:color="auto"/>
            </w:tcBorders>
            <w:shd w:val="clear" w:color="auto" w:fill="F4B083" w:themeFill="accent2" w:themeFillTint="99"/>
          </w:tcPr>
          <w:p w:rsidR="00ED6797" w:rsidRDefault="00ED6797" w:rsidP="00444084">
            <w:pPr>
              <w:spacing w:before="0" w:after="0" w:line="240" w:lineRule="auto"/>
              <w:jc w:val="center"/>
              <w:rPr>
                <w:rFonts w:ascii="Times New Roman" w:eastAsia="Times New Roman" w:hAnsi="Times New Roman" w:cs="Times New Roman"/>
                <w:sz w:val="14"/>
                <w:szCs w:val="14"/>
                <w:lang w:val="sr-Cyrl-RS"/>
              </w:rPr>
            </w:pPr>
          </w:p>
          <w:p w:rsidR="00DB681A" w:rsidRDefault="00DB681A" w:rsidP="00444084">
            <w:pPr>
              <w:spacing w:before="0" w:after="0" w:line="240" w:lineRule="auto"/>
              <w:jc w:val="center"/>
              <w:rPr>
                <w:rFonts w:ascii="Times New Roman" w:eastAsia="Times New Roman" w:hAnsi="Times New Roman" w:cs="Times New Roman"/>
                <w:sz w:val="14"/>
                <w:szCs w:val="14"/>
                <w:lang w:val="sr-Cyrl-RS"/>
              </w:rPr>
            </w:pPr>
          </w:p>
          <w:p w:rsidR="00DB681A" w:rsidRDefault="00DB681A" w:rsidP="00444084">
            <w:pPr>
              <w:spacing w:before="0" w:after="0" w:line="240" w:lineRule="auto"/>
              <w:jc w:val="center"/>
              <w:rPr>
                <w:rFonts w:ascii="Times New Roman" w:eastAsia="Times New Roman" w:hAnsi="Times New Roman" w:cs="Times New Roman"/>
                <w:sz w:val="14"/>
                <w:szCs w:val="14"/>
                <w:lang w:val="sr-Cyrl-RS"/>
              </w:rPr>
            </w:pPr>
          </w:p>
          <w:p w:rsidR="00DB681A" w:rsidRDefault="00DB681A" w:rsidP="00444084">
            <w:pPr>
              <w:spacing w:before="0" w:after="0" w:line="240" w:lineRule="auto"/>
              <w:jc w:val="center"/>
              <w:rPr>
                <w:rFonts w:ascii="Times New Roman" w:eastAsia="Times New Roman" w:hAnsi="Times New Roman" w:cs="Times New Roman"/>
                <w:sz w:val="14"/>
                <w:szCs w:val="14"/>
              </w:rPr>
            </w:pPr>
          </w:p>
          <w:p w:rsidR="00EB6098" w:rsidRPr="00EB6098" w:rsidRDefault="00EB6098" w:rsidP="00444084">
            <w:pPr>
              <w:spacing w:before="0" w:after="0" w:line="240" w:lineRule="auto"/>
              <w:jc w:val="center"/>
              <w:rPr>
                <w:rFonts w:ascii="Times New Roman" w:eastAsia="Times New Roman" w:hAnsi="Times New Roman" w:cs="Times New Roman"/>
                <w:sz w:val="14"/>
                <w:szCs w:val="14"/>
              </w:rPr>
            </w:pPr>
          </w:p>
          <w:p w:rsidR="00DB681A" w:rsidRDefault="00DB681A" w:rsidP="00444084">
            <w:pPr>
              <w:spacing w:before="0" w:after="0" w:line="240" w:lineRule="auto"/>
              <w:jc w:val="center"/>
              <w:rPr>
                <w:rFonts w:ascii="Times New Roman" w:eastAsia="Times New Roman" w:hAnsi="Times New Roman" w:cs="Times New Roman"/>
                <w:sz w:val="14"/>
                <w:szCs w:val="14"/>
                <w:lang w:val="sr-Cyrl-RS"/>
              </w:rPr>
            </w:pPr>
            <w:r>
              <w:rPr>
                <w:rFonts w:ascii="Times New Roman" w:eastAsia="Times New Roman" w:hAnsi="Times New Roman" w:cs="Times New Roman"/>
                <w:color w:val="000000"/>
                <w:sz w:val="14"/>
                <w:szCs w:val="14"/>
                <w:lang w:val="sr-Cyrl-RS"/>
              </w:rPr>
              <w:t>Преговарачко</w:t>
            </w:r>
            <w:r>
              <w:rPr>
                <w:rFonts w:ascii="Times New Roman" w:eastAsia="Times New Roman" w:hAnsi="Times New Roman" w:cs="Times New Roman"/>
                <w:color w:val="000000"/>
                <w:sz w:val="14"/>
                <w:szCs w:val="14"/>
              </w:rPr>
              <w:t xml:space="preserve"> поглавље 23</w:t>
            </w:r>
          </w:p>
          <w:p w:rsidR="00DB681A" w:rsidRPr="0081082A" w:rsidRDefault="00DB681A" w:rsidP="00444084">
            <w:pPr>
              <w:spacing w:before="0" w:after="0" w:line="240" w:lineRule="auto"/>
              <w:rPr>
                <w:rFonts w:ascii="Times New Roman" w:eastAsia="Times New Roman" w:hAnsi="Times New Roman" w:cs="Times New Roman"/>
                <w:sz w:val="14"/>
                <w:szCs w:val="14"/>
                <w:lang w:val="sr-Cyrl-RS"/>
              </w:rPr>
            </w:pPr>
          </w:p>
        </w:tc>
      </w:tr>
      <w:tr w:rsidR="00ED6797" w:rsidRPr="0081082A" w:rsidTr="00444084">
        <w:trPr>
          <w:trHeight w:val="935"/>
        </w:trPr>
        <w:tc>
          <w:tcPr>
            <w:tcW w:w="432" w:type="pct"/>
            <w:vMerge w:val="restart"/>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Акциони план за Поглавље 22</w:t>
            </w: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Преговарачко поглавље 23</w:t>
            </w:r>
          </w:p>
        </w:tc>
        <w:tc>
          <w:tcPr>
            <w:tcW w:w="428" w:type="pct"/>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Преговарачко поглавље 16</w:t>
            </w: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Акциони план за поглавље 23</w:t>
            </w:r>
          </w:p>
        </w:tc>
        <w:tc>
          <w:tcPr>
            <w:tcW w:w="397" w:type="pct"/>
            <w:vMerge w:val="restart"/>
            <w:tcBorders>
              <w:top w:val="single" w:sz="4" w:space="0" w:color="auto"/>
              <w:left w:val="nil"/>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Преговарачко поглавље 23</w:t>
            </w: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Преговарачко поглавље 24</w:t>
            </w:r>
          </w:p>
        </w:tc>
        <w:tc>
          <w:tcPr>
            <w:tcW w:w="755" w:type="pct"/>
            <w:vMerge w:val="restart"/>
            <w:tcBorders>
              <w:top w:val="single" w:sz="4" w:space="0" w:color="auto"/>
              <w:left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rPr>
                <w:rFonts w:ascii="Times New Roman" w:eastAsia="Times New Roman" w:hAnsi="Times New Roman" w:cs="Times New Roman"/>
                <w:sz w:val="16"/>
                <w:szCs w:val="16"/>
                <w:lang w:val="sr-Cyrl-RS"/>
              </w:rPr>
            </w:pPr>
            <w:r w:rsidRPr="0081082A">
              <w:rPr>
                <w:rFonts w:ascii="Times New Roman" w:eastAsia="Times New Roman" w:hAnsi="Times New Roman" w:cs="Times New Roman"/>
                <w:sz w:val="16"/>
                <w:szCs w:val="16"/>
                <w:lang w:val="sr-Cyrl-RS"/>
              </w:rPr>
              <w:t>Преговарачко поглавље 17</w:t>
            </w:r>
          </w:p>
          <w:p w:rsidR="00ED6797" w:rsidRPr="0081082A" w:rsidRDefault="00ED6797" w:rsidP="00444084">
            <w:pPr>
              <w:spacing w:before="0" w:after="0" w:line="240" w:lineRule="auto"/>
              <w:rPr>
                <w:rFonts w:ascii="Times New Roman" w:eastAsia="Times New Roman" w:hAnsi="Times New Roman" w:cs="Times New Roman"/>
                <w:color w:val="000000"/>
                <w:sz w:val="14"/>
                <w:szCs w:val="14"/>
                <w:lang w:val="sr-Cyrl-RS"/>
              </w:rPr>
            </w:pPr>
          </w:p>
        </w:tc>
        <w:tc>
          <w:tcPr>
            <w:tcW w:w="444" w:type="pct"/>
            <w:vMerge w:val="restart"/>
            <w:tcBorders>
              <w:top w:val="nil"/>
              <w:left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color w:val="000000"/>
                <w:sz w:val="14"/>
                <w:szCs w:val="14"/>
                <w:lang w:val="sr-Cyrl-RS"/>
              </w:rPr>
              <w:t>Акциони план за Поглавље 22</w:t>
            </w:r>
          </w:p>
        </w:tc>
        <w:tc>
          <w:tcPr>
            <w:tcW w:w="374" w:type="pct"/>
            <w:vMerge/>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tc>
        <w:tc>
          <w:tcPr>
            <w:tcW w:w="430" w:type="pct"/>
            <w:vMerge w:val="restart"/>
            <w:tcBorders>
              <w:top w:val="single" w:sz="4" w:space="0" w:color="auto"/>
              <w:left w:val="single" w:sz="4" w:space="0" w:color="auto"/>
              <w:bottom w:val="single" w:sz="4" w:space="0" w:color="auto"/>
              <w:right w:val="single" w:sz="4" w:space="0" w:color="auto"/>
            </w:tcBorders>
            <w:shd w:val="clear" w:color="000000" w:fill="F4B084"/>
            <w:vAlign w:val="center"/>
            <w:hideMark/>
          </w:tcPr>
          <w:p w:rsidR="00ED6797" w:rsidRPr="0081082A" w:rsidRDefault="00ED6797" w:rsidP="00444084">
            <w:pPr>
              <w:spacing w:before="0" w:after="0" w:line="240" w:lineRule="auto"/>
              <w:jc w:val="center"/>
              <w:rPr>
                <w:rFonts w:ascii="Times New Roman" w:eastAsia="Times New Roman" w:hAnsi="Times New Roman" w:cs="Times New Roman"/>
                <w:color w:val="000000"/>
                <w:sz w:val="16"/>
                <w:szCs w:val="16"/>
                <w:lang w:val="sr-Cyrl-RS"/>
              </w:rPr>
            </w:pPr>
            <w:r w:rsidRPr="0081082A">
              <w:rPr>
                <w:rFonts w:ascii="Times New Roman" w:eastAsia="Times New Roman" w:hAnsi="Times New Roman" w:cs="Times New Roman"/>
                <w:color w:val="000000"/>
                <w:sz w:val="16"/>
                <w:szCs w:val="16"/>
                <w:lang w:val="sr-Cyrl-RS"/>
              </w:rPr>
              <w:t>Преговарачко поглавље 32</w:t>
            </w:r>
          </w:p>
          <w:p w:rsidR="00ED6797" w:rsidRPr="0081082A" w:rsidRDefault="00ED6797" w:rsidP="00444084">
            <w:pPr>
              <w:spacing w:before="0" w:after="0" w:line="240" w:lineRule="auto"/>
              <w:rPr>
                <w:rFonts w:ascii="Times New Roman" w:eastAsia="Times New Roman" w:hAnsi="Times New Roman" w:cs="Times New Roman"/>
                <w:color w:val="000000"/>
                <w:sz w:val="14"/>
                <w:szCs w:val="14"/>
                <w:lang w:val="sr-Cyrl-RS"/>
              </w:rPr>
            </w:pPr>
          </w:p>
        </w:tc>
        <w:tc>
          <w:tcPr>
            <w:tcW w:w="429" w:type="pct"/>
            <w:tcBorders>
              <w:top w:val="single" w:sz="4" w:space="0" w:color="auto"/>
              <w:left w:val="single" w:sz="4" w:space="0" w:color="auto"/>
              <w:bottom w:val="single" w:sz="4" w:space="0" w:color="auto"/>
              <w:right w:val="single" w:sz="4" w:space="0" w:color="auto"/>
            </w:tcBorders>
            <w:shd w:val="clear" w:color="auto" w:fill="A8D08D" w:themeFill="accent6" w:themeFillTint="99"/>
            <w:vAlign w:val="center"/>
            <w:hideMark/>
          </w:tcPr>
          <w:p w:rsidR="00ED6797" w:rsidRPr="0081082A" w:rsidRDefault="00ED6797" w:rsidP="00444084">
            <w:pPr>
              <w:spacing w:before="0" w:after="0" w:line="240" w:lineRule="auto"/>
              <w:rPr>
                <w:rFonts w:ascii="Times New Roman" w:eastAsia="Times New Roman" w:hAnsi="Times New Roman" w:cs="Times New Roman"/>
                <w:i/>
                <w:color w:val="000000"/>
                <w:sz w:val="14"/>
                <w:szCs w:val="14"/>
                <w:lang w:val="sr-Cyrl-RS"/>
              </w:rPr>
            </w:pPr>
          </w:p>
          <w:p w:rsidR="00ED6797" w:rsidRPr="0081082A" w:rsidRDefault="00ED6797" w:rsidP="00444084">
            <w:pPr>
              <w:spacing w:before="0" w:after="0" w:line="240" w:lineRule="auto"/>
              <w:rPr>
                <w:rFonts w:ascii="Times New Roman" w:eastAsia="Times New Roman" w:hAnsi="Times New Roman" w:cs="Times New Roman"/>
                <w:i/>
                <w:color w:val="000000"/>
                <w:sz w:val="14"/>
                <w:szCs w:val="14"/>
                <w:lang w:val="sr-Cyrl-RS"/>
              </w:rPr>
            </w:pPr>
            <w:r w:rsidRPr="0081082A">
              <w:rPr>
                <w:rFonts w:ascii="Times New Roman" w:eastAsia="Times New Roman" w:hAnsi="Times New Roman" w:cs="Times New Roman"/>
                <w:i/>
                <w:color w:val="000000"/>
                <w:sz w:val="14"/>
                <w:szCs w:val="14"/>
                <w:lang w:val="sr-Cyrl-RS"/>
              </w:rPr>
              <w:t>COSO оквир</w:t>
            </w:r>
          </w:p>
        </w:tc>
        <w:tc>
          <w:tcPr>
            <w:tcW w:w="657" w:type="pct"/>
            <w:vMerge w:val="restart"/>
            <w:tcBorders>
              <w:top w:val="single" w:sz="4" w:space="0" w:color="auto"/>
              <w:left w:val="single" w:sz="4" w:space="0" w:color="auto"/>
              <w:bottom w:val="single" w:sz="4" w:space="0" w:color="auto"/>
              <w:right w:val="single" w:sz="4" w:space="0" w:color="auto"/>
            </w:tcBorders>
            <w:shd w:val="clear" w:color="auto" w:fill="A8D08D" w:themeFill="accent6" w:themeFillTint="99"/>
            <w:vAlign w:val="center"/>
            <w:hideMark/>
          </w:tcPr>
          <w:p w:rsidR="00ED6797" w:rsidRPr="0081082A" w:rsidRDefault="00ED6797" w:rsidP="00444084">
            <w:pPr>
              <w:spacing w:before="0" w:after="0" w:line="240" w:lineRule="auto"/>
              <w:rPr>
                <w:rFonts w:ascii="Times New Roman" w:eastAsia="Times New Roman" w:hAnsi="Times New Roman" w:cs="Times New Roman"/>
                <w:i/>
                <w:color w:val="000000"/>
                <w:sz w:val="14"/>
                <w:szCs w:val="14"/>
                <w:lang w:val="sr-Cyrl-RS"/>
              </w:rPr>
            </w:pPr>
            <w:r w:rsidRPr="0081082A">
              <w:rPr>
                <w:rFonts w:ascii="Times New Roman" w:eastAsia="Times New Roman" w:hAnsi="Times New Roman" w:cs="Times New Roman"/>
                <w:i/>
                <w:color w:val="000000"/>
                <w:sz w:val="14"/>
                <w:szCs w:val="14"/>
                <w:lang w:val="sr-Cyrl-RS"/>
              </w:rPr>
              <w:t>IPSAS (Међународни рачуноводствени стандарди за јавни сектор)</w:t>
            </w:r>
          </w:p>
        </w:tc>
        <w:tc>
          <w:tcPr>
            <w:tcW w:w="656" w:type="pct"/>
            <w:tcBorders>
              <w:top w:val="single" w:sz="4" w:space="0" w:color="auto"/>
              <w:left w:val="single" w:sz="4" w:space="0" w:color="auto"/>
              <w:bottom w:val="single" w:sz="4" w:space="0" w:color="auto"/>
              <w:right w:val="single" w:sz="4" w:space="0" w:color="auto"/>
            </w:tcBorders>
            <w:shd w:val="clear" w:color="auto" w:fill="A8D08D" w:themeFill="accent6" w:themeFillTint="99"/>
          </w:tcPr>
          <w:p w:rsidR="00ED6797" w:rsidRDefault="00ED6797" w:rsidP="00444084">
            <w:pPr>
              <w:spacing w:before="0" w:after="0" w:line="240" w:lineRule="auto"/>
              <w:rPr>
                <w:rFonts w:ascii="Times New Roman" w:eastAsia="Times New Roman" w:hAnsi="Times New Roman" w:cs="Times New Roman"/>
                <w:i/>
                <w:color w:val="000000"/>
                <w:sz w:val="14"/>
                <w:szCs w:val="14"/>
              </w:rPr>
            </w:pPr>
          </w:p>
          <w:p w:rsidR="00EB6098" w:rsidRPr="00EB6098" w:rsidRDefault="00EB6098" w:rsidP="00444084">
            <w:pPr>
              <w:spacing w:before="0" w:after="0" w:line="240" w:lineRule="auto"/>
              <w:rPr>
                <w:rFonts w:ascii="Times New Roman" w:eastAsia="Times New Roman" w:hAnsi="Times New Roman" w:cs="Times New Roman"/>
                <w:i/>
                <w:color w:val="000000"/>
                <w:sz w:val="14"/>
                <w:szCs w:val="14"/>
              </w:rPr>
            </w:pPr>
          </w:p>
          <w:p w:rsidR="00DB681A" w:rsidRPr="0081082A" w:rsidRDefault="00DB681A" w:rsidP="00444084">
            <w:pPr>
              <w:spacing w:before="0" w:after="0" w:line="240" w:lineRule="auto"/>
              <w:rPr>
                <w:rFonts w:ascii="Times New Roman" w:eastAsia="Times New Roman" w:hAnsi="Times New Roman" w:cs="Times New Roman"/>
                <w:i/>
                <w:color w:val="000000"/>
                <w:sz w:val="14"/>
                <w:szCs w:val="14"/>
                <w:lang w:val="sr-Cyrl-RS"/>
              </w:rPr>
            </w:pPr>
            <w:r>
              <w:rPr>
                <w:rFonts w:ascii="Times New Roman" w:eastAsia="Times New Roman" w:hAnsi="Times New Roman" w:cs="Times New Roman"/>
                <w:i/>
                <w:color w:val="000000"/>
                <w:sz w:val="14"/>
                <w:szCs w:val="14"/>
              </w:rPr>
              <w:t>INTOSAI</w:t>
            </w:r>
            <w:r>
              <w:rPr>
                <w:rFonts w:ascii="Times New Roman" w:eastAsia="Times New Roman" w:hAnsi="Times New Roman" w:cs="Times New Roman"/>
                <w:i/>
                <w:color w:val="000000"/>
                <w:sz w:val="14"/>
                <w:szCs w:val="14"/>
                <w:lang w:val="sr-Cyrl-RS"/>
              </w:rPr>
              <w:t xml:space="preserve"> (Међународна организација врховних ревизорских институција)</w:t>
            </w:r>
          </w:p>
        </w:tc>
      </w:tr>
      <w:tr w:rsidR="00ED6797" w:rsidRPr="0081082A" w:rsidTr="00444084">
        <w:trPr>
          <w:trHeight w:val="709"/>
        </w:trPr>
        <w:tc>
          <w:tcPr>
            <w:tcW w:w="432" w:type="pct"/>
            <w:vMerge/>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tc>
        <w:tc>
          <w:tcPr>
            <w:tcW w:w="428" w:type="pct"/>
            <w:tcBorders>
              <w:top w:val="single" w:sz="4" w:space="0" w:color="auto"/>
              <w:left w:val="single" w:sz="4" w:space="0" w:color="auto"/>
              <w:bottom w:val="single" w:sz="4" w:space="0" w:color="000000"/>
              <w:right w:val="single" w:sz="4" w:space="0" w:color="auto"/>
            </w:tcBorders>
            <w:shd w:val="clear" w:color="auto" w:fill="A8D08D" w:themeFill="accent6" w:themeFillTint="99"/>
            <w:vAlign w:val="center"/>
          </w:tcPr>
          <w:p w:rsidR="00ED6797" w:rsidRPr="0081082A" w:rsidRDefault="00ED6797" w:rsidP="00444084">
            <w:pPr>
              <w:spacing w:before="0" w:after="0" w:line="240" w:lineRule="auto"/>
              <w:jc w:val="center"/>
              <w:rPr>
                <w:rFonts w:ascii="Times New Roman" w:eastAsia="Times New Roman" w:hAnsi="Times New Roman" w:cs="Times New Roman"/>
                <w:i/>
                <w:color w:val="000000"/>
                <w:sz w:val="14"/>
                <w:szCs w:val="14"/>
                <w:lang w:val="sr-Cyrl-RS"/>
              </w:rPr>
            </w:pPr>
            <w:r w:rsidRPr="0081082A">
              <w:rPr>
                <w:rFonts w:ascii="Times New Roman" w:eastAsia="Times New Roman" w:hAnsi="Times New Roman" w:cs="Times New Roman"/>
                <w:i/>
                <w:color w:val="000000"/>
                <w:sz w:val="14"/>
                <w:szCs w:val="14"/>
                <w:lang w:val="sr-Cyrl-RS"/>
              </w:rPr>
              <w:t>BEPS (Ерозија основице и преусмеравање добити)</w:t>
            </w:r>
          </w:p>
        </w:tc>
        <w:tc>
          <w:tcPr>
            <w:tcW w:w="397" w:type="pct"/>
            <w:vMerge/>
            <w:tcBorders>
              <w:top w:val="single" w:sz="4" w:space="0" w:color="auto"/>
              <w:left w:val="nil"/>
              <w:right w:val="single" w:sz="4" w:space="0" w:color="auto"/>
            </w:tcBorders>
            <w:shd w:val="clear" w:color="auto" w:fill="F4B083" w:themeFill="accent2" w:themeFillTint="99"/>
            <w:vAlign w:val="center"/>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tc>
        <w:tc>
          <w:tcPr>
            <w:tcW w:w="755" w:type="pct"/>
            <w:vMerge/>
            <w:tcBorders>
              <w:left w:val="single" w:sz="4" w:space="0" w:color="auto"/>
              <w:bottom w:val="single" w:sz="4" w:space="0" w:color="auto"/>
              <w:right w:val="single" w:sz="4" w:space="0" w:color="auto"/>
            </w:tcBorders>
            <w:shd w:val="clear" w:color="auto" w:fill="F4B083" w:themeFill="accent2" w:themeFillTint="99"/>
            <w:vAlign w:val="center"/>
          </w:tcPr>
          <w:p w:rsidR="00ED6797" w:rsidRPr="0081082A" w:rsidRDefault="00ED6797" w:rsidP="00444084">
            <w:pPr>
              <w:spacing w:before="0" w:after="0" w:line="240" w:lineRule="auto"/>
              <w:rPr>
                <w:rFonts w:ascii="Times New Roman" w:eastAsia="Times New Roman" w:hAnsi="Times New Roman" w:cs="Times New Roman"/>
                <w:color w:val="000000"/>
                <w:sz w:val="14"/>
                <w:szCs w:val="14"/>
                <w:lang w:val="sr-Cyrl-RS"/>
              </w:rPr>
            </w:pPr>
          </w:p>
        </w:tc>
        <w:tc>
          <w:tcPr>
            <w:tcW w:w="444" w:type="pct"/>
            <w:vMerge/>
            <w:tcBorders>
              <w:left w:val="single" w:sz="4" w:space="0" w:color="auto"/>
              <w:bottom w:val="single" w:sz="4" w:space="0" w:color="auto"/>
              <w:right w:val="single" w:sz="4" w:space="0" w:color="auto"/>
            </w:tcBorders>
            <w:shd w:val="clear" w:color="auto" w:fill="F4B083" w:themeFill="accent2" w:themeFillTint="99"/>
            <w:vAlign w:val="center"/>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tc>
        <w:tc>
          <w:tcPr>
            <w:tcW w:w="374" w:type="pct"/>
            <w:vMerge/>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tcPr>
          <w:p w:rsidR="00ED6797" w:rsidRPr="0081082A" w:rsidRDefault="00ED6797" w:rsidP="00444084">
            <w:pPr>
              <w:spacing w:before="0" w:after="0" w:line="240" w:lineRule="auto"/>
              <w:jc w:val="center"/>
              <w:rPr>
                <w:rFonts w:ascii="Times New Roman" w:eastAsia="Times New Roman" w:hAnsi="Times New Roman" w:cs="Times New Roman"/>
                <w:color w:val="000000"/>
                <w:sz w:val="14"/>
                <w:szCs w:val="14"/>
                <w:lang w:val="sr-Cyrl-RS"/>
              </w:rPr>
            </w:pPr>
          </w:p>
        </w:tc>
        <w:tc>
          <w:tcPr>
            <w:tcW w:w="430" w:type="pct"/>
            <w:vMerge/>
            <w:tcBorders>
              <w:top w:val="single" w:sz="4" w:space="0" w:color="auto"/>
              <w:left w:val="single" w:sz="4" w:space="0" w:color="auto"/>
              <w:bottom w:val="single" w:sz="4" w:space="0" w:color="auto"/>
              <w:right w:val="single" w:sz="4" w:space="0" w:color="auto"/>
            </w:tcBorders>
            <w:vAlign w:val="center"/>
          </w:tcPr>
          <w:p w:rsidR="00ED6797" w:rsidRPr="0081082A" w:rsidRDefault="00ED6797" w:rsidP="00444084">
            <w:pPr>
              <w:spacing w:before="0" w:after="0" w:line="240" w:lineRule="auto"/>
              <w:rPr>
                <w:rFonts w:ascii="Times New Roman" w:eastAsia="Times New Roman" w:hAnsi="Times New Roman" w:cs="Times New Roman"/>
                <w:color w:val="000000"/>
                <w:sz w:val="14"/>
                <w:szCs w:val="14"/>
                <w:lang w:val="sr-Cyrl-RS"/>
              </w:rPr>
            </w:pPr>
          </w:p>
        </w:tc>
        <w:tc>
          <w:tcPr>
            <w:tcW w:w="429" w:type="pct"/>
            <w:tcBorders>
              <w:top w:val="single" w:sz="4" w:space="0" w:color="auto"/>
              <w:left w:val="single" w:sz="4" w:space="0" w:color="auto"/>
              <w:bottom w:val="single" w:sz="4" w:space="0" w:color="auto"/>
              <w:right w:val="single" w:sz="4" w:space="0" w:color="auto"/>
            </w:tcBorders>
            <w:shd w:val="clear" w:color="auto" w:fill="A8D08D" w:themeFill="accent6" w:themeFillTint="99"/>
            <w:vAlign w:val="center"/>
          </w:tcPr>
          <w:p w:rsidR="00ED6797" w:rsidRPr="0081082A" w:rsidRDefault="00ED6797" w:rsidP="00444084">
            <w:pPr>
              <w:spacing w:before="0" w:after="0" w:line="240" w:lineRule="auto"/>
              <w:rPr>
                <w:rFonts w:ascii="Times New Roman" w:eastAsia="Times New Roman" w:hAnsi="Times New Roman" w:cs="Times New Roman"/>
                <w:color w:val="000000"/>
                <w:sz w:val="14"/>
                <w:szCs w:val="14"/>
                <w:lang w:val="sr-Cyrl-RS"/>
              </w:rPr>
            </w:pPr>
            <w:r w:rsidRPr="0081082A">
              <w:rPr>
                <w:rFonts w:ascii="Times New Roman" w:eastAsia="Times New Roman" w:hAnsi="Times New Roman" w:cs="Times New Roman"/>
                <w:i/>
                <w:color w:val="000000"/>
                <w:sz w:val="14"/>
                <w:szCs w:val="14"/>
                <w:lang w:val="sr-Cyrl-RS"/>
              </w:rPr>
              <w:t>NTOSAI (Међународна организација врховних ревизорских институција)</w:t>
            </w:r>
          </w:p>
        </w:tc>
        <w:tc>
          <w:tcPr>
            <w:tcW w:w="657" w:type="pct"/>
            <w:vMerge/>
            <w:tcBorders>
              <w:top w:val="single" w:sz="4" w:space="0" w:color="auto"/>
              <w:left w:val="single" w:sz="4" w:space="0" w:color="auto"/>
              <w:bottom w:val="single" w:sz="4" w:space="0" w:color="auto"/>
              <w:right w:val="single" w:sz="4" w:space="0" w:color="auto"/>
            </w:tcBorders>
            <w:shd w:val="clear" w:color="auto" w:fill="A8D08D" w:themeFill="accent6" w:themeFillTint="99"/>
            <w:vAlign w:val="center"/>
          </w:tcPr>
          <w:p w:rsidR="00ED6797" w:rsidRPr="0081082A" w:rsidRDefault="00ED6797" w:rsidP="00444084">
            <w:pPr>
              <w:spacing w:before="0" w:after="0" w:line="240" w:lineRule="auto"/>
              <w:rPr>
                <w:rFonts w:ascii="Times New Roman" w:eastAsia="Times New Roman" w:hAnsi="Times New Roman" w:cs="Times New Roman"/>
                <w:color w:val="000000"/>
                <w:sz w:val="14"/>
                <w:szCs w:val="14"/>
                <w:lang w:val="sr-Cyrl-RS"/>
              </w:rPr>
            </w:pPr>
          </w:p>
        </w:tc>
        <w:tc>
          <w:tcPr>
            <w:tcW w:w="656" w:type="pct"/>
            <w:tcBorders>
              <w:top w:val="single" w:sz="4" w:space="0" w:color="auto"/>
              <w:left w:val="single" w:sz="4" w:space="0" w:color="auto"/>
              <w:bottom w:val="single" w:sz="4" w:space="0" w:color="auto"/>
              <w:right w:val="single" w:sz="4" w:space="0" w:color="auto"/>
            </w:tcBorders>
            <w:shd w:val="clear" w:color="auto" w:fill="A8D08D" w:themeFill="accent6" w:themeFillTint="99"/>
          </w:tcPr>
          <w:p w:rsidR="00DB681A" w:rsidRDefault="00DB681A" w:rsidP="00444084">
            <w:pPr>
              <w:spacing w:before="0" w:after="0" w:line="240" w:lineRule="auto"/>
              <w:rPr>
                <w:rFonts w:ascii="Times New Roman" w:eastAsia="Times New Roman" w:hAnsi="Times New Roman" w:cs="Times New Roman"/>
                <w:color w:val="000000"/>
                <w:sz w:val="14"/>
                <w:szCs w:val="14"/>
                <w:lang w:val="sr-Cyrl-RS"/>
              </w:rPr>
            </w:pPr>
          </w:p>
          <w:p w:rsidR="00DB681A" w:rsidRPr="0081082A" w:rsidRDefault="00DB681A" w:rsidP="00444084">
            <w:pPr>
              <w:spacing w:before="0" w:after="0" w:line="240" w:lineRule="auto"/>
              <w:rPr>
                <w:rFonts w:ascii="Times New Roman" w:eastAsia="Times New Roman" w:hAnsi="Times New Roman" w:cs="Times New Roman"/>
                <w:color w:val="000000"/>
                <w:sz w:val="14"/>
                <w:szCs w:val="14"/>
                <w:lang w:val="sr-Cyrl-RS"/>
              </w:rPr>
            </w:pPr>
            <w:r>
              <w:rPr>
                <w:rFonts w:ascii="Times New Roman" w:eastAsia="Times New Roman" w:hAnsi="Times New Roman" w:cs="Times New Roman"/>
                <w:i/>
                <w:color w:val="000000"/>
                <w:sz w:val="14"/>
                <w:szCs w:val="14"/>
              </w:rPr>
              <w:t>EUROSAI</w:t>
            </w:r>
            <w:r>
              <w:rPr>
                <w:rFonts w:ascii="Times New Roman" w:eastAsia="Times New Roman" w:hAnsi="Times New Roman" w:cs="Times New Roman"/>
                <w:i/>
                <w:color w:val="000000"/>
                <w:sz w:val="14"/>
                <w:szCs w:val="14"/>
                <w:lang w:val="sr-Cyrl-RS"/>
              </w:rPr>
              <w:t xml:space="preserve"> (Европска организација врховних ревизорских институција)</w:t>
            </w:r>
          </w:p>
        </w:tc>
      </w:tr>
    </w:tbl>
    <w:p w:rsidR="00CF400C" w:rsidRPr="00444084" w:rsidRDefault="00441572" w:rsidP="00444084">
      <w:pPr>
        <w:spacing w:before="0" w:after="0" w:line="240" w:lineRule="auto"/>
        <w:ind w:left="426"/>
        <w:jc w:val="both"/>
        <w:rPr>
          <w:rFonts w:ascii="Times New Roman" w:eastAsia="Calibri" w:hAnsi="Times New Roman" w:cs="Times New Roman"/>
          <w:b/>
          <w:bCs/>
          <w:sz w:val="24"/>
          <w:lang w:val="sr-Cyrl-RS"/>
        </w:rPr>
        <w:sectPr w:rsidR="00CF400C" w:rsidRPr="00444084" w:rsidSect="005B6C61">
          <w:headerReference w:type="default" r:id="rId13"/>
          <w:footerReference w:type="default" r:id="rId14"/>
          <w:pgSz w:w="16838" w:h="11906" w:orient="landscape"/>
          <w:pgMar w:top="1440" w:right="1440" w:bottom="1440" w:left="1440" w:header="576" w:footer="576" w:gutter="0"/>
          <w:cols w:space="720"/>
          <w:docGrid w:linePitch="360"/>
        </w:sectPr>
      </w:pPr>
      <w:r w:rsidRPr="00444084">
        <w:rPr>
          <w:rFonts w:ascii="Times New Roman" w:eastAsia="Times New Roman" w:hAnsi="Times New Roman" w:cs="Times New Roman"/>
          <w:noProof/>
          <w:sz w:val="24"/>
          <w:szCs w:val="24"/>
        </w:rPr>
        <mc:AlternateContent>
          <mc:Choice Requires="wps">
            <w:drawing>
              <wp:anchor distT="0" distB="0" distL="114300" distR="114300" simplePos="0" relativeHeight="251697152" behindDoc="0" locked="0" layoutInCell="1" allowOverlap="1" wp14:anchorId="3EF9C166" wp14:editId="0E7D2C31">
                <wp:simplePos x="0" y="0"/>
                <wp:positionH relativeFrom="column">
                  <wp:posOffset>295275</wp:posOffset>
                </wp:positionH>
                <wp:positionV relativeFrom="paragraph">
                  <wp:posOffset>-885825</wp:posOffset>
                </wp:positionV>
                <wp:extent cx="1155065" cy="790575"/>
                <wp:effectExtent l="0" t="0" r="6985" b="9525"/>
                <wp:wrapNone/>
                <wp:docPr id="1" name="Freeform: 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55065" cy="790575"/>
                        </a:xfrm>
                        <a:custGeom>
                          <a:avLst/>
                          <a:gdLst>
                            <a:gd name="T0" fmla="*/ 1205 w 1205"/>
                            <a:gd name="T1" fmla="*/ 0 h 1746"/>
                            <a:gd name="T2" fmla="*/ 1205 w 1205"/>
                            <a:gd name="T3" fmla="*/ 1136 h 1746"/>
                            <a:gd name="T4" fmla="*/ 602 w 1205"/>
                            <a:gd name="T5" fmla="*/ 1746 h 1746"/>
                            <a:gd name="T6" fmla="*/ 0 w 1205"/>
                            <a:gd name="T7" fmla="*/ 1136 h 1746"/>
                            <a:gd name="T8" fmla="*/ 0 w 1205"/>
                            <a:gd name="T9" fmla="*/ 0 h 1746"/>
                            <a:gd name="T10" fmla="*/ 602 w 1205"/>
                            <a:gd name="T11" fmla="*/ 611 h 1746"/>
                            <a:gd name="T12" fmla="*/ 1205 w 1205"/>
                            <a:gd name="T13" fmla="*/ 0 h 1746"/>
                          </a:gdLst>
                          <a:ahLst/>
                          <a:cxnLst>
                            <a:cxn ang="0">
                              <a:pos x="T0" y="T1"/>
                            </a:cxn>
                            <a:cxn ang="0">
                              <a:pos x="T2" y="T3"/>
                            </a:cxn>
                            <a:cxn ang="0">
                              <a:pos x="T4" y="T5"/>
                            </a:cxn>
                            <a:cxn ang="0">
                              <a:pos x="T6" y="T7"/>
                            </a:cxn>
                            <a:cxn ang="0">
                              <a:pos x="T8" y="T9"/>
                            </a:cxn>
                            <a:cxn ang="0">
                              <a:pos x="T10" y="T11"/>
                            </a:cxn>
                            <a:cxn ang="0">
                              <a:pos x="T12" y="T13"/>
                            </a:cxn>
                          </a:cxnLst>
                          <a:rect l="0" t="0" r="r" b="b"/>
                          <a:pathLst>
                            <a:path w="1205" h="1746">
                              <a:moveTo>
                                <a:pt x="1205" y="0"/>
                              </a:moveTo>
                              <a:lnTo>
                                <a:pt x="1205" y="1136"/>
                              </a:lnTo>
                              <a:lnTo>
                                <a:pt x="602" y="1746"/>
                              </a:lnTo>
                              <a:lnTo>
                                <a:pt x="0" y="1136"/>
                              </a:lnTo>
                              <a:lnTo>
                                <a:pt x="0" y="0"/>
                              </a:lnTo>
                              <a:lnTo>
                                <a:pt x="602" y="611"/>
                              </a:lnTo>
                              <a:lnTo>
                                <a:pt x="1205" y="0"/>
                              </a:lnTo>
                              <a:close/>
                            </a:path>
                          </a:pathLst>
                        </a:custGeom>
                        <a:solidFill>
                          <a:srgbClr val="5B9BD5"/>
                        </a:solidFill>
                        <a:ln>
                          <a:noFill/>
                        </a:ln>
                      </wps:spPr>
                      <wps:txbx>
                        <w:txbxContent>
                          <w:p w:rsidR="00BB481C" w:rsidRDefault="00BB481C" w:rsidP="0046021B">
                            <w:pPr>
                              <w:jc w:val="center"/>
                              <w:rPr>
                                <w:rFonts w:ascii="Times New Roman" w:hAnsi="Times New Roman" w:cs="Times New Roman"/>
                                <w:sz w:val="16"/>
                                <w:szCs w:val="16"/>
                              </w:rPr>
                            </w:pPr>
                            <w:r>
                              <w:rPr>
                                <w:rFonts w:ascii="Times New Roman" w:hAnsi="Times New Roman" w:cs="Times New Roman"/>
                                <w:sz w:val="16"/>
                                <w:szCs w:val="16"/>
                              </w:rPr>
                              <w:t>Посебни циљ за унапређење управљања јавним финансијама</w:t>
                            </w:r>
                          </w:p>
                          <w:p w:rsidR="00BB481C" w:rsidRDefault="00BB481C" w:rsidP="0046021B">
                            <w:pPr>
                              <w:rPr>
                                <w:rFonts w:ascii="Times New Roman" w:hAnsi="Times New Roman" w:cs="Times New Roman"/>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Freeform: Shape 14" o:spid="_x0000_s1029" style="position:absolute;left:0;text-align:left;margin-left:23.25pt;margin-top:-69.75pt;width:90.95pt;height:62.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205,174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" adj="-11796480,,5400" path="m1205,r,1136l602,1746,,1136,,,602,611,1205,xe" fillcolor="#5b9bd5" stroked="f">
                <v:stroke joinstyle="miter"/>
                <v:formulas/>
                <v:path arrowok="t" o:connecttype="custom" o:connectlocs="1155065,0;1155065,514372;577053,790575;0,514372;0,0;577053,276656;1155065,0" o:connectangles="0,0,0,0,0,0,0" textboxrect="0,0,1205,1746"/>
                <v:textbox>
                  <w:txbxContent>
                    <w:p w:rsidR="00BB481C" w:rsidRDefault="00BB481C" w:rsidP="0046021B">
                      <w:pPr>
                        <w:jc w:val="center"/>
                        <w:rPr>
                          <w:rFonts w:ascii="Times New Roman" w:hAnsi="Times New Roman" w:cs="Times New Roman"/>
                          <w:sz w:val="16"/>
                          <w:szCs w:val="16"/>
                        </w:rPr>
                      </w:pPr>
                      <w:r>
                        <w:rPr>
                          <w:rFonts w:ascii="Times New Roman" w:hAnsi="Times New Roman" w:cs="Times New Roman"/>
                          <w:sz w:val="16"/>
                          <w:szCs w:val="16"/>
                        </w:rPr>
                        <w:t>Посебни циљ за унапређење управљања јавним финансијама</w:t>
                      </w:r>
                    </w:p>
                    <w:p w:rsidR="00BB481C" w:rsidRDefault="00BB481C" w:rsidP="0046021B">
                      <w:pPr>
                        <w:rPr>
                          <w:rFonts w:ascii="Times New Roman" w:hAnsi="Times New Roman" w:cs="Times New Roman"/>
                          <w:sz w:val="16"/>
                          <w:szCs w:val="16"/>
                        </w:rPr>
                      </w:pPr>
                    </w:p>
                  </w:txbxContent>
                </v:textbox>
              </v:shape>
            </w:pict>
          </mc:Fallback>
        </mc:AlternateContent>
      </w:r>
      <w:r w:rsidR="00F551E3" w:rsidRPr="00444084">
        <w:rPr>
          <w:rFonts w:ascii="Times New Roman" w:hAnsi="Times New Roman"/>
          <w:noProof/>
          <w:color w:val="000000"/>
          <w:sz w:val="24"/>
        </w:rPr>
        <mc:AlternateContent>
          <mc:Choice Requires="wps">
            <w:drawing>
              <wp:anchor distT="0" distB="0" distL="114300" distR="114300" simplePos="0" relativeHeight="251694080" behindDoc="0" locked="0" layoutInCell="1" allowOverlap="1" wp14:anchorId="4A2E730B" wp14:editId="73005B84">
                <wp:simplePos x="0" y="0"/>
                <wp:positionH relativeFrom="margin">
                  <wp:posOffset>447675</wp:posOffset>
                </wp:positionH>
                <wp:positionV relativeFrom="paragraph">
                  <wp:posOffset>-819150</wp:posOffset>
                </wp:positionV>
                <wp:extent cx="8362950" cy="723900"/>
                <wp:effectExtent l="0" t="0" r="0" b="0"/>
                <wp:wrapNone/>
                <wp:docPr id="2" name="Rectangle: Rounded Corners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62950" cy="723900"/>
                        </a:xfrm>
                        <a:prstGeom prst="roundRect">
                          <a:avLst/>
                        </a:prstGeom>
                        <a:solidFill>
                          <a:srgbClr val="70AD47">
                            <a:lumMod val="60000"/>
                            <a:lumOff val="40000"/>
                          </a:srgbClr>
                        </a:solidFill>
                        <a:ln w="12700" cap="flat" cmpd="sng" algn="ctr">
                          <a:noFill/>
                          <a:prstDash val="solid"/>
                          <a:miter lim="800000"/>
                        </a:ln>
                        <a:effectLst/>
                      </wps:spPr>
                      <wps:txbx>
                        <w:txbxContent>
                          <w:p w:rsidR="00BB481C" w:rsidRPr="00E1775D" w:rsidRDefault="00BB481C" w:rsidP="002D3FF7">
                            <w:pPr>
                              <w:spacing w:after="0" w:line="240" w:lineRule="auto"/>
                              <w:jc w:val="center"/>
                              <w:rPr>
                                <w:rFonts w:ascii="Times New Roman" w:hAnsi="Times New Roman"/>
                                <w:b/>
                                <w:color w:val="000000"/>
                                <w:sz w:val="28"/>
                                <w:lang w:val="sr-Cyrl-RS"/>
                              </w:rPr>
                            </w:pPr>
                            <w:r w:rsidRPr="00E1775D">
                              <w:rPr>
                                <w:rFonts w:ascii="Times New Roman" w:hAnsi="Times New Roman"/>
                                <w:b/>
                                <w:color w:val="000000"/>
                                <w:sz w:val="28"/>
                                <w:lang w:val="sr-Cyrl-RS"/>
                              </w:rPr>
                              <w:t>Стратегија реформе јавне управе 2021-2030</w:t>
                            </w:r>
                          </w:p>
                          <w:p w:rsidR="00BB481C" w:rsidRPr="00E1775D" w:rsidRDefault="00BB481C" w:rsidP="002D3FF7">
                            <w:pPr>
                              <w:spacing w:after="0" w:line="240" w:lineRule="auto"/>
                              <w:jc w:val="center"/>
                              <w:rPr>
                                <w:rFonts w:ascii="Times New Roman" w:hAnsi="Times New Roman"/>
                                <w:sz w:val="28"/>
                              </w:rPr>
                            </w:pPr>
                            <w:r w:rsidRPr="00E1775D">
                              <w:rPr>
                                <w:rFonts w:ascii="Times New Roman" w:hAnsi="Times New Roman"/>
                                <w:b/>
                                <w:color w:val="000000"/>
                                <w:sz w:val="28"/>
                                <w:lang w:val="sr-Cyrl-RS"/>
                              </w:rPr>
                              <w:t>Програм реформе управљања јавним финансијама</w:t>
                            </w:r>
                            <w:r w:rsidRPr="00E1775D">
                              <w:rPr>
                                <w:rFonts w:ascii="Times New Roman" w:hAnsi="Times New Roman"/>
                                <w:b/>
                                <w:color w:val="000000"/>
                                <w:sz w:val="28"/>
                              </w:rPr>
                              <w:t xml:space="preserve"> 2021-2025</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ectangle: Rounded Corners 11" o:spid="_x0000_s1030" style="position:absolute;left:0;text-align:left;margin-left:35.25pt;margin-top:-64.5pt;width:658.5pt;height:57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" fillcolor="#a9d18e" stroked="f" strokeweight="1pt">
                <v:stroke joinstyle="miter"/>
                <v:path arrowok="t"/>
                <v:textbox>
                  <w:txbxContent>
                    <w:p w:rsidR="00BB481C" w:rsidRPr="00E1775D" w:rsidRDefault="00BB481C" w:rsidP="002D3FF7">
                      <w:pPr>
                        <w:spacing w:after="0" w:line="240" w:lineRule="auto"/>
                        <w:jc w:val="center"/>
                        <w:rPr>
                          <w:rFonts w:ascii="Times New Roman" w:hAnsi="Times New Roman"/>
                          <w:b/>
                          <w:color w:val="000000"/>
                          <w:sz w:val="28"/>
                          <w:lang w:val="sr-Cyrl-RS"/>
                        </w:rPr>
                      </w:pPr>
                      <w:r w:rsidRPr="00E1775D">
                        <w:rPr>
                          <w:rFonts w:ascii="Times New Roman" w:hAnsi="Times New Roman"/>
                          <w:b/>
                          <w:color w:val="000000"/>
                          <w:sz w:val="28"/>
                          <w:lang w:val="sr-Cyrl-RS"/>
                        </w:rPr>
                        <w:t>Стратегија реформе јавне управе 2021-2030</w:t>
                      </w:r>
                    </w:p>
                    <w:p w:rsidR="00BB481C" w:rsidRPr="00E1775D" w:rsidRDefault="00BB481C" w:rsidP="002D3FF7">
                      <w:pPr>
                        <w:spacing w:after="0" w:line="240" w:lineRule="auto"/>
                        <w:jc w:val="center"/>
                        <w:rPr>
                          <w:rFonts w:ascii="Times New Roman" w:hAnsi="Times New Roman"/>
                          <w:sz w:val="28"/>
                        </w:rPr>
                      </w:pPr>
                      <w:r w:rsidRPr="00E1775D">
                        <w:rPr>
                          <w:rFonts w:ascii="Times New Roman" w:hAnsi="Times New Roman"/>
                          <w:b/>
                          <w:color w:val="000000"/>
                          <w:sz w:val="28"/>
                          <w:lang w:val="sr-Cyrl-RS"/>
                        </w:rPr>
                        <w:t>Програм реформе управљања јавним финансијама</w:t>
                      </w:r>
                      <w:r w:rsidRPr="00E1775D">
                        <w:rPr>
                          <w:rFonts w:ascii="Times New Roman" w:hAnsi="Times New Roman"/>
                          <w:b/>
                          <w:color w:val="000000"/>
                          <w:sz w:val="28"/>
                        </w:rPr>
                        <w:t xml:space="preserve"> 2021-2025</w:t>
                      </w:r>
                    </w:p>
                  </w:txbxContent>
                </v:textbox>
                <w10:wrap anchorx="margin"/>
              </v:roundrect>
            </w:pict>
          </mc:Fallback>
        </mc:AlternateContent>
      </w:r>
      <w:r w:rsidR="002D3FF7" w:rsidRPr="00444084">
        <w:rPr>
          <w:rFonts w:ascii="Times New Roman" w:eastAsia="Times New Roman" w:hAnsi="Times New Roman" w:cs="Times New Roman"/>
          <w:noProof/>
          <w:color w:val="000000"/>
          <w:sz w:val="24"/>
          <w:szCs w:val="16"/>
        </w:rPr>
        <mc:AlternateContent>
          <mc:Choice Requires="wps">
            <w:drawing>
              <wp:anchor distT="0" distB="0" distL="114300" distR="114300" simplePos="0" relativeHeight="251695104" behindDoc="0" locked="0" layoutInCell="1" allowOverlap="1" wp14:anchorId="6FC3B92E" wp14:editId="42A41F02">
                <wp:simplePos x="0" y="0"/>
                <wp:positionH relativeFrom="column">
                  <wp:posOffset>-7590790</wp:posOffset>
                </wp:positionH>
                <wp:positionV relativeFrom="paragraph">
                  <wp:posOffset>-965835</wp:posOffset>
                </wp:positionV>
                <wp:extent cx="1155065" cy="959485"/>
                <wp:effectExtent l="0" t="0" r="6985" b="0"/>
                <wp:wrapNone/>
                <wp:docPr id="6" name="Freeform: 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55065" cy="959485"/>
                        </a:xfrm>
                        <a:custGeom>
                          <a:avLst/>
                          <a:gdLst>
                            <a:gd name="T0" fmla="*/ 1205 w 1205"/>
                            <a:gd name="T1" fmla="*/ 0 h 1746"/>
                            <a:gd name="T2" fmla="*/ 1205 w 1205"/>
                            <a:gd name="T3" fmla="*/ 1136 h 1746"/>
                            <a:gd name="T4" fmla="*/ 602 w 1205"/>
                            <a:gd name="T5" fmla="*/ 1746 h 1746"/>
                            <a:gd name="T6" fmla="*/ 0 w 1205"/>
                            <a:gd name="T7" fmla="*/ 1136 h 1746"/>
                            <a:gd name="T8" fmla="*/ 0 w 1205"/>
                            <a:gd name="T9" fmla="*/ 0 h 1746"/>
                            <a:gd name="T10" fmla="*/ 602 w 1205"/>
                            <a:gd name="T11" fmla="*/ 611 h 1746"/>
                            <a:gd name="T12" fmla="*/ 1205 w 1205"/>
                            <a:gd name="T13" fmla="*/ 0 h 1746"/>
                          </a:gdLst>
                          <a:ahLst/>
                          <a:cxnLst>
                            <a:cxn ang="0">
                              <a:pos x="T0" y="T1"/>
                            </a:cxn>
                            <a:cxn ang="0">
                              <a:pos x="T2" y="T3"/>
                            </a:cxn>
                            <a:cxn ang="0">
                              <a:pos x="T4" y="T5"/>
                            </a:cxn>
                            <a:cxn ang="0">
                              <a:pos x="T6" y="T7"/>
                            </a:cxn>
                            <a:cxn ang="0">
                              <a:pos x="T8" y="T9"/>
                            </a:cxn>
                            <a:cxn ang="0">
                              <a:pos x="T10" y="T11"/>
                            </a:cxn>
                            <a:cxn ang="0">
                              <a:pos x="T12" y="T13"/>
                            </a:cxn>
                          </a:cxnLst>
                          <a:rect l="0" t="0" r="r" b="b"/>
                          <a:pathLst>
                            <a:path w="1205" h="1746">
                              <a:moveTo>
                                <a:pt x="1205" y="0"/>
                              </a:moveTo>
                              <a:lnTo>
                                <a:pt x="1205" y="1136"/>
                              </a:lnTo>
                              <a:lnTo>
                                <a:pt x="602" y="1746"/>
                              </a:lnTo>
                              <a:lnTo>
                                <a:pt x="0" y="1136"/>
                              </a:lnTo>
                              <a:lnTo>
                                <a:pt x="0" y="0"/>
                              </a:lnTo>
                              <a:lnTo>
                                <a:pt x="602" y="611"/>
                              </a:lnTo>
                              <a:lnTo>
                                <a:pt x="1205" y="0"/>
                              </a:lnTo>
                              <a:close/>
                            </a:path>
                          </a:pathLst>
                        </a:custGeom>
                        <a:solidFill>
                          <a:srgbClr val="5B9BD5"/>
                        </a:solidFill>
                        <a:ln>
                          <a:noFill/>
                        </a:ln>
                      </wps:spPr>
                      <wps:txbx>
                        <w:txbxContent>
                          <w:p w:rsidR="00BB481C" w:rsidRDefault="00BB481C" w:rsidP="002D3FF7">
                            <w:pPr>
                              <w:jc w:val="center"/>
                              <w:rPr>
                                <w:rFonts w:ascii="Arial" w:hAnsi="Arial" w:cs="Arial"/>
                                <w:sz w:val="16"/>
                                <w:szCs w:val="16"/>
                              </w:rPr>
                            </w:pPr>
                          </w:p>
                          <w:p w:rsidR="00BB481C" w:rsidRPr="00D804E8" w:rsidRDefault="00BB481C" w:rsidP="002D3FF7">
                            <w:pPr>
                              <w:jc w:val="center"/>
                              <w:rPr>
                                <w:rFonts w:ascii="Times New Roman" w:hAnsi="Times New Roman" w:cs="Times New Roman"/>
                                <w:sz w:val="16"/>
                                <w:szCs w:val="16"/>
                              </w:rPr>
                            </w:pPr>
                            <w:r w:rsidRPr="00D804E8">
                              <w:rPr>
                                <w:rFonts w:ascii="Times New Roman" w:hAnsi="Times New Roman" w:cs="Times New Roman"/>
                                <w:sz w:val="16"/>
                                <w:szCs w:val="16"/>
                              </w:rPr>
                              <w:t>Посебни циљ за унапређење управљања јавним финансијама</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_x0000_s1031" style="position:absolute;left:0;text-align:left;margin-left:-597.7pt;margin-top:-76.05pt;width:90.95pt;height:75.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205,174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" adj="-11796480,,5400" path="m1205,r,1136l602,1746,,1136,,,602,611,1205,xe" fillcolor="#5b9bd5" stroked="f">
                <v:stroke joinstyle="miter"/>
                <v:formulas/>
                <v:path arrowok="t" o:connecttype="custom" o:connectlocs="1155065,0;1155065,624270;577053,959485;0,624270;0,0;577053,335765;1155065,0" o:connectangles="0,0,0,0,0,0,0" textboxrect="0,0,1205,1746"/>
                <v:textbox>
                  <w:txbxContent>
                    <w:p w:rsidR="00BB481C" w:rsidRDefault="00BB481C" w:rsidP="002D3FF7">
                      <w:pPr>
                        <w:jc w:val="center"/>
                        <w:rPr>
                          <w:rFonts w:ascii="Arial" w:hAnsi="Arial" w:cs="Arial"/>
                          <w:sz w:val="16"/>
                          <w:szCs w:val="16"/>
                        </w:rPr>
                      </w:pPr>
                    </w:p>
                    <w:p w:rsidR="00BB481C" w:rsidRPr="00D804E8" w:rsidRDefault="00BB481C" w:rsidP="002D3FF7">
                      <w:pPr>
                        <w:jc w:val="center"/>
                        <w:rPr>
                          <w:rFonts w:ascii="Times New Roman" w:hAnsi="Times New Roman" w:cs="Times New Roman"/>
                          <w:sz w:val="16"/>
                          <w:szCs w:val="16"/>
                        </w:rPr>
                      </w:pPr>
                      <w:r w:rsidRPr="00D804E8">
                        <w:rPr>
                          <w:rFonts w:ascii="Times New Roman" w:hAnsi="Times New Roman" w:cs="Times New Roman"/>
                          <w:sz w:val="16"/>
                          <w:szCs w:val="16"/>
                        </w:rPr>
                        <w:t>Посебни циљ за унапређење управљања јавним финансијама</w:t>
                      </w:r>
                    </w:p>
                  </w:txbxContent>
                </v:textbox>
              </v:shape>
            </w:pict>
          </mc:Fallback>
        </mc:AlternateContent>
      </w:r>
      <w:r w:rsidR="00944636" w:rsidRPr="00444084">
        <w:rPr>
          <w:rFonts w:ascii="Times New Roman" w:eastAsia="Calibri" w:hAnsi="Times New Roman" w:cs="Times New Roman"/>
          <w:b/>
          <w:bCs/>
          <w:sz w:val="24"/>
          <w:lang w:val="sr-Cyrl-RS"/>
        </w:rPr>
        <w:t>С</w:t>
      </w:r>
      <w:r w:rsidR="00444084" w:rsidRPr="00444084">
        <w:rPr>
          <w:rFonts w:ascii="Times New Roman" w:eastAsia="Calibri" w:hAnsi="Times New Roman" w:cs="Times New Roman"/>
          <w:b/>
          <w:bCs/>
          <w:sz w:val="24"/>
          <w:lang w:val="sr-Cyrl-RS"/>
        </w:rPr>
        <w:t>лика</w:t>
      </w:r>
      <w:r w:rsidR="00444084">
        <w:rPr>
          <w:rFonts w:ascii="Times New Roman" w:eastAsia="Calibri" w:hAnsi="Times New Roman" w:cs="Times New Roman"/>
          <w:b/>
          <w:bCs/>
          <w:sz w:val="24"/>
          <w:lang w:val="sr-Cyrl-RS"/>
        </w:rPr>
        <w:t xml:space="preserve"> </w:t>
      </w:r>
      <w:r w:rsidR="00944636" w:rsidRPr="00444084">
        <w:rPr>
          <w:rFonts w:ascii="Times New Roman" w:eastAsia="Calibri" w:hAnsi="Times New Roman" w:cs="Times New Roman"/>
          <w:b/>
          <w:bCs/>
          <w:sz w:val="24"/>
          <w:lang w:val="sr-Cyrl-RS"/>
        </w:rPr>
        <w:t>1: Преглед и повеза</w:t>
      </w:r>
      <w:r w:rsidR="003D5163">
        <w:rPr>
          <w:rFonts w:ascii="Times New Roman" w:eastAsia="Calibri" w:hAnsi="Times New Roman" w:cs="Times New Roman"/>
          <w:b/>
          <w:bCs/>
          <w:sz w:val="24"/>
          <w:lang w:val="sr-Cyrl-RS"/>
        </w:rPr>
        <w:t>ност планских докумената релева</w:t>
      </w:r>
      <w:r w:rsidR="00944636" w:rsidRPr="00444084">
        <w:rPr>
          <w:rFonts w:ascii="Times New Roman" w:eastAsia="Calibri" w:hAnsi="Times New Roman" w:cs="Times New Roman"/>
          <w:b/>
          <w:bCs/>
          <w:sz w:val="24"/>
          <w:lang w:val="sr-Cyrl-RS"/>
        </w:rPr>
        <w:t xml:space="preserve">нтних за управљање </w:t>
      </w:r>
      <w:r w:rsidR="00444084" w:rsidRPr="00444084">
        <w:rPr>
          <w:rFonts w:ascii="Times New Roman" w:eastAsia="Calibri" w:hAnsi="Times New Roman" w:cs="Times New Roman"/>
          <w:b/>
          <w:bCs/>
          <w:sz w:val="24"/>
          <w:lang w:val="sr-Cyrl-RS"/>
        </w:rPr>
        <w:t>јавним финансијама</w:t>
      </w:r>
    </w:p>
    <w:p w:rsidR="005703FA" w:rsidRPr="0081082A" w:rsidRDefault="005703FA" w:rsidP="005703FA">
      <w:pPr>
        <w:pStyle w:val="Heading2"/>
        <w:pBdr>
          <w:top w:val="single" w:sz="24" w:space="15" w:color="DEEAF6" w:themeColor="accent1" w:themeTint="33"/>
          <w:left w:val="single" w:sz="24" w:space="2" w:color="DEEAF6" w:themeColor="accent1" w:themeTint="33"/>
        </w:pBdr>
        <w:jc w:val="center"/>
        <w:rPr>
          <w:rFonts w:ascii="Times New Roman" w:hAnsi="Times New Roman"/>
          <w:sz w:val="28"/>
          <w:lang w:val="sr-Cyrl-RS"/>
        </w:rPr>
      </w:pPr>
      <w:bookmarkStart w:id="4" w:name="_Toc72488786"/>
      <w:r w:rsidRPr="0081082A">
        <w:rPr>
          <w:rFonts w:ascii="Times New Roman" w:hAnsi="Times New Roman"/>
          <w:sz w:val="28"/>
          <w:lang w:val="sr-Cyrl-RS"/>
        </w:rPr>
        <w:lastRenderedPageBreak/>
        <w:t xml:space="preserve">ОПИС </w:t>
      </w:r>
      <w:r w:rsidRPr="0081082A">
        <w:rPr>
          <w:rFonts w:ascii="Times New Roman" w:eastAsia="Calibri" w:hAnsi="Times New Roman" w:cs="Times New Roman"/>
          <w:sz w:val="28"/>
          <w:szCs w:val="28"/>
          <w:lang w:val="sr-Cyrl-RS"/>
        </w:rPr>
        <w:t xml:space="preserve">ПОСТОЈЕЋЕГ </w:t>
      </w:r>
      <w:r w:rsidRPr="0081082A">
        <w:rPr>
          <w:rFonts w:ascii="Times New Roman" w:hAnsi="Times New Roman"/>
          <w:sz w:val="28"/>
          <w:lang w:val="sr-Cyrl-RS"/>
        </w:rPr>
        <w:t xml:space="preserve">СТАЊА: НАЈВАЖНИЈИ РЕЗУЛТАТИ спроведених реформских мера У ПЕРИОДУ 2016-2020. </w:t>
      </w:r>
      <w:r w:rsidRPr="0081082A">
        <w:rPr>
          <w:rFonts w:ascii="Times New Roman" w:eastAsia="Calibri" w:hAnsi="Times New Roman" w:cs="Times New Roman"/>
          <w:sz w:val="28"/>
          <w:szCs w:val="28"/>
          <w:lang w:val="sr-Cyrl-RS"/>
        </w:rPr>
        <w:t>ГОДИНЕ</w:t>
      </w:r>
      <w:bookmarkEnd w:id="4"/>
    </w:p>
    <w:p w:rsidR="001C00C3" w:rsidRPr="0081082A" w:rsidRDefault="001C00C3" w:rsidP="001C00C3">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ПРУЈФ 2016-2020 омогућио је остварење значајних резултата, додатно доприносећи стабилизацији и оздрављењу јавних финансија у Републици Србији, о чему сведоче и добри економски резултати упркос пандемији Ковид-19. Континуитет реформских процеса</w:t>
      </w:r>
      <w:r w:rsidR="006069E9" w:rsidRPr="0081082A">
        <w:rPr>
          <w:rFonts w:ascii="Times New Roman" w:hAnsi="Times New Roman"/>
          <w:sz w:val="24"/>
          <w:lang w:val="sr-Cyrl-RS"/>
        </w:rPr>
        <w:t>,</w:t>
      </w:r>
      <w:r w:rsidRPr="0081082A">
        <w:rPr>
          <w:rFonts w:ascii="Times New Roman" w:hAnsi="Times New Roman"/>
          <w:sz w:val="24"/>
          <w:lang w:val="sr-Cyrl-RS"/>
        </w:rPr>
        <w:t xml:space="preserve"> као и све детаљне информације о постигнутим учинцима приказане су у годишњим извештајима</w:t>
      </w:r>
      <w:r w:rsidRPr="0081082A">
        <w:rPr>
          <w:rFonts w:ascii="Times New Roman" w:hAnsi="Times New Roman"/>
          <w:sz w:val="24"/>
          <w:vertAlign w:val="superscript"/>
          <w:lang w:val="sr-Cyrl-RS"/>
        </w:rPr>
        <w:footnoteReference w:id="10"/>
      </w:r>
      <w:r w:rsidRPr="0081082A">
        <w:rPr>
          <w:rFonts w:ascii="Times New Roman" w:hAnsi="Times New Roman"/>
          <w:sz w:val="24"/>
          <w:lang w:val="sr-Cyrl-RS"/>
        </w:rPr>
        <w:t xml:space="preserve"> о спровођењу ПРУЈФ 2016-2020, које припрема Министарство финансија у сарадњи са надлежним институцијама у оквиру Радне групе за израду, праћење и извештавање о спровођењу ПРУЈФ. Постигнути резултати у претходном периоду представљају основ за даље унапређење управљања јавним финансијама у наредном петогодишњем периоду.   </w:t>
      </w:r>
    </w:p>
    <w:p w:rsidR="001C00C3" w:rsidRPr="0081082A" w:rsidRDefault="001C00C3" w:rsidP="001C00C3">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 xml:space="preserve">Од почетка спровођења Програма, остварен је значајан напредак у свим подсистемима УЈФ. Значајно је унапређен процес програмског буџетирања и средњорочног планирања; побољшано је планирање и праћење капиталних пројеката и праћење фискалних ризика;  убрзани су процес трансформације Пореске управе и модернизација Управе царина; настављено је унапређење управљања јавним дугом; постигнут је велики напредак у уређењу области јавних набавки; ојачана је област финансијског управљања и контроле и интерне ревизије; значајно је проширен опсег индиректних буџетских корисника у систему за извршење буџета; остварен је напредак у области сузбијања неправилности и превара у поступању са финансијским средствима ЕУ и повраћаја средстава; ојачан је рад буџетске инспекције; додатно су ојачани скупштински надзор над јавним финансијама и рад </w:t>
      </w:r>
      <w:r w:rsidR="00600253" w:rsidRPr="0081082A">
        <w:rPr>
          <w:rFonts w:ascii="Times New Roman" w:hAnsi="Times New Roman"/>
          <w:sz w:val="24"/>
          <w:lang w:val="sr-Cyrl-RS"/>
        </w:rPr>
        <w:t>ДРИ</w:t>
      </w:r>
      <w:r w:rsidRPr="0081082A">
        <w:rPr>
          <w:rFonts w:ascii="Times New Roman" w:hAnsi="Times New Roman"/>
          <w:sz w:val="24"/>
          <w:lang w:val="sr-Cyrl-RS"/>
        </w:rPr>
        <w:t>.</w:t>
      </w:r>
    </w:p>
    <w:p w:rsidR="001C00C3" w:rsidRPr="0081082A" w:rsidRDefault="001C00C3" w:rsidP="001C00C3">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Када говоримо о економским резултатима, пре свега о макроекономском окружењу, позитиван тренд започет 2015. године настављен је и</w:t>
      </w:r>
      <w:r w:rsidR="00883AEE" w:rsidRPr="0081082A">
        <w:rPr>
          <w:rFonts w:ascii="Times New Roman" w:hAnsi="Times New Roman"/>
          <w:sz w:val="24"/>
          <w:lang w:val="sr-Cyrl-RS"/>
        </w:rPr>
        <w:t xml:space="preserve"> у</w:t>
      </w:r>
      <w:r w:rsidRPr="0081082A">
        <w:rPr>
          <w:rFonts w:ascii="Times New Roman" w:hAnsi="Times New Roman"/>
          <w:sz w:val="24"/>
          <w:lang w:val="sr-Cyrl-RS"/>
        </w:rPr>
        <w:t xml:space="preserve"> наредном периоду, што потврђују и важни макроекономски показатељи. Раст јавног дуга је заустављен и ниво јавног дуга био је на стабилној силазној путањи, од 71.2% у 2015. години на 52.9% на крају 2019. године, док је на крају 2020. године јавни дуг износио је 58.2% БДП-а</w:t>
      </w:r>
      <w:r w:rsidRPr="0081082A">
        <w:rPr>
          <w:rFonts w:ascii="Times New Roman" w:hAnsi="Times New Roman"/>
          <w:sz w:val="24"/>
          <w:vertAlign w:val="superscript"/>
          <w:lang w:val="sr-Cyrl-RS"/>
        </w:rPr>
        <w:footnoteReference w:id="11"/>
      </w:r>
      <w:r w:rsidRPr="0081082A">
        <w:rPr>
          <w:rFonts w:ascii="Times New Roman" w:hAnsi="Times New Roman"/>
          <w:sz w:val="24"/>
          <w:lang w:val="sr-Cyrl-RS"/>
        </w:rPr>
        <w:t xml:space="preserve"> и испод је критеријума из Мастрихта. Дефицит je са 6,2% БДП</w:t>
      </w:r>
      <w:r w:rsidR="00883AEE" w:rsidRPr="0081082A">
        <w:rPr>
          <w:rFonts w:ascii="Times New Roman" w:hAnsi="Times New Roman"/>
          <w:sz w:val="24"/>
          <w:lang w:val="sr-Cyrl-RS"/>
        </w:rPr>
        <w:t>-а</w:t>
      </w:r>
      <w:r w:rsidRPr="0081082A">
        <w:rPr>
          <w:rFonts w:ascii="Times New Roman" w:hAnsi="Times New Roman"/>
          <w:sz w:val="24"/>
          <w:lang w:val="sr-Cyrl-RS"/>
        </w:rPr>
        <w:t xml:space="preserve"> у 2014. до 2016. године значајно смањен (1,2% БДП), да би у 2017. години буџет Републике Србије забележио суфицит од 1.1% и током 2018. године 0,6% БДП-а, док је у 2019. години дефицит износио свега 0,2%, да би због Ковид-19 у 2020. био забележен дефицит од 8,1%. Током година фискалне консолидације, Србија је успела да оствари реални раст БДП-а од 3,3% у 2016. години, 2% у 2017, 4.3% у 2018. и 4.2% у 2019. години. Пад БДП-а за 2020. годину износи 1%, због смањења привредне активности у последња три квартала услед рестриктивних епидемијских мера и глобалне рецесије</w:t>
      </w:r>
      <w:r w:rsidRPr="0081082A">
        <w:rPr>
          <w:rFonts w:ascii="Times New Roman" w:hAnsi="Times New Roman"/>
          <w:sz w:val="24"/>
          <w:vertAlign w:val="superscript"/>
          <w:lang w:val="sr-Cyrl-RS"/>
        </w:rPr>
        <w:footnoteReference w:id="12"/>
      </w:r>
      <w:r w:rsidRPr="0081082A">
        <w:rPr>
          <w:rFonts w:ascii="Times New Roman" w:hAnsi="Times New Roman"/>
          <w:sz w:val="24"/>
          <w:lang w:val="sr-Cyrl-RS"/>
        </w:rPr>
        <w:t xml:space="preserve"> и представља један од најбољих резултата у Европи. </w:t>
      </w:r>
    </w:p>
    <w:p w:rsidR="001C00C3" w:rsidRPr="0081082A" w:rsidRDefault="001C00C3" w:rsidP="001C00C3">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 xml:space="preserve">Захваљујући мерама фискалне консолидације створен је фискални простор који je у 2019. години искоришћен за повећање капиталних инвестиција, укидање кризних мера везаних за пензије и плате, повећање најнижих пензија и повећање плата у јавном </w:t>
      </w:r>
      <w:r w:rsidRPr="0081082A">
        <w:rPr>
          <w:rFonts w:ascii="Times New Roman" w:hAnsi="Times New Roman"/>
          <w:sz w:val="24"/>
          <w:lang w:val="sr-Cyrl-RS"/>
        </w:rPr>
        <w:lastRenderedPageBreak/>
        <w:t xml:space="preserve">сектору, те за смањење пореског оптерећења рада. Истовремено то је омогућило да у време избијања пандемије Влада реагује брзо, примењујући обимне пакете мера за помоћ привреди и становништву, </w:t>
      </w:r>
      <w:r w:rsidR="00883AEE" w:rsidRPr="0081082A">
        <w:rPr>
          <w:rFonts w:ascii="Times New Roman" w:hAnsi="Times New Roman"/>
          <w:sz w:val="24"/>
          <w:lang w:val="sr-Cyrl-RS"/>
        </w:rPr>
        <w:t>кроз</w:t>
      </w:r>
      <w:r w:rsidRPr="0081082A">
        <w:rPr>
          <w:rFonts w:ascii="Times New Roman" w:hAnsi="Times New Roman"/>
          <w:sz w:val="24"/>
          <w:lang w:val="sr-Cyrl-RS"/>
        </w:rPr>
        <w:t xml:space="preserve"> три пакета помоћи 2020. и 2021. године, вредн</w:t>
      </w:r>
      <w:r w:rsidR="00883AEE" w:rsidRPr="0081082A">
        <w:rPr>
          <w:rFonts w:ascii="Times New Roman" w:hAnsi="Times New Roman"/>
          <w:sz w:val="24"/>
          <w:lang w:val="sr-Cyrl-RS"/>
        </w:rPr>
        <w:t>а</w:t>
      </w:r>
      <w:r w:rsidRPr="0081082A">
        <w:rPr>
          <w:rFonts w:ascii="Times New Roman" w:hAnsi="Times New Roman"/>
          <w:sz w:val="24"/>
          <w:lang w:val="sr-Cyrl-RS"/>
        </w:rPr>
        <w:t xml:space="preserve"> око 8 милијарди евра. Ове мере су оцењене позитивно од стране међународних финансијских институција, Међународног монетарног фонда (у даљем тексту: ММФ) и Светске банке, као и Европске комисије. Признање за постигнуте резултате дошло је и од релевантних агенција, </w:t>
      </w:r>
      <w:r w:rsidRPr="0081082A">
        <w:rPr>
          <w:rFonts w:ascii="Times New Roman" w:hAnsi="Times New Roman"/>
          <w:i/>
          <w:sz w:val="24"/>
          <w:lang w:val="sr-Cyrl-RS"/>
        </w:rPr>
        <w:t>Moody’s,</w:t>
      </w:r>
      <w:r w:rsidRPr="0081082A">
        <w:rPr>
          <w:rFonts w:ascii="Times New Roman" w:hAnsi="Times New Roman"/>
          <w:sz w:val="24"/>
          <w:lang w:val="sr-Cyrl-RS"/>
        </w:rPr>
        <w:t xml:space="preserve"> </w:t>
      </w:r>
      <w:r w:rsidRPr="0081082A">
        <w:rPr>
          <w:rFonts w:ascii="Times New Roman" w:hAnsi="Times New Roman"/>
          <w:i/>
          <w:sz w:val="24"/>
          <w:lang w:val="sr-Cyrl-RS"/>
        </w:rPr>
        <w:t>Standard&amp;Poor’s</w:t>
      </w:r>
      <w:r w:rsidRPr="0081082A">
        <w:rPr>
          <w:rFonts w:ascii="Times New Roman" w:hAnsi="Times New Roman"/>
          <w:sz w:val="24"/>
          <w:lang w:val="sr-Cyrl-RS"/>
        </w:rPr>
        <w:t xml:space="preserve"> и </w:t>
      </w:r>
      <w:r w:rsidRPr="0081082A">
        <w:rPr>
          <w:rFonts w:ascii="Times New Roman" w:hAnsi="Times New Roman"/>
          <w:i/>
          <w:sz w:val="24"/>
          <w:lang w:val="sr-Cyrl-RS"/>
        </w:rPr>
        <w:t>Fitch</w:t>
      </w:r>
      <w:r w:rsidRPr="0081082A">
        <w:rPr>
          <w:rFonts w:ascii="Times New Roman" w:hAnsi="Times New Roman"/>
          <w:sz w:val="24"/>
          <w:lang w:val="sr-Cyrl-RS"/>
        </w:rPr>
        <w:t xml:space="preserve"> су повећали кредитни рејтинг (на Ва2</w:t>
      </w:r>
      <w:r w:rsidR="00A545D2" w:rsidRPr="0081082A">
        <w:rPr>
          <w:rFonts w:ascii="Times New Roman" w:hAnsi="Times New Roman"/>
          <w:sz w:val="24"/>
          <w:lang w:val="sr-Cyrl-RS"/>
        </w:rPr>
        <w:t>,</w:t>
      </w:r>
      <w:r w:rsidRPr="0081082A">
        <w:rPr>
          <w:rFonts w:ascii="Times New Roman" w:hAnsi="Times New Roman"/>
          <w:sz w:val="24"/>
          <w:lang w:val="sr-Cyrl-RS"/>
        </w:rPr>
        <w:t xml:space="preserve"> односно на  BB+) и поставили Србију у позицију на корак до инвестицион</w:t>
      </w:r>
      <w:r w:rsidR="00883AEE" w:rsidRPr="0081082A">
        <w:rPr>
          <w:rFonts w:ascii="Times New Roman" w:hAnsi="Times New Roman"/>
          <w:sz w:val="24"/>
          <w:lang w:val="sr-Cyrl-RS"/>
        </w:rPr>
        <w:t>о</w:t>
      </w:r>
      <w:r w:rsidRPr="0081082A">
        <w:rPr>
          <w:rFonts w:ascii="Times New Roman" w:hAnsi="Times New Roman"/>
          <w:sz w:val="24"/>
          <w:lang w:val="sr-Cyrl-RS"/>
        </w:rPr>
        <w:t xml:space="preserve">г рејтинга. Коначно, Србија је једна од ретких држава из региона која је 2020. године напредовала на </w:t>
      </w:r>
      <w:r w:rsidRPr="0081082A">
        <w:rPr>
          <w:rFonts w:ascii="Times New Roman" w:hAnsi="Times New Roman"/>
          <w:i/>
          <w:iCs/>
          <w:sz w:val="24"/>
          <w:lang w:val="sr-Cyrl-RS"/>
        </w:rPr>
        <w:t>Doing Business</w:t>
      </w:r>
      <w:r w:rsidRPr="0081082A">
        <w:rPr>
          <w:rFonts w:ascii="Times New Roman" w:hAnsi="Times New Roman"/>
          <w:sz w:val="24"/>
          <w:lang w:val="sr-Cyrl-RS"/>
        </w:rPr>
        <w:t xml:space="preserve"> листи.</w:t>
      </w:r>
    </w:p>
    <w:p w:rsidR="001C00C3" w:rsidRPr="0081082A" w:rsidRDefault="001C00C3" w:rsidP="001C00C3">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У оквиру спровођења реформе УЈФ, административни и аналитички капацитети Министарства финансија, као и других релевантних институција укључених у реформу, значајно су ојачани, посебно кроз нова запошљавања, структурна усклађивања као у случају трансформације Пореске управе, и обуке запослених, што ће бити настављено и у наредном периоду. Увођење нових организационих решења, нових модела и аналитичких инструмената, софтвера, јачањ</w:t>
      </w:r>
      <w:r w:rsidR="00737F1F" w:rsidRPr="0081082A">
        <w:rPr>
          <w:rFonts w:ascii="Times New Roman" w:hAnsi="Times New Roman"/>
          <w:sz w:val="24"/>
          <w:lang w:val="sr-Cyrl-RS"/>
        </w:rPr>
        <w:t>е</w:t>
      </w:r>
      <w:r w:rsidRPr="0081082A">
        <w:rPr>
          <w:rFonts w:ascii="Times New Roman" w:hAnsi="Times New Roman"/>
          <w:sz w:val="24"/>
          <w:lang w:val="sr-Cyrl-RS"/>
        </w:rPr>
        <w:t xml:space="preserve"> ИТ капацитета, обука запослених, унапређење размене и повећање транспарентности података, довело је до повећања увида јавности у ток јавних финансија и усвајање </w:t>
      </w:r>
      <w:r w:rsidR="00737F1F" w:rsidRPr="0081082A">
        <w:rPr>
          <w:rFonts w:ascii="Times New Roman" w:hAnsi="Times New Roman"/>
          <w:sz w:val="24"/>
          <w:lang w:val="sr-Cyrl-RS"/>
        </w:rPr>
        <w:t xml:space="preserve">међународних и ЕУ </w:t>
      </w:r>
      <w:r w:rsidRPr="0081082A">
        <w:rPr>
          <w:rFonts w:ascii="Times New Roman" w:hAnsi="Times New Roman"/>
          <w:sz w:val="24"/>
          <w:lang w:val="sr-Cyrl-RS"/>
        </w:rPr>
        <w:t>стандарда у овој области. У наредном петогодишњем периоду ови реформски напори биће настављени.</w:t>
      </w:r>
    </w:p>
    <w:p w:rsidR="001C00C3" w:rsidRPr="0081082A" w:rsidRDefault="001C00C3" w:rsidP="00784CDD">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Посебна пажња посвећена је унапређењу законодавног оквира (Закон о буџетском систему, Закон о планском систему</w:t>
      </w:r>
      <w:r w:rsidR="002A61BC" w:rsidRPr="0081082A">
        <w:rPr>
          <w:rFonts w:ascii="Times New Roman" w:hAnsi="Times New Roman"/>
          <w:sz w:val="24"/>
          <w:lang w:val="sr-Cyrl-RS"/>
        </w:rPr>
        <w:t xml:space="preserve"> </w:t>
      </w:r>
      <w:r w:rsidR="002A61BC" w:rsidRPr="0081082A">
        <w:rPr>
          <w:rFonts w:ascii="Times New Roman" w:hAnsi="Times New Roman" w:cs="Times New Roman"/>
          <w:sz w:val="24"/>
          <w:szCs w:val="24"/>
          <w:lang w:val="sr-Cyrl-RS"/>
        </w:rPr>
        <w:t>Републике Србије</w:t>
      </w:r>
      <w:r w:rsidRPr="0081082A">
        <w:rPr>
          <w:rFonts w:ascii="Times New Roman" w:hAnsi="Times New Roman"/>
          <w:sz w:val="24"/>
          <w:lang w:val="sr-Cyrl-RS"/>
        </w:rPr>
        <w:t>, Закон о јавним набавкама, Закон о царинској служби, Закон о пореском поступку и пореској администрацији, и</w:t>
      </w:r>
      <w:r w:rsidR="00737F1F" w:rsidRPr="0081082A">
        <w:rPr>
          <w:rFonts w:ascii="Times New Roman" w:hAnsi="Times New Roman"/>
          <w:sz w:val="24"/>
          <w:lang w:val="sr-Cyrl-RS"/>
        </w:rPr>
        <w:t xml:space="preserve"> </w:t>
      </w:r>
      <w:r w:rsidRPr="0081082A">
        <w:rPr>
          <w:rFonts w:ascii="Times New Roman" w:hAnsi="Times New Roman"/>
          <w:sz w:val="24"/>
          <w:lang w:val="sr-Cyrl-RS"/>
        </w:rPr>
        <w:t>др</w:t>
      </w:r>
      <w:r w:rsidR="00737F1F" w:rsidRPr="0081082A">
        <w:rPr>
          <w:rFonts w:ascii="Times New Roman" w:hAnsi="Times New Roman"/>
          <w:sz w:val="24"/>
          <w:lang w:val="sr-Cyrl-RS"/>
        </w:rPr>
        <w:t>.</w:t>
      </w:r>
      <w:r w:rsidRPr="0081082A">
        <w:rPr>
          <w:rFonts w:ascii="Times New Roman" w:hAnsi="Times New Roman"/>
          <w:sz w:val="24"/>
          <w:lang w:val="sr-Cyrl-RS"/>
        </w:rPr>
        <w:t>) и његовом усклађивању са правним тековинама ЕУ и међународним стандардима</w:t>
      </w:r>
      <w:r w:rsidR="00737F1F" w:rsidRPr="0081082A">
        <w:rPr>
          <w:rFonts w:ascii="Times New Roman" w:hAnsi="Times New Roman"/>
          <w:sz w:val="24"/>
          <w:lang w:val="sr-Cyrl-RS"/>
        </w:rPr>
        <w:t>,</w:t>
      </w:r>
      <w:r w:rsidRPr="0081082A">
        <w:rPr>
          <w:rFonts w:ascii="Times New Roman" w:hAnsi="Times New Roman"/>
          <w:sz w:val="24"/>
          <w:lang w:val="sr-Cyrl-RS"/>
        </w:rPr>
        <w:t xml:space="preserve"> посебно у области рачуноводства и ревизије у јавном сектору, као и унапређење стратешког оквира реформе. </w:t>
      </w:r>
    </w:p>
    <w:p w:rsidR="001C00C3" w:rsidRPr="0081082A" w:rsidRDefault="001C00C3" w:rsidP="00784CDD">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Транспарентност јавних финансија препозната је као један од кључних елемената добре управе. Значајан напредак у спровођењу мера за унапређење транспарентности предвиђене су СРЈУ 2016-2020 и ПРУЈФ 2016-2020, док нови ПРУЈФ предвиђа даља унапређења у складу са идентификованим слабостима, и одражавају опредељеност да се реформе континуирано спроводе. Министарство финансија препознаje значај транспарентности, свеобухватности и разумљивости буџетске документације и посвећено је њиховом сталном унапређењу, према критеријумима и смерницама Европске комисиј</w:t>
      </w:r>
      <w:r w:rsidR="00C36537">
        <w:rPr>
          <w:rFonts w:ascii="Times New Roman" w:hAnsi="Times New Roman"/>
          <w:sz w:val="24"/>
          <w:lang w:val="sr-Cyrl-RS"/>
        </w:rPr>
        <w:t>е</w:t>
      </w:r>
      <w:r w:rsidRPr="00C36537">
        <w:rPr>
          <w:rFonts w:ascii="Times New Roman" w:hAnsi="Times New Roman"/>
          <w:sz w:val="10"/>
          <w:szCs w:val="10"/>
          <w:lang w:val="sr-Cyrl-RS"/>
        </w:rPr>
        <w:footnoteReference w:id="13"/>
      </w:r>
      <w:r w:rsidRPr="0081082A">
        <w:rPr>
          <w:rFonts w:ascii="Times New Roman" w:hAnsi="Times New Roman"/>
          <w:sz w:val="24"/>
          <w:lang w:val="sr-Cyrl-RS"/>
        </w:rPr>
        <w:t xml:space="preserve">, Индексу отворености буџета (OБИ), Извештају о јавним расходима и финансијској одговорности (ПЕФА), СИГМА Мониторинг извештају и сл. </w:t>
      </w:r>
    </w:p>
    <w:p w:rsidR="001C00C3" w:rsidRPr="0081082A" w:rsidRDefault="001C00C3" w:rsidP="00784CDD">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Прoгрaмски буџeт, уведен 2015. године</w:t>
      </w:r>
      <w:r w:rsidR="009A1560" w:rsidRPr="0081082A">
        <w:rPr>
          <w:rFonts w:ascii="Times New Roman" w:hAnsi="Times New Roman"/>
          <w:sz w:val="24"/>
          <w:lang w:val="sr-Cyrl-RS"/>
        </w:rPr>
        <w:t>,</w:t>
      </w:r>
      <w:r w:rsidRPr="0081082A">
        <w:rPr>
          <w:rFonts w:ascii="Times New Roman" w:hAnsi="Times New Roman"/>
          <w:sz w:val="24"/>
          <w:lang w:val="sr-Cyrl-RS"/>
        </w:rPr>
        <w:t xml:space="preserve"> oмoгућио је бoљe упрaвљaњe учинкoм jaвнe упрaвe, вeћу oдгoвoрнoст кoрисникa буџета, успoстaвљaњe снaжниjих вeзa измeђу гoдишњeг буџeтa, утврђивањ</w:t>
      </w:r>
      <w:r w:rsidR="009A1560" w:rsidRPr="0081082A">
        <w:rPr>
          <w:rFonts w:ascii="Times New Roman" w:hAnsi="Times New Roman"/>
          <w:sz w:val="24"/>
          <w:lang w:val="sr-Cyrl-RS"/>
        </w:rPr>
        <w:t>е</w:t>
      </w:r>
      <w:r w:rsidRPr="0081082A">
        <w:rPr>
          <w:rFonts w:ascii="Times New Roman" w:hAnsi="Times New Roman"/>
          <w:sz w:val="24"/>
          <w:lang w:val="sr-Cyrl-RS"/>
        </w:rPr>
        <w:t xml:space="preserve"> приоритетних рaсхoдa и издатака и спровођењ</w:t>
      </w:r>
      <w:r w:rsidR="009A1560" w:rsidRPr="0081082A">
        <w:rPr>
          <w:rFonts w:ascii="Times New Roman" w:hAnsi="Times New Roman"/>
          <w:sz w:val="24"/>
          <w:lang w:val="sr-Cyrl-RS"/>
        </w:rPr>
        <w:t>е</w:t>
      </w:r>
      <w:r w:rsidRPr="0081082A">
        <w:rPr>
          <w:rFonts w:ascii="Times New Roman" w:hAnsi="Times New Roman"/>
          <w:sz w:val="24"/>
          <w:lang w:val="sr-Cyrl-RS"/>
        </w:rPr>
        <w:t xml:space="preserve"> jaвних пoлитикa, кao и вeћу трaнспaрeнтнoст пoтрoшњe. Транспарентности буџета значајно је допринела боља усклађеност програмских структура буџетских корисника са Упутством за израду програмског буџета (од 61% у 2016. до 92% у 2020. години) и припрема и објављивање Грађанског водича кроз буџет</w:t>
      </w:r>
      <w:r w:rsidRPr="0081082A">
        <w:rPr>
          <w:rFonts w:ascii="Times New Roman" w:hAnsi="Times New Roman"/>
          <w:sz w:val="10"/>
          <w:szCs w:val="10"/>
          <w:lang w:val="sr-Cyrl-RS"/>
        </w:rPr>
        <w:footnoteReference w:id="14"/>
      </w:r>
      <w:r w:rsidRPr="0081082A">
        <w:rPr>
          <w:rFonts w:ascii="Times New Roman" w:hAnsi="Times New Roman"/>
          <w:sz w:val="24"/>
          <w:lang w:val="sr-Cyrl-RS"/>
        </w:rPr>
        <w:t>, документа којим се лако и разумљивим језиком објашњава на који начин се</w:t>
      </w:r>
      <w:r w:rsidR="009A1560" w:rsidRPr="0081082A">
        <w:rPr>
          <w:rFonts w:ascii="Times New Roman" w:hAnsi="Times New Roman"/>
          <w:sz w:val="24"/>
          <w:lang w:val="sr-Cyrl-RS"/>
        </w:rPr>
        <w:t>,</w:t>
      </w:r>
      <w:r w:rsidRPr="0081082A">
        <w:rPr>
          <w:rFonts w:ascii="Times New Roman" w:hAnsi="Times New Roman"/>
          <w:sz w:val="24"/>
          <w:lang w:val="sr-Cyrl-RS"/>
        </w:rPr>
        <w:t xml:space="preserve"> и у које сврхе</w:t>
      </w:r>
      <w:r w:rsidR="009A1560" w:rsidRPr="0081082A">
        <w:rPr>
          <w:rFonts w:ascii="Times New Roman" w:hAnsi="Times New Roman"/>
          <w:sz w:val="24"/>
          <w:lang w:val="sr-Cyrl-RS"/>
        </w:rPr>
        <w:t>,</w:t>
      </w:r>
      <w:r w:rsidRPr="0081082A">
        <w:rPr>
          <w:rFonts w:ascii="Times New Roman" w:hAnsi="Times New Roman"/>
          <w:sz w:val="24"/>
          <w:lang w:val="sr-Cyrl-RS"/>
        </w:rPr>
        <w:t xml:space="preserve"> користе јавни ресурси </w:t>
      </w:r>
      <w:r w:rsidRPr="0081082A">
        <w:rPr>
          <w:rFonts w:ascii="Times New Roman" w:hAnsi="Times New Roman"/>
          <w:sz w:val="24"/>
          <w:lang w:val="sr-Cyrl-RS"/>
        </w:rPr>
        <w:lastRenderedPageBreak/>
        <w:t>и убирају приходи, као и како изгледа буџетски процес. Поред боље координације планирања и буџетирања јавних политика и транспарентности буџета, допринело се и транспарентности начина реализације планских докумената, а нарочито докумената јавних политика какви су стратегије</w:t>
      </w:r>
      <w:r w:rsidR="009A1560" w:rsidRPr="0081082A">
        <w:rPr>
          <w:rFonts w:ascii="Times New Roman" w:hAnsi="Times New Roman"/>
          <w:sz w:val="24"/>
          <w:lang w:val="sr-Cyrl-RS"/>
        </w:rPr>
        <w:t xml:space="preserve"> и</w:t>
      </w:r>
      <w:r w:rsidRPr="0081082A">
        <w:rPr>
          <w:rFonts w:ascii="Times New Roman" w:hAnsi="Times New Roman"/>
          <w:sz w:val="24"/>
          <w:lang w:val="sr-Cyrl-RS"/>
        </w:rPr>
        <w:t xml:space="preserve"> програми. Увођење правне обавезе буџетским корисницима да објављују информације о буџетском програму и извештаје о учинку, додатно је повећал</w:t>
      </w:r>
      <w:r w:rsidR="009A1560" w:rsidRPr="0081082A">
        <w:rPr>
          <w:rFonts w:ascii="Times New Roman" w:hAnsi="Times New Roman"/>
          <w:sz w:val="24"/>
          <w:lang w:val="sr-Cyrl-RS"/>
        </w:rPr>
        <w:t>о</w:t>
      </w:r>
      <w:r w:rsidRPr="0081082A">
        <w:rPr>
          <w:rFonts w:ascii="Times New Roman" w:hAnsi="Times New Roman"/>
          <w:sz w:val="24"/>
          <w:lang w:val="sr-Cyrl-RS"/>
        </w:rPr>
        <w:t xml:space="preserve"> транспарентност процеса буџетирања. Пракса објављивања Грађанских водичa истовремено је развијана и на локалном нивоу, при чему је</w:t>
      </w:r>
      <w:r w:rsidR="009A1560" w:rsidRPr="0081082A">
        <w:rPr>
          <w:rFonts w:ascii="Times New Roman" w:hAnsi="Times New Roman"/>
          <w:sz w:val="24"/>
          <w:lang w:val="sr-Cyrl-RS"/>
        </w:rPr>
        <w:t>,</w:t>
      </w:r>
      <w:r w:rsidRPr="0081082A">
        <w:rPr>
          <w:rFonts w:ascii="Times New Roman" w:hAnsi="Times New Roman"/>
          <w:sz w:val="24"/>
          <w:lang w:val="sr-Cyrl-RS"/>
        </w:rPr>
        <w:t xml:space="preserve"> у односу на свега 9% локалних самоуправа које су примениле ову праксу у 2018. години, број ЛС које су објавиле ове водиче учетворостручен до 2020. године</w:t>
      </w:r>
      <w:r w:rsidR="009A1560" w:rsidRPr="0081082A">
        <w:rPr>
          <w:rFonts w:ascii="Times New Roman" w:hAnsi="Times New Roman"/>
          <w:sz w:val="24"/>
          <w:lang w:val="sr-Cyrl-RS"/>
        </w:rPr>
        <w:t xml:space="preserve">, </w:t>
      </w:r>
      <w:r w:rsidRPr="0081082A">
        <w:rPr>
          <w:rFonts w:ascii="Times New Roman" w:hAnsi="Times New Roman"/>
          <w:sz w:val="24"/>
          <w:lang w:val="sr-Cyrl-RS"/>
        </w:rPr>
        <w:t>тако да износи 37% свих ЛС</w:t>
      </w:r>
      <w:r w:rsidRPr="0081082A">
        <w:rPr>
          <w:rFonts w:ascii="Times New Roman" w:hAnsi="Times New Roman"/>
          <w:sz w:val="10"/>
          <w:szCs w:val="10"/>
          <w:lang w:val="sr-Cyrl-RS"/>
        </w:rPr>
        <w:footnoteReference w:id="15"/>
      </w:r>
      <w:r w:rsidRPr="0081082A">
        <w:rPr>
          <w:rFonts w:ascii="Times New Roman" w:hAnsi="Times New Roman"/>
          <w:sz w:val="24"/>
          <w:lang w:val="sr-Cyrl-RS"/>
        </w:rPr>
        <w:t>.</w:t>
      </w:r>
      <w:r w:rsidR="009A1560" w:rsidRPr="0081082A">
        <w:rPr>
          <w:rFonts w:ascii="Times New Roman" w:hAnsi="Times New Roman"/>
          <w:sz w:val="24"/>
          <w:lang w:val="sr-Cyrl-RS"/>
        </w:rPr>
        <w:t xml:space="preserve"> </w:t>
      </w:r>
      <w:r w:rsidRPr="0081082A">
        <w:rPr>
          <w:rFonts w:ascii="Times New Roman" w:hAnsi="Times New Roman"/>
          <w:sz w:val="24"/>
          <w:lang w:val="sr-Cyrl-RS"/>
        </w:rPr>
        <w:t>Увођење родно одговорног буџетирања (у даљем тексту: РОБ) додатно је допринело транспарентности и ефективности припреме буџета.</w:t>
      </w:r>
    </w:p>
    <w:p w:rsidR="001C00C3" w:rsidRPr="0081082A" w:rsidRDefault="001C00C3" w:rsidP="00784CDD">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Поред тога, регистровањем фактура и других захтева за исплату у Управи за трезор се омогућава успешније планирање и управљање ликвидним средствима, како у привредним субјектима, тако и у јавном сектору, боља транспарентност података о потраживањима поверилаца од субјеката јавног сектора у комерцијалним трансакцијама и транспарентност података о обавезама субјеката јавног сектора у истим трансакцијама. Такође, напредак је остварен и у области пружања услуга пореским обвезницима кроз успостављање Сектора за пружање услуга пореским обвезницима и едукацију и услуге пружене кроз шалтер „Ваш порезник</w:t>
      </w:r>
      <w:r w:rsidR="007E728E" w:rsidRPr="0081082A">
        <w:rPr>
          <w:rFonts w:ascii="Times New Roman" w:hAnsi="Times New Roman"/>
          <w:sz w:val="24"/>
          <w:lang w:val="sr-Cyrl-RS"/>
        </w:rPr>
        <w:t>”</w:t>
      </w:r>
      <w:r w:rsidRPr="0081082A">
        <w:rPr>
          <w:rFonts w:ascii="Times New Roman" w:hAnsi="Times New Roman"/>
          <w:sz w:val="24"/>
          <w:lang w:val="sr-Cyrl-RS"/>
        </w:rPr>
        <w:t>. ПУРС је повећала транспарентност у сегменту дељења информација са обвезницима, обезбедивши једноставне двосмерне канале, кроз које се осим испоруке информација добијају и обавештења о препрекама које је потребно отклонити са циљем ефикаснијег остваривања права и извршења законских обавеза пореских обвезника. Одредбама Царинског закона</w:t>
      </w:r>
      <w:r w:rsidRPr="0081082A">
        <w:rPr>
          <w:rFonts w:ascii="Times New Roman" w:hAnsi="Times New Roman"/>
          <w:sz w:val="10"/>
          <w:szCs w:val="10"/>
          <w:lang w:val="sr-Cyrl-RS"/>
        </w:rPr>
        <w:footnoteReference w:id="16"/>
      </w:r>
      <w:r w:rsidRPr="0081082A">
        <w:rPr>
          <w:rFonts w:ascii="Times New Roman" w:hAnsi="Times New Roman"/>
          <w:sz w:val="24"/>
          <w:lang w:val="sr-Cyrl-RS"/>
        </w:rPr>
        <w:t xml:space="preserve"> и Закона о царинској служби</w:t>
      </w:r>
      <w:r w:rsidRPr="0081082A">
        <w:rPr>
          <w:rFonts w:ascii="Times New Roman" w:hAnsi="Times New Roman"/>
          <w:sz w:val="10"/>
          <w:szCs w:val="10"/>
          <w:lang w:val="sr-Cyrl-RS"/>
        </w:rPr>
        <w:footnoteReference w:id="17"/>
      </w:r>
      <w:r w:rsidRPr="0081082A">
        <w:rPr>
          <w:rFonts w:ascii="Times New Roman" w:hAnsi="Times New Roman"/>
          <w:sz w:val="10"/>
          <w:szCs w:val="10"/>
          <w:lang w:val="sr-Cyrl-RS"/>
        </w:rPr>
        <w:t xml:space="preserve"> </w:t>
      </w:r>
      <w:r w:rsidRPr="0081082A">
        <w:rPr>
          <w:rFonts w:ascii="Times New Roman" w:hAnsi="Times New Roman"/>
          <w:sz w:val="24"/>
          <w:lang w:val="sr-Cyrl-RS"/>
        </w:rPr>
        <w:t>додатно су створени услови за унапређење функционисања Царинске службе, на начин да развој административних капацитета и промовисање политике за борбу против корупције помаже у подржавању професионалне, етичке и транспарентне Царинске службе. Подаци о јавном дугу су ажурни и објављују се на месечном и кварталном нивоу, што је један од главних резултата напора које је Управа за јавни дуг уложила у транспарентност података о јавном дугу Р</w:t>
      </w:r>
      <w:r w:rsidR="00D539B3" w:rsidRPr="0081082A">
        <w:rPr>
          <w:rFonts w:ascii="Times New Roman" w:hAnsi="Times New Roman"/>
          <w:sz w:val="24"/>
          <w:lang w:val="sr-Cyrl-RS"/>
        </w:rPr>
        <w:t xml:space="preserve">епублике </w:t>
      </w:r>
      <w:r w:rsidRPr="0081082A">
        <w:rPr>
          <w:rFonts w:ascii="Times New Roman" w:hAnsi="Times New Roman"/>
          <w:sz w:val="24"/>
          <w:lang w:val="sr-Cyrl-RS"/>
        </w:rPr>
        <w:t>С</w:t>
      </w:r>
      <w:r w:rsidR="00D539B3" w:rsidRPr="0081082A">
        <w:rPr>
          <w:rFonts w:ascii="Times New Roman" w:hAnsi="Times New Roman"/>
          <w:sz w:val="24"/>
          <w:lang w:val="sr-Cyrl-RS"/>
        </w:rPr>
        <w:t>рбије</w:t>
      </w:r>
      <w:r w:rsidRPr="0081082A">
        <w:rPr>
          <w:rFonts w:ascii="Times New Roman" w:hAnsi="Times New Roman"/>
          <w:sz w:val="24"/>
          <w:lang w:val="sr-Cyrl-RS"/>
        </w:rPr>
        <w:t xml:space="preserve">. Током протеклих година, развој примарног и секундарног законодавства које уређује јавне набавке, довео је до повећања транспарентности и ефикасности процедура јавних набавки, кроз увођење обавезе наручилаца да објављују планове јавних набавки на Порталу јавних набавки. Влада  је уложила значајне напоре како би се осигурала транспарентност и наменско коришћење финансијских средстава ЕУ, паралелно са напорима за осигурање националних средстава. </w:t>
      </w:r>
      <w:r w:rsidR="00B95C5A" w:rsidRPr="0081082A">
        <w:rPr>
          <w:rFonts w:ascii="Times New Roman" w:hAnsi="Times New Roman"/>
          <w:sz w:val="24"/>
          <w:lang w:val="sr-Cyrl-RS"/>
        </w:rPr>
        <w:t xml:space="preserve">Успостављање интегрисаног система регистара обезбеђује транспарентност у пружању услуга привредним субјектима у поступку издавања дозвола и доприноси ефикаснијој размени података између надлежних институција.  </w:t>
      </w:r>
    </w:p>
    <w:p w:rsidR="001C00C3" w:rsidRPr="0081082A" w:rsidRDefault="001C00C3" w:rsidP="00784CDD">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Област интерне финансијске контроле у јавном сектору посебно је допринела развоју транспарентности, као и активности ДРИ и Народне скупштине. ДРИ, у току рада на повећању транспарентности, на свом сајту објављује велики број информација као што су: образац за Одазивни извештај субјеката ревизије</w:t>
      </w:r>
      <w:r w:rsidRPr="0081082A">
        <w:rPr>
          <w:rFonts w:ascii="Times New Roman" w:hAnsi="Times New Roman"/>
          <w:sz w:val="10"/>
          <w:szCs w:val="10"/>
          <w:lang w:val="sr-Cyrl-RS"/>
        </w:rPr>
        <w:footnoteReference w:id="18"/>
      </w:r>
      <w:r w:rsidRPr="0081082A">
        <w:rPr>
          <w:rFonts w:ascii="Times New Roman" w:hAnsi="Times New Roman"/>
          <w:sz w:val="24"/>
          <w:lang w:val="sr-Cyrl-RS"/>
        </w:rPr>
        <w:t xml:space="preserve">, који садржи утврђене </w:t>
      </w:r>
      <w:r w:rsidRPr="0081082A">
        <w:rPr>
          <w:rFonts w:ascii="Times New Roman" w:hAnsi="Times New Roman"/>
          <w:sz w:val="24"/>
          <w:lang w:val="sr-Cyrl-RS"/>
        </w:rPr>
        <w:lastRenderedPageBreak/>
        <w:t>неправилности и предузете мере исправљања од стране субјеката ревизије, односно поступање по препорукама које је дала ДРИ, послеревизионих извештаја</w:t>
      </w:r>
      <w:r w:rsidRPr="0081082A">
        <w:rPr>
          <w:rFonts w:ascii="Times New Roman" w:hAnsi="Times New Roman"/>
          <w:sz w:val="10"/>
          <w:szCs w:val="10"/>
          <w:lang w:val="sr-Cyrl-RS"/>
        </w:rPr>
        <w:footnoteReference w:id="19"/>
      </w:r>
      <w:r w:rsidRPr="0081082A">
        <w:rPr>
          <w:rFonts w:ascii="Times New Roman" w:hAnsi="Times New Roman"/>
          <w:sz w:val="10"/>
          <w:szCs w:val="10"/>
          <w:lang w:val="sr-Cyrl-RS"/>
        </w:rPr>
        <w:t xml:space="preserve"> </w:t>
      </w:r>
      <w:r w:rsidRPr="0081082A">
        <w:rPr>
          <w:rFonts w:ascii="Times New Roman" w:hAnsi="Times New Roman"/>
          <w:sz w:val="24"/>
          <w:lang w:val="sr-Cyrl-RS"/>
        </w:rPr>
        <w:t>који садрже оцену сваке појединачне мере исправљања, мишљење да ли су мере исправљања задовољавајуће и мишљење да ли субјект ревизије крши обавезу доброг пословања у случају да су мере исправљања незадовољавајуће, а започето је и са новим начином објављивања извештаја о ревизији, где поред сваког извештаја, ДРИ објављује, на интернет страници, и резиме извештаја, ради транспарентнијег, jeднoстaвнијег и рaзумљивијег нaчина презентовања ревизорских препорука јавност</w:t>
      </w:r>
      <w:r w:rsidR="004661B8" w:rsidRPr="0081082A">
        <w:rPr>
          <w:rFonts w:ascii="Times New Roman" w:hAnsi="Times New Roman"/>
          <w:sz w:val="24"/>
          <w:lang w:val="sr-Cyrl-RS"/>
        </w:rPr>
        <w:t>и</w:t>
      </w:r>
      <w:r w:rsidRPr="0081082A">
        <w:rPr>
          <w:rFonts w:ascii="Times New Roman" w:hAnsi="Times New Roman"/>
          <w:sz w:val="10"/>
          <w:szCs w:val="10"/>
          <w:lang w:val="sr-Cyrl-RS"/>
        </w:rPr>
        <w:footnoteReference w:id="20"/>
      </w:r>
      <w:r w:rsidRPr="0081082A">
        <w:rPr>
          <w:rFonts w:ascii="Times New Roman" w:hAnsi="Times New Roman"/>
          <w:sz w:val="24"/>
          <w:lang w:val="sr-Cyrl-RS"/>
        </w:rPr>
        <w:t xml:space="preserve"> Кључне активности које је Одбор Народне скупштине спровео у периоду трајања ПРУЈФ 2016-2020 јесу одржавање седница (тзв. слушања) за разматрање извештаја ДРИ, у виду расправа о извештајима</w:t>
      </w:r>
      <w:r w:rsidR="004661B8" w:rsidRPr="0081082A">
        <w:rPr>
          <w:rFonts w:ascii="Times New Roman" w:hAnsi="Times New Roman"/>
          <w:sz w:val="24"/>
          <w:lang w:val="sr-Cyrl-RS"/>
        </w:rPr>
        <w:t>,</w:t>
      </w:r>
      <w:r w:rsidRPr="0081082A">
        <w:rPr>
          <w:rFonts w:ascii="Times New Roman" w:hAnsi="Times New Roman"/>
          <w:sz w:val="24"/>
          <w:lang w:val="sr-Cyrl-RS"/>
        </w:rPr>
        <w:t xml:space="preserve"> у којима, поред представника ДРИ, учествују и субјекти ревизије, представници надлежних министарстава и други релевантни актери, такође имају за циљ повећање транспарентности јавних финансија.</w:t>
      </w:r>
    </w:p>
    <w:p w:rsidR="001C00C3" w:rsidRPr="0081082A" w:rsidRDefault="001C00C3" w:rsidP="00784CDD">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У претходном петогодишњем периоду значајно су унапређени и капацитети ИТ система Министарства финансија и управа у саставу, као и других инс</w:t>
      </w:r>
      <w:r w:rsidR="00C36537">
        <w:rPr>
          <w:rFonts w:ascii="Times New Roman" w:hAnsi="Times New Roman"/>
          <w:sz w:val="24"/>
          <w:lang w:val="sr-Cyrl-RS"/>
        </w:rPr>
        <w:t>т</w:t>
      </w:r>
      <w:r w:rsidRPr="0081082A">
        <w:rPr>
          <w:rFonts w:ascii="Times New Roman" w:hAnsi="Times New Roman"/>
          <w:sz w:val="24"/>
          <w:lang w:val="sr-Cyrl-RS"/>
        </w:rPr>
        <w:t xml:space="preserve">итуција у Радној групи ПРУЈФ. Развијен je Буџетски информациони систем за израду буџета (БИС). Унапређен је Информациони систем за извршење буџета (ИСИБ), који као део система управљања јавним финансијама обухвата процесе и поступке који се спроводе електронском комуникацијом са Управом за трезор, и у који је укључено 529 индиректних буџетских корисника, и успостављен </w:t>
      </w:r>
      <w:r w:rsidR="00367C9A" w:rsidRPr="0081082A">
        <w:rPr>
          <w:rFonts w:ascii="Times New Roman" w:hAnsi="Times New Roman"/>
          <w:sz w:val="24"/>
          <w:lang w:val="sr-Cyrl-RS"/>
        </w:rPr>
        <w:t xml:space="preserve">је </w:t>
      </w:r>
      <w:r w:rsidRPr="0081082A">
        <w:rPr>
          <w:rFonts w:ascii="Times New Roman" w:hAnsi="Times New Roman"/>
          <w:sz w:val="24"/>
          <w:lang w:val="sr-Cyrl-RS"/>
        </w:rPr>
        <w:t>Централни регистар фактура (ЦРФ) Управе за трезор. Систем за електронско попуњавање и прикупљање годишњих извештаја о стању финансијског управљања и контроле</w:t>
      </w:r>
      <w:r w:rsidR="00367C9A" w:rsidRPr="0081082A">
        <w:rPr>
          <w:rFonts w:ascii="Times New Roman" w:hAnsi="Times New Roman"/>
          <w:sz w:val="24"/>
          <w:lang w:val="sr-Cyrl-RS"/>
        </w:rPr>
        <w:t>,</w:t>
      </w:r>
      <w:r w:rsidRPr="0081082A">
        <w:rPr>
          <w:rFonts w:ascii="Times New Roman" w:hAnsi="Times New Roman"/>
          <w:sz w:val="24"/>
          <w:lang w:val="sr-Cyrl-RS"/>
        </w:rPr>
        <w:t xml:space="preserve"> коју врше корисници јавних средстава</w:t>
      </w:r>
      <w:r w:rsidR="00367C9A" w:rsidRPr="0081082A">
        <w:rPr>
          <w:rFonts w:ascii="Times New Roman" w:hAnsi="Times New Roman"/>
          <w:sz w:val="24"/>
          <w:lang w:val="sr-Cyrl-RS"/>
        </w:rPr>
        <w:t>,</w:t>
      </w:r>
      <w:r w:rsidRPr="0081082A">
        <w:rPr>
          <w:rFonts w:ascii="Times New Roman" w:hAnsi="Times New Roman"/>
          <w:sz w:val="24"/>
          <w:lang w:val="sr-Cyrl-RS"/>
        </w:rPr>
        <w:t xml:space="preserve"> развијен је и тестиран. Поред уобичајеног подношења извештаја на папиру, у 2020. години се први пут испробава Систем електронског извештавања, </w:t>
      </w:r>
      <w:r w:rsidR="00367C9A" w:rsidRPr="0081082A">
        <w:rPr>
          <w:rFonts w:ascii="Times New Roman" w:hAnsi="Times New Roman"/>
          <w:sz w:val="24"/>
          <w:lang w:val="sr-Cyrl-RS"/>
        </w:rPr>
        <w:t xml:space="preserve">чије је увођење </w:t>
      </w:r>
      <w:r w:rsidRPr="0081082A">
        <w:rPr>
          <w:rFonts w:ascii="Times New Roman" w:hAnsi="Times New Roman"/>
          <w:sz w:val="24"/>
          <w:lang w:val="sr-Cyrl-RS"/>
        </w:rPr>
        <w:t>планира</w:t>
      </w:r>
      <w:r w:rsidR="00367C9A" w:rsidRPr="0081082A">
        <w:rPr>
          <w:rFonts w:ascii="Times New Roman" w:hAnsi="Times New Roman"/>
          <w:sz w:val="24"/>
          <w:lang w:val="sr-Cyrl-RS"/>
        </w:rPr>
        <w:t>но</w:t>
      </w:r>
      <w:r w:rsidRPr="0081082A">
        <w:rPr>
          <w:rFonts w:ascii="Times New Roman" w:hAnsi="Times New Roman"/>
          <w:sz w:val="24"/>
          <w:lang w:val="sr-Cyrl-RS"/>
        </w:rPr>
        <w:t xml:space="preserve"> од 2021. године, а тада и подношење извештаја у електронском облику постаје обавезно. У области реформе рачуноводства и финансијског извештавањ</w:t>
      </w:r>
      <w:r w:rsidR="00367C9A" w:rsidRPr="0081082A">
        <w:rPr>
          <w:rFonts w:ascii="Times New Roman" w:hAnsi="Times New Roman"/>
          <w:sz w:val="24"/>
          <w:lang w:val="sr-Cyrl-RS"/>
        </w:rPr>
        <w:t>а,</w:t>
      </w:r>
      <w:r w:rsidRPr="0081082A">
        <w:rPr>
          <w:rFonts w:ascii="Times New Roman" w:hAnsi="Times New Roman"/>
          <w:sz w:val="24"/>
          <w:lang w:val="sr-Cyrl-RS"/>
        </w:rPr>
        <w:t xml:space="preserve"> започето је увођење Јединственог информационог система за припрему извршења буџета и буџетско рачуноводство и извештавање (СИПИРИ), који ће до 2022. године у потпуности заменити досадашњи ИСИБ. Током 2020. године у Управи за трезор имплементиран је информациони систем извршења буџета аутономне покрајине и јединица локалне самоуправе (ИСИБ АП ЈЛС)</w:t>
      </w:r>
      <w:r w:rsidR="00367C9A" w:rsidRPr="0081082A">
        <w:rPr>
          <w:rFonts w:ascii="Times New Roman" w:hAnsi="Times New Roman"/>
          <w:sz w:val="24"/>
          <w:lang w:val="sr-Cyrl-RS"/>
        </w:rPr>
        <w:t>,</w:t>
      </w:r>
      <w:r w:rsidRPr="0081082A">
        <w:rPr>
          <w:rFonts w:ascii="Times New Roman" w:hAnsi="Times New Roman"/>
          <w:sz w:val="24"/>
          <w:lang w:val="sr-Cyrl-RS"/>
        </w:rPr>
        <w:t xml:space="preserve"> чија примена је почела 1. јануара 2021. године. Током 2020. године у Управи за трезор имплементиран је и информациони систем за подношење финансијских извештаја (ИСПФИ), који има за циљ унапређење процеса прикупљања, контроле и консолидације података на свим нивоима власти.</w:t>
      </w:r>
    </w:p>
    <w:p w:rsidR="00311B17" w:rsidRPr="0081082A" w:rsidRDefault="00311B17" w:rsidP="00F61896">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Спровођење Програма трансформације 2015-2020. године резултирало је, пре свега, повећањем наплате јавних прихода</w:t>
      </w:r>
      <w:r w:rsidR="006069E9" w:rsidRPr="0081082A">
        <w:rPr>
          <w:rFonts w:ascii="Times New Roman" w:hAnsi="Times New Roman"/>
          <w:sz w:val="24"/>
          <w:lang w:val="sr-Cyrl-RS"/>
        </w:rPr>
        <w:t>,</w:t>
      </w:r>
      <w:r w:rsidRPr="0081082A">
        <w:rPr>
          <w:rFonts w:ascii="Times New Roman" w:hAnsi="Times New Roman"/>
          <w:sz w:val="24"/>
          <w:lang w:val="sr-Cyrl-RS"/>
        </w:rPr>
        <w:t xml:space="preserve"> као и истовременим значајним унапређењем квалитета услуга Пореске управе, како грађанима тако и привреди. Пореска управа је почетком 2018. године окончала поступак дигитализације подношења пореских пријава, увела низ корисних електронских сервиса пореским обвезницима од којих су </w:t>
      </w:r>
      <w:r w:rsidR="00CA7203" w:rsidRPr="0081082A">
        <w:rPr>
          <w:rFonts w:ascii="Times New Roman" w:hAnsi="Times New Roman"/>
          <w:sz w:val="24"/>
          <w:lang w:val="sr-Cyrl-RS"/>
        </w:rPr>
        <w:t xml:space="preserve">међу </w:t>
      </w:r>
      <w:r w:rsidRPr="0081082A">
        <w:rPr>
          <w:rFonts w:ascii="Times New Roman" w:hAnsi="Times New Roman"/>
          <w:sz w:val="24"/>
          <w:lang w:val="sr-Cyrl-RS"/>
        </w:rPr>
        <w:t>најзначајнији</w:t>
      </w:r>
      <w:r w:rsidR="00CA7203" w:rsidRPr="0081082A">
        <w:rPr>
          <w:rFonts w:ascii="Times New Roman" w:hAnsi="Times New Roman"/>
          <w:sz w:val="24"/>
          <w:lang w:val="sr-Cyrl-RS"/>
        </w:rPr>
        <w:t>ма</w:t>
      </w:r>
      <w:r w:rsidRPr="0081082A">
        <w:rPr>
          <w:rFonts w:ascii="Times New Roman" w:hAnsi="Times New Roman"/>
          <w:sz w:val="24"/>
          <w:lang w:val="sr-Cyrl-RS"/>
        </w:rPr>
        <w:t xml:space="preserve"> издавање електронских уверења</w:t>
      </w:r>
      <w:r w:rsidR="00CA7203" w:rsidRPr="0081082A">
        <w:rPr>
          <w:rFonts w:ascii="Times New Roman" w:hAnsi="Times New Roman"/>
          <w:sz w:val="24"/>
          <w:lang w:val="sr-Cyrl-RS"/>
        </w:rPr>
        <w:t>,</w:t>
      </w:r>
      <w:r w:rsidRPr="0081082A">
        <w:rPr>
          <w:rFonts w:ascii="Times New Roman" w:hAnsi="Times New Roman"/>
          <w:sz w:val="24"/>
          <w:lang w:val="sr-Cyrl-RS"/>
        </w:rPr>
        <w:t xml:space="preserve"> уведено у првој половини 2019. године</w:t>
      </w:r>
      <w:r w:rsidR="00CA7203" w:rsidRPr="0081082A">
        <w:rPr>
          <w:rFonts w:ascii="Times New Roman" w:hAnsi="Times New Roman"/>
          <w:sz w:val="24"/>
          <w:lang w:val="sr-Cyrl-RS"/>
        </w:rPr>
        <w:t>, као</w:t>
      </w:r>
      <w:r w:rsidRPr="0081082A">
        <w:rPr>
          <w:rFonts w:ascii="Times New Roman" w:hAnsi="Times New Roman"/>
          <w:sz w:val="24"/>
          <w:lang w:val="sr-Cyrl-RS"/>
        </w:rPr>
        <w:t xml:space="preserve"> и у првој половини 2020. године електронско поштанско сандуче за обвезнике пореза на приходе од самосталне делатности који се паушално опорезују.</w:t>
      </w:r>
    </w:p>
    <w:p w:rsidR="00311B17" w:rsidRPr="0081082A" w:rsidRDefault="00311B17" w:rsidP="00F61896">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lastRenderedPageBreak/>
        <w:t>Реализацијом Програма трансформације 2021-2025. године планира се увођење новог система фискализације</w:t>
      </w:r>
      <w:r w:rsidR="007F062B" w:rsidRPr="0081082A">
        <w:rPr>
          <w:rFonts w:ascii="Times New Roman" w:hAnsi="Times New Roman"/>
          <w:sz w:val="24"/>
          <w:lang w:val="sr-Cyrl-RS"/>
        </w:rPr>
        <w:t xml:space="preserve"> и е-фактура</w:t>
      </w:r>
      <w:r w:rsidR="001E4F59" w:rsidRPr="0081082A">
        <w:rPr>
          <w:rFonts w:ascii="Times New Roman" w:hAnsi="Times New Roman"/>
          <w:sz w:val="24"/>
          <w:lang w:val="sr-Cyrl-RS"/>
        </w:rPr>
        <w:t>,</w:t>
      </w:r>
      <w:r w:rsidRPr="0081082A">
        <w:rPr>
          <w:rFonts w:ascii="Times New Roman" w:hAnsi="Times New Roman"/>
          <w:sz w:val="24"/>
          <w:lang w:val="sr-Cyrl-RS"/>
        </w:rPr>
        <w:t xml:space="preserve"> што ће довести до ефикаснијег прикупљања прихода и следствено бољег општег стања система јавних финансија.</w:t>
      </w:r>
    </w:p>
    <w:p w:rsidR="00B27F38" w:rsidRPr="0081082A" w:rsidRDefault="00B27F38">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Нови компјутеризовани транзитни поступак је први електронски, беспапирни царински поступак у Републици Србији, чије је увођење обавеза и услов за приступање Србије пуноправном чланству у Европској унији. Примена НЦТС на националном нивоу успешно је почела 25. јануара 2015. године.</w:t>
      </w:r>
      <w:r w:rsidR="001E4F59" w:rsidRPr="0081082A">
        <w:rPr>
          <w:rFonts w:ascii="Times New Roman" w:hAnsi="Times New Roman"/>
          <w:sz w:val="24"/>
          <w:lang w:val="sr-Cyrl-RS"/>
        </w:rPr>
        <w:t xml:space="preserve"> </w:t>
      </w:r>
      <w:r w:rsidRPr="0081082A">
        <w:rPr>
          <w:rFonts w:ascii="Times New Roman" w:hAnsi="Times New Roman"/>
          <w:sz w:val="24"/>
          <w:lang w:val="sr-Cyrl-RS"/>
        </w:rPr>
        <w:t xml:space="preserve">Употребом овог транзитног поступка створени су услови унапређења позиције Републике Србије као транзитне земље, јер је тај систем омогућио подношење електронских декларација за транзит робе и комплетно електронско вођење и управљање транзитним царинским пословима у друмском саобраћају. Папирна декларација је замењена електронском, на ефикасан и сигуран начин. </w:t>
      </w:r>
    </w:p>
    <w:p w:rsidR="00065DB1" w:rsidRPr="0081082A" w:rsidRDefault="00065DB1" w:rsidP="00F61896">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 xml:space="preserve">Управа царина Републике Србије, у циљу процеса даље модернизације, спровела је пројекат </w:t>
      </w:r>
      <w:r w:rsidR="00A34AE0" w:rsidRPr="0081082A">
        <w:rPr>
          <w:rFonts w:ascii="Times New Roman" w:hAnsi="Times New Roman" w:cs="Times New Roman"/>
          <w:sz w:val="24"/>
          <w:lang w:val="sr-Cyrl-RS"/>
        </w:rPr>
        <w:t>„</w:t>
      </w:r>
      <w:r w:rsidRPr="0081082A">
        <w:rPr>
          <w:rFonts w:ascii="Times New Roman" w:hAnsi="Times New Roman"/>
          <w:sz w:val="24"/>
          <w:lang w:val="sr-Cyrl-RS"/>
        </w:rPr>
        <w:t>Техничка помоћ за успостављање институционалног оквира за имплементацију аутоматизованог увозног система (</w:t>
      </w:r>
      <w:r w:rsidR="001E4F59" w:rsidRPr="0081082A">
        <w:rPr>
          <w:rFonts w:ascii="Times New Roman" w:hAnsi="Times New Roman"/>
          <w:i/>
          <w:iCs/>
          <w:sz w:val="24"/>
          <w:lang w:val="sr-Cyrl-RS"/>
        </w:rPr>
        <w:t>АIS</w:t>
      </w:r>
      <w:r w:rsidRPr="0081082A">
        <w:rPr>
          <w:rFonts w:ascii="Times New Roman" w:hAnsi="Times New Roman"/>
          <w:sz w:val="24"/>
          <w:lang w:val="sr-Cyrl-RS"/>
        </w:rPr>
        <w:t>) и извозног система (</w:t>
      </w:r>
      <w:r w:rsidR="001E4F59" w:rsidRPr="0081082A">
        <w:rPr>
          <w:rFonts w:ascii="Times New Roman" w:hAnsi="Times New Roman"/>
          <w:i/>
          <w:iCs/>
          <w:sz w:val="24"/>
          <w:lang w:val="sr-Cyrl-RS"/>
        </w:rPr>
        <w:t>АЕS</w:t>
      </w:r>
      <w:r w:rsidRPr="0081082A">
        <w:rPr>
          <w:rFonts w:ascii="Times New Roman" w:hAnsi="Times New Roman"/>
          <w:sz w:val="24"/>
          <w:lang w:val="sr-Cyrl-RS"/>
        </w:rPr>
        <w:t>)</w:t>
      </w:r>
      <w:r w:rsidR="007E728E" w:rsidRPr="0081082A">
        <w:rPr>
          <w:rFonts w:ascii="Times New Roman" w:hAnsi="Times New Roman"/>
          <w:sz w:val="24"/>
          <w:lang w:val="sr-Cyrl-RS"/>
        </w:rPr>
        <w:t>”</w:t>
      </w:r>
      <w:r w:rsidRPr="0081082A">
        <w:rPr>
          <w:rFonts w:ascii="Times New Roman" w:hAnsi="Times New Roman"/>
          <w:sz w:val="24"/>
          <w:lang w:val="sr-Cyrl-RS"/>
        </w:rPr>
        <w:t xml:space="preserve"> који се финансирао средствима из претприступних фондова ЕУ (ИПА 2013). </w:t>
      </w:r>
    </w:p>
    <w:p w:rsidR="00065DB1" w:rsidRPr="0081082A" w:rsidRDefault="00065DB1" w:rsidP="00F61896">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Сврха овог пројекта се односила на стварање услова и јачање сопствених административних и оперативних капацитета за имплементацију аутоматизованих система увоза (</w:t>
      </w:r>
      <w:r w:rsidR="001E4F59" w:rsidRPr="0081082A">
        <w:rPr>
          <w:rFonts w:ascii="Times New Roman" w:hAnsi="Times New Roman"/>
          <w:i/>
          <w:iCs/>
          <w:sz w:val="24"/>
          <w:lang w:val="sr-Cyrl-RS"/>
        </w:rPr>
        <w:t>АIS</w:t>
      </w:r>
      <w:r w:rsidRPr="0081082A">
        <w:rPr>
          <w:rFonts w:ascii="Times New Roman" w:hAnsi="Times New Roman"/>
          <w:sz w:val="24"/>
          <w:lang w:val="sr-Cyrl-RS"/>
        </w:rPr>
        <w:t>) и извоза (</w:t>
      </w:r>
      <w:r w:rsidR="001E4F59" w:rsidRPr="0081082A">
        <w:rPr>
          <w:rFonts w:ascii="Times New Roman" w:hAnsi="Times New Roman"/>
          <w:i/>
          <w:iCs/>
          <w:sz w:val="24"/>
          <w:lang w:val="sr-Cyrl-RS"/>
        </w:rPr>
        <w:t>АЕS</w:t>
      </w:r>
      <w:r w:rsidRPr="0081082A">
        <w:rPr>
          <w:rFonts w:ascii="Times New Roman" w:hAnsi="Times New Roman"/>
          <w:sz w:val="24"/>
          <w:lang w:val="sr-Cyrl-RS"/>
        </w:rPr>
        <w:t xml:space="preserve">), чије увођење ће се остварити кроз ИПА 2020. </w:t>
      </w:r>
    </w:p>
    <w:p w:rsidR="00EE450B" w:rsidRPr="0081082A" w:rsidRDefault="00EE450B" w:rsidP="00EE450B">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У току је рад  на припреми оперативне имплементације  увозних и извозних аутоматизованих система (</w:t>
      </w:r>
      <w:r w:rsidRPr="0081082A">
        <w:rPr>
          <w:rFonts w:ascii="Times New Roman" w:hAnsi="Times New Roman"/>
          <w:i/>
          <w:iCs/>
          <w:sz w:val="24"/>
          <w:lang w:val="sr-Cyrl-RS"/>
        </w:rPr>
        <w:t>АIS/АЕS</w:t>
      </w:r>
      <w:r w:rsidRPr="0081082A">
        <w:rPr>
          <w:rFonts w:ascii="Times New Roman" w:hAnsi="Times New Roman"/>
          <w:sz w:val="24"/>
          <w:lang w:val="sr-Cyrl-RS"/>
        </w:rPr>
        <w:t>) и система управљања царинским одлукама (</w:t>
      </w:r>
      <w:r w:rsidRPr="0081082A">
        <w:rPr>
          <w:rFonts w:ascii="Times New Roman" w:hAnsi="Times New Roman"/>
          <w:i/>
          <w:iCs/>
          <w:sz w:val="24"/>
          <w:lang w:val="sr-Cyrl-RS"/>
        </w:rPr>
        <w:t>CDMS</w:t>
      </w:r>
      <w:r w:rsidRPr="0081082A">
        <w:rPr>
          <w:rFonts w:ascii="Times New Roman" w:hAnsi="Times New Roman"/>
          <w:sz w:val="24"/>
          <w:lang w:val="sr-Cyrl-RS"/>
        </w:rPr>
        <w:t>), који са собом носе многе бенефите, између осталог укидање папирног пословања, заштиту</w:t>
      </w:r>
      <w:r w:rsidR="001C290F">
        <w:rPr>
          <w:rFonts w:ascii="Times New Roman" w:hAnsi="Times New Roman"/>
          <w:sz w:val="24"/>
          <w:lang w:val="sr-Cyrl-RS"/>
        </w:rPr>
        <w:t xml:space="preserve"> интерес</w:t>
      </w:r>
      <w:r w:rsidRPr="0081082A">
        <w:rPr>
          <w:rFonts w:ascii="Times New Roman" w:hAnsi="Times New Roman"/>
          <w:sz w:val="24"/>
          <w:lang w:val="sr-Cyrl-RS"/>
        </w:rPr>
        <w:t>а грађана кроз бољу контролу увоза и извоза, побољшање аспекта сигурности и безбедности, ефикасније пуњење буџета и сл.</w:t>
      </w:r>
    </w:p>
    <w:p w:rsidR="001C00C3" w:rsidRPr="0081082A" w:rsidRDefault="001C00C3" w:rsidP="001C00C3">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 xml:space="preserve">Унапређен је Систем за управљање јавним дугом. Софтвер за управљање јавним дугом израђен је крајем 2018. године, и његово увођење </w:t>
      </w:r>
      <w:r w:rsidR="005D4169" w:rsidRPr="0081082A">
        <w:rPr>
          <w:rFonts w:ascii="Times New Roman" w:hAnsi="Times New Roman"/>
          <w:sz w:val="24"/>
          <w:lang w:val="sr-Cyrl-RS"/>
        </w:rPr>
        <w:t xml:space="preserve">је помогло </w:t>
      </w:r>
      <w:r w:rsidRPr="0081082A">
        <w:rPr>
          <w:rFonts w:ascii="Times New Roman" w:hAnsi="Times New Roman"/>
          <w:sz w:val="24"/>
          <w:lang w:val="sr-Cyrl-RS"/>
        </w:rPr>
        <w:t xml:space="preserve">превазилажењу </w:t>
      </w:r>
      <w:r w:rsidR="005D4169" w:rsidRPr="0081082A">
        <w:rPr>
          <w:rFonts w:ascii="Times New Roman" w:hAnsi="Times New Roman"/>
          <w:sz w:val="24"/>
          <w:lang w:val="sr-Cyrl-RS"/>
        </w:rPr>
        <w:t xml:space="preserve">оперативних </w:t>
      </w:r>
      <w:r w:rsidRPr="0081082A">
        <w:rPr>
          <w:rFonts w:ascii="Times New Roman" w:hAnsi="Times New Roman"/>
          <w:sz w:val="24"/>
          <w:lang w:val="sr-Cyrl-RS"/>
        </w:rPr>
        <w:t xml:space="preserve">проблема у раду Управе за јавни дуг и унапређењу њених аналитичких капацитета. Уведен је софтвер </w:t>
      </w:r>
      <w:r w:rsidRPr="0081082A">
        <w:rPr>
          <w:rFonts w:ascii="Times New Roman" w:hAnsi="Times New Roman"/>
          <w:i/>
          <w:iCs/>
          <w:sz w:val="24"/>
          <w:lang w:val="sr-Cyrl-RS"/>
        </w:rPr>
        <w:t>AuditDoc</w:t>
      </w:r>
      <w:r w:rsidRPr="0081082A">
        <w:rPr>
          <w:rFonts w:ascii="Times New Roman" w:hAnsi="Times New Roman"/>
          <w:sz w:val="24"/>
          <w:lang w:val="sr-Cyrl-RS"/>
        </w:rPr>
        <w:t xml:space="preserve"> за ревизију и руковање документима, a успостављен је и ЈИС, којим управља РСЈП. У циљу прецизног и аутоматизованог планирања средстава и расхода за запослене у Р</w:t>
      </w:r>
      <w:r w:rsidR="00D539B3" w:rsidRPr="0081082A">
        <w:rPr>
          <w:rFonts w:ascii="Times New Roman" w:hAnsi="Times New Roman"/>
          <w:sz w:val="24"/>
          <w:lang w:val="sr-Cyrl-RS"/>
        </w:rPr>
        <w:t xml:space="preserve">епублици </w:t>
      </w:r>
      <w:r w:rsidRPr="0081082A">
        <w:rPr>
          <w:rFonts w:ascii="Times New Roman" w:hAnsi="Times New Roman"/>
          <w:sz w:val="24"/>
          <w:lang w:val="sr-Cyrl-RS"/>
        </w:rPr>
        <w:t>С</w:t>
      </w:r>
      <w:r w:rsidR="00D539B3" w:rsidRPr="0081082A">
        <w:rPr>
          <w:rFonts w:ascii="Times New Roman" w:hAnsi="Times New Roman"/>
          <w:sz w:val="24"/>
          <w:lang w:val="sr-Cyrl-RS"/>
        </w:rPr>
        <w:t>рбији</w:t>
      </w:r>
      <w:r w:rsidR="001E4F59" w:rsidRPr="0081082A">
        <w:rPr>
          <w:rFonts w:ascii="Times New Roman" w:hAnsi="Times New Roman"/>
          <w:sz w:val="24"/>
          <w:lang w:val="sr-Cyrl-RS"/>
        </w:rPr>
        <w:t>,</w:t>
      </w:r>
      <w:r w:rsidRPr="0081082A">
        <w:rPr>
          <w:rFonts w:ascii="Times New Roman" w:hAnsi="Times New Roman"/>
          <w:sz w:val="24"/>
          <w:lang w:val="sr-Cyrl-RS"/>
        </w:rPr>
        <w:t xml:space="preserve"> Министарство финансија је формирало Регистар за јединствену евиденцију корисника јавних средстава за потребе управљања људским ресурсима (РЈЕКЈС), који је оперативан од 2020. године, а у току је и израда Ин</w:t>
      </w:r>
      <w:r w:rsidR="001E4F59" w:rsidRPr="0081082A">
        <w:rPr>
          <w:rFonts w:ascii="Times New Roman" w:hAnsi="Times New Roman"/>
          <w:sz w:val="24"/>
          <w:lang w:val="sr-Cyrl-RS"/>
        </w:rPr>
        <w:t>ф</w:t>
      </w:r>
      <w:r w:rsidRPr="0081082A">
        <w:rPr>
          <w:rFonts w:ascii="Times New Roman" w:hAnsi="Times New Roman"/>
          <w:sz w:val="24"/>
          <w:lang w:val="sr-Cyrl-RS"/>
        </w:rPr>
        <w:t>ормационог система за обрачун зарада (ЦИСОЗ) запослених у јавном сектору</w:t>
      </w:r>
      <w:r w:rsidR="001E4F59" w:rsidRPr="0081082A">
        <w:rPr>
          <w:rFonts w:ascii="Times New Roman" w:hAnsi="Times New Roman"/>
          <w:sz w:val="24"/>
          <w:lang w:val="sr-Cyrl-RS"/>
        </w:rPr>
        <w:t>.</w:t>
      </w:r>
      <w:r w:rsidRPr="0081082A">
        <w:rPr>
          <w:rFonts w:ascii="Times New Roman" w:hAnsi="Times New Roman"/>
          <w:sz w:val="10"/>
          <w:szCs w:val="10"/>
          <w:lang w:val="sr-Cyrl-RS"/>
        </w:rPr>
        <w:footnoteReference w:id="21"/>
      </w:r>
      <w:r w:rsidRPr="0081082A">
        <w:rPr>
          <w:rFonts w:ascii="Times New Roman" w:hAnsi="Times New Roman"/>
          <w:sz w:val="24"/>
          <w:lang w:val="sr-Cyrl-RS"/>
        </w:rPr>
        <w:t xml:space="preserve"> Нови Портал јавних набавки, који је у потпуности у складу са Законом о јавним набавкама из 2019. године, представља значајан корак у процесу дигитализације поступака јавних набавки</w:t>
      </w:r>
      <w:r w:rsidR="001E4F59" w:rsidRPr="0081082A">
        <w:rPr>
          <w:rFonts w:ascii="Times New Roman" w:hAnsi="Times New Roman"/>
          <w:sz w:val="24"/>
          <w:lang w:val="sr-Cyrl-RS"/>
        </w:rPr>
        <w:t>,</w:t>
      </w:r>
      <w:r w:rsidRPr="0081082A">
        <w:rPr>
          <w:rFonts w:ascii="Times New Roman" w:hAnsi="Times New Roman"/>
          <w:sz w:val="24"/>
          <w:lang w:val="sr-Cyrl-RS"/>
        </w:rPr>
        <w:t xml:space="preserve"> јер омогућава: е-подношење понуда, е-доделу уговора, е-аукције, динамични систем набавке, е-планирање, е-жалбе, е-каталог.</w:t>
      </w:r>
    </w:p>
    <w:p w:rsidR="001C00C3" w:rsidRPr="0081082A" w:rsidRDefault="001C00C3" w:rsidP="001C00C3">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Од јануара 2017. године, путем званичне интернет странице Министарства финансија, отворена је могућност примања пријава неправилности у поступању са финансијским средствима ЕУ</w:t>
      </w:r>
      <w:r w:rsidR="00CE237B" w:rsidRPr="0081082A">
        <w:rPr>
          <w:rFonts w:ascii="Times New Roman" w:hAnsi="Times New Roman"/>
          <w:sz w:val="24"/>
          <w:lang w:val="sr-Cyrl-RS"/>
        </w:rPr>
        <w:t>.</w:t>
      </w:r>
      <w:r w:rsidRPr="0081082A">
        <w:rPr>
          <w:rFonts w:ascii="Times New Roman" w:hAnsi="Times New Roman"/>
          <w:sz w:val="10"/>
          <w:szCs w:val="10"/>
          <w:lang w:val="sr-Cyrl-RS"/>
        </w:rPr>
        <w:footnoteReference w:id="22"/>
      </w:r>
      <w:r w:rsidRPr="0081082A">
        <w:rPr>
          <w:rFonts w:ascii="Times New Roman" w:hAnsi="Times New Roman"/>
          <w:sz w:val="24"/>
          <w:lang w:val="sr-Cyrl-RS"/>
        </w:rPr>
        <w:t xml:space="preserve"> Од августа 2018. године, отворена је могућност директног извештавања о утврђеним неправилностима и сумњама на превару у поступању са финансијским средствима ЕУ од стране АФКОС-а, кроз систем електронског извештавања (</w:t>
      </w:r>
      <w:r w:rsidRPr="0081082A">
        <w:rPr>
          <w:rFonts w:ascii="Times New Roman" w:hAnsi="Times New Roman"/>
          <w:i/>
          <w:iCs/>
          <w:sz w:val="24"/>
          <w:lang w:val="sr-Cyrl-RS"/>
        </w:rPr>
        <w:t>Irregularity Management System - IMS</w:t>
      </w:r>
      <w:r w:rsidRPr="0081082A" w:rsidDel="006608F5">
        <w:rPr>
          <w:rFonts w:ascii="Times New Roman" w:hAnsi="Times New Roman"/>
          <w:sz w:val="24"/>
          <w:lang w:val="sr-Cyrl-RS"/>
        </w:rPr>
        <w:t xml:space="preserve"> </w:t>
      </w:r>
      <w:r w:rsidRPr="0081082A">
        <w:rPr>
          <w:rFonts w:ascii="Times New Roman" w:hAnsi="Times New Roman"/>
          <w:sz w:val="24"/>
          <w:lang w:val="sr-Cyrl-RS"/>
        </w:rPr>
        <w:t xml:space="preserve">) Европске комисије и </w:t>
      </w:r>
      <w:r w:rsidR="00CE237B" w:rsidRPr="0081082A">
        <w:rPr>
          <w:rFonts w:ascii="Times New Roman" w:hAnsi="Times New Roman"/>
          <w:i/>
          <w:iCs/>
          <w:sz w:val="24"/>
          <w:lang w:val="sr-Cyrl-RS"/>
        </w:rPr>
        <w:lastRenderedPageBreak/>
        <w:t>OLAF</w:t>
      </w:r>
      <w:r w:rsidR="00CE237B" w:rsidRPr="0081082A">
        <w:rPr>
          <w:rFonts w:ascii="Times New Roman" w:hAnsi="Times New Roman"/>
          <w:sz w:val="24"/>
          <w:lang w:val="sr-Cyrl-RS"/>
        </w:rPr>
        <w:t>-а</w:t>
      </w:r>
      <w:r w:rsidRPr="0081082A">
        <w:rPr>
          <w:rFonts w:ascii="Times New Roman" w:hAnsi="Times New Roman"/>
          <w:sz w:val="24"/>
          <w:lang w:val="sr-Cyrl-RS"/>
        </w:rPr>
        <w:t>. У надлежности ЦЈХ</w:t>
      </w:r>
      <w:r w:rsidR="00CE237B" w:rsidRPr="0081082A">
        <w:rPr>
          <w:rFonts w:ascii="Times New Roman" w:hAnsi="Times New Roman"/>
          <w:sz w:val="24"/>
          <w:lang w:val="sr-Cyrl-RS"/>
        </w:rPr>
        <w:t>,</w:t>
      </w:r>
      <w:r w:rsidRPr="0081082A">
        <w:rPr>
          <w:rFonts w:ascii="Times New Roman" w:hAnsi="Times New Roman"/>
          <w:sz w:val="24"/>
          <w:lang w:val="sr-Cyrl-RS"/>
        </w:rPr>
        <w:t xml:space="preserve"> софтвер за прикупљање Годишњих извештаја о систему финансијског управљања и контроле и Годишњих извештаја о обављеним ревизијама и активностима интерне ревизије у 2020. је постао функционалан. </w:t>
      </w:r>
    </w:p>
    <w:p w:rsidR="001C00C3" w:rsidRPr="0081082A" w:rsidRDefault="001C00C3" w:rsidP="001C00C3">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ДРИ је паралелно радила на побољшању системског праћења спровођења препорука ревизије и на дигитализацији процеса ревизије. У склопу развоја прилагођеног софтвера за управљање ревизијама (</w:t>
      </w:r>
      <w:r w:rsidRPr="0081082A">
        <w:rPr>
          <w:rFonts w:ascii="Times New Roman" w:hAnsi="Times New Roman"/>
          <w:i/>
          <w:iCs/>
          <w:sz w:val="24"/>
          <w:lang w:val="sr-Cyrl-RS"/>
        </w:rPr>
        <w:t>Audit Managment System-AMS</w:t>
      </w:r>
      <w:r w:rsidRPr="0081082A">
        <w:rPr>
          <w:rFonts w:ascii="Times New Roman" w:hAnsi="Times New Roman"/>
          <w:sz w:val="24"/>
          <w:lang w:val="sr-Cyrl-RS"/>
        </w:rPr>
        <w:t>), завршено је мапирање процеса ревизије и утврђивање захтева.</w:t>
      </w:r>
      <w:r w:rsidR="00B75EAE">
        <w:rPr>
          <w:rFonts w:ascii="Times New Roman" w:hAnsi="Times New Roman"/>
          <w:sz w:val="24"/>
          <w:lang w:val="sr-Cyrl-RS"/>
        </w:rPr>
        <w:t xml:space="preserve"> </w:t>
      </w:r>
      <w:r w:rsidRPr="0081082A">
        <w:rPr>
          <w:rFonts w:ascii="Times New Roman" w:hAnsi="Times New Roman"/>
          <w:sz w:val="24"/>
          <w:lang w:val="sr-Cyrl-RS"/>
        </w:rPr>
        <w:t>У наредном периоду се предвиђа унапређење тих система и њихове интероперабилности у процесу јачања капацитета за планирање и буџетирање јавних расхода. Имајући у виду интензивне активности у области дигитализације јавне управе</w:t>
      </w:r>
      <w:r w:rsidR="00AF11A9" w:rsidRPr="0081082A">
        <w:rPr>
          <w:rFonts w:ascii="Times New Roman" w:hAnsi="Times New Roman"/>
          <w:sz w:val="24"/>
          <w:lang w:val="sr-Cyrl-RS"/>
        </w:rPr>
        <w:t>,</w:t>
      </w:r>
      <w:r w:rsidRPr="0081082A">
        <w:rPr>
          <w:rFonts w:ascii="Times New Roman" w:hAnsi="Times New Roman"/>
          <w:sz w:val="24"/>
          <w:lang w:val="sr-Cyrl-RS"/>
        </w:rPr>
        <w:t xml:space="preserve"> у Министарству финансија је </w:t>
      </w:r>
      <w:r w:rsidR="00AF11A9" w:rsidRPr="0081082A">
        <w:rPr>
          <w:rFonts w:ascii="Times New Roman" w:hAnsi="Times New Roman"/>
          <w:sz w:val="24"/>
          <w:lang w:val="sr-Cyrl-RS"/>
        </w:rPr>
        <w:t xml:space="preserve">2020. године </w:t>
      </w:r>
      <w:r w:rsidRPr="0081082A">
        <w:rPr>
          <w:rFonts w:ascii="Times New Roman" w:hAnsi="Times New Roman"/>
          <w:sz w:val="24"/>
          <w:lang w:val="sr-Cyrl-RS"/>
        </w:rPr>
        <w:t>формиран Сектор за дигитализацију у области финансија</w:t>
      </w:r>
      <w:r w:rsidR="00AF11A9" w:rsidRPr="0081082A">
        <w:rPr>
          <w:rFonts w:ascii="Times New Roman" w:hAnsi="Times New Roman"/>
          <w:sz w:val="24"/>
          <w:lang w:val="sr-Cyrl-RS"/>
        </w:rPr>
        <w:t>,</w:t>
      </w:r>
      <w:r w:rsidRPr="0081082A">
        <w:rPr>
          <w:rFonts w:ascii="Times New Roman" w:hAnsi="Times New Roman"/>
          <w:sz w:val="24"/>
          <w:lang w:val="sr-Cyrl-RS"/>
        </w:rPr>
        <w:t xml:space="preserve"> ради синхронизације ових процеса у секторима и управама у надлежности. </w:t>
      </w:r>
    </w:p>
    <w:p w:rsidR="005703FA" w:rsidRPr="0081082A" w:rsidRDefault="005703FA" w:rsidP="0047061E">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    </w:t>
      </w:r>
    </w:p>
    <w:p w:rsidR="005703FA" w:rsidRPr="0081082A" w:rsidRDefault="005703FA" w:rsidP="005703FA">
      <w:pPr>
        <w:pStyle w:val="Heading2"/>
        <w:jc w:val="center"/>
        <w:rPr>
          <w:rFonts w:ascii="Times New Roman" w:hAnsi="Times New Roman"/>
          <w:sz w:val="28"/>
          <w:lang w:val="sr-Cyrl-RS"/>
        </w:rPr>
      </w:pPr>
      <w:bookmarkStart w:id="5" w:name="_Toc72488787"/>
      <w:r w:rsidRPr="0081082A">
        <w:rPr>
          <w:rFonts w:ascii="Times New Roman" w:eastAsia="Calibri" w:hAnsi="Times New Roman" w:cs="Times New Roman"/>
          <w:sz w:val="28"/>
          <w:szCs w:val="28"/>
          <w:lang w:val="sr-Cyrl-RS"/>
        </w:rPr>
        <w:t>Процес</w:t>
      </w:r>
      <w:r w:rsidRPr="0081082A">
        <w:rPr>
          <w:rFonts w:ascii="Times New Roman" w:hAnsi="Times New Roman"/>
          <w:sz w:val="28"/>
          <w:lang w:val="sr-Cyrl-RS"/>
        </w:rPr>
        <w:t xml:space="preserve"> ПРИПРЕМЕ ПРОГРАМА РЕФОРМЕ УПРАВЉАЊА ЈАВНИМ ФИНАНСИЈАМА </w:t>
      </w:r>
      <w:r w:rsidRPr="0081082A">
        <w:rPr>
          <w:rFonts w:ascii="Times New Roman" w:eastAsia="Calibri" w:hAnsi="Times New Roman" w:cs="Times New Roman"/>
          <w:sz w:val="28"/>
          <w:szCs w:val="28"/>
          <w:lang w:val="sr-Cyrl-RS"/>
        </w:rPr>
        <w:t>2021-2025</w:t>
      </w:r>
      <w:bookmarkEnd w:id="5"/>
    </w:p>
    <w:p w:rsidR="005703FA" w:rsidRPr="0081082A" w:rsidRDefault="005703FA" w:rsidP="00C12487">
      <w:pPr>
        <w:spacing w:after="0" w:line="240" w:lineRule="auto"/>
        <w:ind w:firstLine="706"/>
        <w:jc w:val="both"/>
        <w:rPr>
          <w:rFonts w:ascii="Times New Roman" w:hAnsi="Times New Roman"/>
          <w:sz w:val="24"/>
          <w:lang w:val="sr-Cyrl-RS"/>
        </w:rPr>
      </w:pPr>
      <w:r w:rsidRPr="0081082A">
        <w:rPr>
          <w:rFonts w:ascii="Times New Roman" w:eastAsia="Calibri" w:hAnsi="Times New Roman" w:cs="Times New Roman"/>
          <w:sz w:val="24"/>
          <w:szCs w:val="24"/>
          <w:lang w:val="sr-Cyrl-RS"/>
        </w:rPr>
        <w:t>Имајући у виду да је реформа УЈФ један од посебних циљева СРЈУ 2021-2030, заједнички рад са другим институцијама у оквиру</w:t>
      </w:r>
      <w:r w:rsidRPr="0081082A">
        <w:rPr>
          <w:rFonts w:ascii="Times New Roman" w:hAnsi="Times New Roman"/>
          <w:sz w:val="24"/>
          <w:lang w:val="sr-Cyrl-RS"/>
        </w:rPr>
        <w:t xml:space="preserve"> Радне групе за израду </w:t>
      </w:r>
      <w:r w:rsidRPr="0081082A">
        <w:rPr>
          <w:rFonts w:ascii="Times New Roman" w:eastAsia="Calibri" w:hAnsi="Times New Roman" w:cs="Times New Roman"/>
          <w:sz w:val="24"/>
          <w:szCs w:val="24"/>
          <w:lang w:val="sr-Cyrl-RS"/>
        </w:rPr>
        <w:t>СРЈУ 2021-2030, омогућио је усклађивање два документа јавних политика и анализу стања кој</w:t>
      </w:r>
      <w:r w:rsidR="00341E34" w:rsidRPr="0081082A">
        <w:rPr>
          <w:rFonts w:ascii="Times New Roman" w:eastAsia="Calibri" w:hAnsi="Times New Roman" w:cs="Times New Roman"/>
          <w:sz w:val="24"/>
          <w:szCs w:val="24"/>
          <w:lang w:val="sr-Cyrl-RS"/>
        </w:rPr>
        <w:t>е</w:t>
      </w:r>
      <w:r w:rsidRPr="0081082A">
        <w:rPr>
          <w:rFonts w:ascii="Times New Roman" w:eastAsia="Calibri" w:hAnsi="Times New Roman" w:cs="Times New Roman"/>
          <w:sz w:val="24"/>
          <w:szCs w:val="24"/>
          <w:lang w:val="sr-Cyrl-RS"/>
        </w:rPr>
        <w:t xml:space="preserve"> се огледал</w:t>
      </w:r>
      <w:r w:rsidR="00341E34" w:rsidRPr="0081082A">
        <w:rPr>
          <w:rFonts w:ascii="Times New Roman" w:eastAsia="Calibri" w:hAnsi="Times New Roman" w:cs="Times New Roman"/>
          <w:sz w:val="24"/>
          <w:szCs w:val="24"/>
          <w:lang w:val="sr-Cyrl-RS"/>
        </w:rPr>
        <w:t>о</w:t>
      </w:r>
      <w:r w:rsidRPr="0081082A">
        <w:rPr>
          <w:rFonts w:ascii="Times New Roman" w:eastAsia="Calibri" w:hAnsi="Times New Roman" w:cs="Times New Roman"/>
          <w:sz w:val="24"/>
          <w:szCs w:val="24"/>
          <w:lang w:val="sr-Cyrl-RS"/>
        </w:rPr>
        <w:t xml:space="preserve"> у изради</w:t>
      </w:r>
      <w:r w:rsidRPr="0081082A">
        <w:rPr>
          <w:rFonts w:ascii="Times New Roman" w:hAnsi="Times New Roman"/>
          <w:sz w:val="24"/>
          <w:lang w:val="sr-Cyrl-RS"/>
        </w:rPr>
        <w:t xml:space="preserve"> дрвета проблема</w:t>
      </w:r>
      <w:r w:rsidRPr="0081082A">
        <w:rPr>
          <w:rFonts w:ascii="Times New Roman" w:eastAsia="Calibri" w:hAnsi="Times New Roman" w:cs="Times New Roman"/>
          <w:sz w:val="24"/>
          <w:szCs w:val="24"/>
          <w:lang w:val="sr-Cyrl-RS"/>
        </w:rPr>
        <w:t>, дрвета циљева</w:t>
      </w:r>
      <w:r w:rsidR="00341E34"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укључујући и дефиницију</w:t>
      </w:r>
      <w:r w:rsidRPr="0081082A">
        <w:rPr>
          <w:rFonts w:ascii="Times New Roman" w:hAnsi="Times New Roman"/>
          <w:sz w:val="24"/>
          <w:lang w:val="sr-Cyrl-RS"/>
        </w:rPr>
        <w:t xml:space="preserve"> општег циља, </w:t>
      </w:r>
      <w:r w:rsidRPr="0081082A">
        <w:rPr>
          <w:rFonts w:ascii="Times New Roman" w:eastAsia="Calibri" w:hAnsi="Times New Roman" w:cs="Times New Roman"/>
          <w:sz w:val="24"/>
          <w:szCs w:val="24"/>
          <w:lang w:val="sr-Cyrl-RS"/>
        </w:rPr>
        <w:t>као и адекватних решења за будући ПРУЈФ 2021-2025.</w:t>
      </w:r>
      <w:r w:rsidR="00592DA7" w:rsidRPr="0081082A">
        <w:rPr>
          <w:rFonts w:ascii="Times New Roman" w:hAnsi="Times New Roman"/>
          <w:sz w:val="24"/>
          <w:lang w:val="sr-Cyrl-RS"/>
        </w:rPr>
        <w:t xml:space="preserve"> У </w:t>
      </w:r>
      <w:r w:rsidRPr="0081082A">
        <w:rPr>
          <w:rFonts w:ascii="Times New Roman" w:hAnsi="Times New Roman"/>
          <w:sz w:val="24"/>
          <w:lang w:val="sr-Cyrl-RS"/>
        </w:rPr>
        <w:t xml:space="preserve">јулу 2020. године, решењем министра финансија, формирана </w:t>
      </w:r>
      <w:r w:rsidRPr="0081082A">
        <w:rPr>
          <w:rFonts w:ascii="Times New Roman" w:eastAsia="Calibri" w:hAnsi="Times New Roman" w:cs="Times New Roman"/>
          <w:sz w:val="24"/>
          <w:szCs w:val="24"/>
          <w:lang w:val="sr-Cyrl-RS"/>
        </w:rPr>
        <w:t xml:space="preserve">је </w:t>
      </w:r>
      <w:r w:rsidRPr="0081082A">
        <w:rPr>
          <w:rFonts w:ascii="Times New Roman" w:hAnsi="Times New Roman"/>
          <w:sz w:val="24"/>
          <w:lang w:val="sr-Cyrl-RS"/>
        </w:rPr>
        <w:t xml:space="preserve">Радна група за израду, праћење и извештавање о спровођењу </w:t>
      </w:r>
      <w:r w:rsidRPr="0081082A">
        <w:rPr>
          <w:rFonts w:ascii="Times New Roman" w:eastAsia="Calibri" w:hAnsi="Times New Roman" w:cs="Times New Roman"/>
          <w:sz w:val="24"/>
          <w:szCs w:val="24"/>
          <w:lang w:val="sr-Cyrl-RS"/>
        </w:rPr>
        <w:t>ПРУЈФ</w:t>
      </w:r>
      <w:r w:rsidRPr="0081082A">
        <w:rPr>
          <w:rFonts w:ascii="Times New Roman" w:hAnsi="Times New Roman"/>
          <w:sz w:val="24"/>
          <w:lang w:val="sr-Cyrl-RS"/>
        </w:rPr>
        <w:t xml:space="preserve"> 2021-2025</w:t>
      </w:r>
      <w:r w:rsidRPr="0081082A">
        <w:rPr>
          <w:rFonts w:ascii="Times New Roman" w:eastAsia="Calibri" w:hAnsi="Times New Roman" w:cs="Times New Roman"/>
          <w:sz w:val="24"/>
          <w:szCs w:val="24"/>
          <w:lang w:val="sr-Cyrl-RS"/>
        </w:rPr>
        <w:t xml:space="preserve"> (у даљем тексту: Радна група).</w:t>
      </w:r>
      <w:r w:rsidRPr="0081082A">
        <w:rPr>
          <w:rFonts w:ascii="Times New Roman" w:hAnsi="Times New Roman"/>
          <w:sz w:val="24"/>
          <w:lang w:val="sr-Cyrl-RS"/>
        </w:rPr>
        <w:t xml:space="preserve"> </w:t>
      </w:r>
      <w:r w:rsidR="00592DA7" w:rsidRPr="0081082A">
        <w:rPr>
          <w:rFonts w:ascii="Times New Roman" w:eastAsia="Calibri" w:hAnsi="Times New Roman" w:cs="Times New Roman"/>
          <w:sz w:val="24"/>
          <w:szCs w:val="24"/>
          <w:lang w:val="sr-Cyrl-RS"/>
        </w:rPr>
        <w:t>Пандемија проузрокована услед</w:t>
      </w:r>
      <w:r w:rsidR="00592DA7" w:rsidRPr="0081082A">
        <w:rPr>
          <w:rFonts w:ascii="Times New Roman" w:hAnsi="Times New Roman"/>
          <w:sz w:val="24"/>
          <w:lang w:val="sr-Cyrl-RS"/>
        </w:rPr>
        <w:t xml:space="preserve"> К</w:t>
      </w:r>
      <w:r w:rsidR="00D05879" w:rsidRPr="0081082A">
        <w:rPr>
          <w:rFonts w:ascii="Times New Roman" w:hAnsi="Times New Roman"/>
          <w:sz w:val="24"/>
          <w:lang w:val="sr-Cyrl-RS"/>
        </w:rPr>
        <w:t>овид</w:t>
      </w:r>
      <w:r w:rsidR="002F7087">
        <w:rPr>
          <w:rFonts w:ascii="Times New Roman" w:hAnsi="Times New Roman"/>
          <w:sz w:val="24"/>
          <w:lang w:val="sr-Cyrl-RS"/>
        </w:rPr>
        <w:t>-</w:t>
      </w:r>
      <w:r w:rsidR="00592DA7" w:rsidRPr="0081082A">
        <w:rPr>
          <w:rFonts w:ascii="Times New Roman" w:hAnsi="Times New Roman"/>
          <w:sz w:val="24"/>
          <w:lang w:val="sr-Cyrl-RS"/>
        </w:rPr>
        <w:t>19 утицала је и на израду ПРУЈФ</w:t>
      </w:r>
      <w:r w:rsidR="00341E34" w:rsidRPr="0081082A">
        <w:rPr>
          <w:rFonts w:ascii="Times New Roman" w:hAnsi="Times New Roman"/>
          <w:sz w:val="24"/>
          <w:lang w:val="sr-Cyrl-RS"/>
        </w:rPr>
        <w:t>,</w:t>
      </w:r>
      <w:r w:rsidR="009254B1" w:rsidRPr="0081082A">
        <w:rPr>
          <w:rFonts w:ascii="Times New Roman" w:hAnsi="Times New Roman"/>
          <w:sz w:val="24"/>
          <w:lang w:val="sr-Cyrl-RS"/>
        </w:rPr>
        <w:t xml:space="preserve"> </w:t>
      </w:r>
      <w:r w:rsidR="00592DA7" w:rsidRPr="0081082A">
        <w:rPr>
          <w:rFonts w:ascii="Times New Roman" w:hAnsi="Times New Roman"/>
          <w:sz w:val="24"/>
          <w:lang w:val="sr-Cyrl-RS"/>
        </w:rPr>
        <w:t xml:space="preserve">те је </w:t>
      </w:r>
      <w:r w:rsidR="00592DA7" w:rsidRPr="0081082A">
        <w:rPr>
          <w:rFonts w:ascii="Times New Roman" w:eastAsia="Calibri" w:hAnsi="Times New Roman" w:cs="Times New Roman"/>
          <w:sz w:val="24"/>
          <w:szCs w:val="24"/>
          <w:lang w:val="sr-Cyrl-RS"/>
        </w:rPr>
        <w:t xml:space="preserve">већина активности организована </w:t>
      </w:r>
      <w:r w:rsidR="00592DA7" w:rsidRPr="0081082A">
        <w:rPr>
          <w:rFonts w:ascii="Times New Roman" w:eastAsia="Calibri" w:hAnsi="Times New Roman" w:cs="Times New Roman"/>
          <w:i/>
          <w:iCs/>
          <w:sz w:val="24"/>
          <w:szCs w:val="24"/>
          <w:lang w:val="sr-Cyrl-RS"/>
        </w:rPr>
        <w:t>онлајн</w:t>
      </w:r>
      <w:r w:rsidR="00592DA7" w:rsidRPr="0081082A">
        <w:rPr>
          <w:rFonts w:ascii="Times New Roman" w:eastAsia="Calibri" w:hAnsi="Times New Roman" w:cs="Times New Roman"/>
          <w:sz w:val="24"/>
          <w:szCs w:val="24"/>
          <w:lang w:val="sr-Cyrl-RS"/>
        </w:rPr>
        <w:t>.</w:t>
      </w:r>
    </w:p>
    <w:p w:rsidR="005703FA" w:rsidRPr="0081082A" w:rsidRDefault="00471C9C" w:rsidP="00C12487">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w:t>
      </w:r>
      <w:r w:rsidR="005703FA" w:rsidRPr="0081082A">
        <w:rPr>
          <w:rFonts w:ascii="Times New Roman" w:eastAsia="Calibri" w:hAnsi="Times New Roman" w:cs="Times New Roman"/>
          <w:sz w:val="24"/>
          <w:szCs w:val="24"/>
          <w:lang w:val="sr-Cyrl-RS"/>
        </w:rPr>
        <w:t>риликом припреме новог ПРУЈФ 2021-2025, коришћени су и годишњи извештаји о спровођењу ПРУЈФ 2016-2020 које је припремао Технички секретаријат Програма</w:t>
      </w:r>
      <w:r w:rsidR="00341E34" w:rsidRPr="0081082A">
        <w:rPr>
          <w:rFonts w:ascii="Times New Roman" w:eastAsia="Calibri" w:hAnsi="Times New Roman" w:cs="Times New Roman"/>
          <w:sz w:val="24"/>
          <w:szCs w:val="24"/>
          <w:lang w:val="sr-Cyrl-RS"/>
        </w:rPr>
        <w:t>,</w:t>
      </w:r>
      <w:r w:rsidR="005703FA" w:rsidRPr="0081082A">
        <w:rPr>
          <w:rFonts w:ascii="Times New Roman" w:eastAsia="Calibri" w:hAnsi="Times New Roman" w:cs="Times New Roman"/>
          <w:sz w:val="24"/>
          <w:szCs w:val="24"/>
          <w:lang w:val="sr-Cyrl-RS"/>
        </w:rPr>
        <w:t xml:space="preserve"> у сарадњи са члановима Радне групе</w:t>
      </w:r>
      <w:r w:rsidR="00341E34" w:rsidRPr="0081082A">
        <w:rPr>
          <w:rFonts w:ascii="Times New Roman" w:eastAsia="Calibri" w:hAnsi="Times New Roman" w:cs="Times New Roman"/>
          <w:sz w:val="24"/>
          <w:szCs w:val="24"/>
          <w:lang w:val="sr-Cyrl-RS"/>
        </w:rPr>
        <w:t>,</w:t>
      </w:r>
      <w:r w:rsidR="005703FA" w:rsidRPr="0081082A">
        <w:rPr>
          <w:rFonts w:ascii="Times New Roman" w:eastAsia="Calibri" w:hAnsi="Times New Roman" w:cs="Times New Roman"/>
          <w:sz w:val="24"/>
          <w:szCs w:val="24"/>
          <w:lang w:val="sr-Cyrl-RS"/>
        </w:rPr>
        <w:t xml:space="preserve"> и усвајала Влада. Ови извештаји сваке године додатно су унапређивани</w:t>
      </w:r>
      <w:r w:rsidR="00341E34" w:rsidRPr="0081082A">
        <w:rPr>
          <w:rFonts w:ascii="Times New Roman" w:eastAsia="Calibri" w:hAnsi="Times New Roman" w:cs="Times New Roman"/>
          <w:sz w:val="24"/>
          <w:szCs w:val="24"/>
          <w:lang w:val="sr-Cyrl-RS"/>
        </w:rPr>
        <w:t>,</w:t>
      </w:r>
      <w:r w:rsidR="005703FA" w:rsidRPr="0081082A">
        <w:rPr>
          <w:rFonts w:ascii="Times New Roman" w:eastAsia="Calibri" w:hAnsi="Times New Roman" w:cs="Times New Roman"/>
          <w:sz w:val="24"/>
          <w:szCs w:val="24"/>
          <w:lang w:val="sr-Cyrl-RS"/>
        </w:rPr>
        <w:t xml:space="preserve"> засновани </w:t>
      </w:r>
      <w:r w:rsidR="00341E34" w:rsidRPr="0081082A">
        <w:rPr>
          <w:rFonts w:ascii="Times New Roman" w:eastAsia="Calibri" w:hAnsi="Times New Roman" w:cs="Times New Roman"/>
          <w:sz w:val="24"/>
          <w:szCs w:val="24"/>
          <w:lang w:val="sr-Cyrl-RS"/>
        </w:rPr>
        <w:t xml:space="preserve">су </w:t>
      </w:r>
      <w:r w:rsidR="005703FA" w:rsidRPr="0081082A">
        <w:rPr>
          <w:rFonts w:ascii="Times New Roman" w:eastAsia="Calibri" w:hAnsi="Times New Roman" w:cs="Times New Roman"/>
          <w:sz w:val="24"/>
          <w:szCs w:val="24"/>
          <w:lang w:val="sr-Cyrl-RS"/>
        </w:rPr>
        <w:t>на примерима добре праксе уз интензивну сарадњу са експертима СИГМА</w:t>
      </w:r>
      <w:r w:rsidR="00341E34" w:rsidRPr="0081082A">
        <w:rPr>
          <w:rFonts w:ascii="Times New Roman" w:eastAsia="Calibri" w:hAnsi="Times New Roman" w:cs="Times New Roman"/>
          <w:sz w:val="24"/>
          <w:szCs w:val="24"/>
          <w:lang w:val="sr-Cyrl-RS"/>
        </w:rPr>
        <w:t>, а</w:t>
      </w:r>
      <w:r w:rsidR="005703FA" w:rsidRPr="0081082A">
        <w:rPr>
          <w:rFonts w:ascii="Times New Roman" w:hAnsi="Times New Roman"/>
          <w:sz w:val="24"/>
          <w:lang w:val="sr-Cyrl-RS"/>
        </w:rPr>
        <w:t xml:space="preserve"> иницирана је </w:t>
      </w:r>
      <w:r w:rsidR="00341E34" w:rsidRPr="0081082A">
        <w:rPr>
          <w:rFonts w:ascii="Times New Roman" w:hAnsi="Times New Roman"/>
          <w:sz w:val="24"/>
          <w:lang w:val="sr-Cyrl-RS"/>
        </w:rPr>
        <w:t xml:space="preserve">и </w:t>
      </w:r>
      <w:r w:rsidR="005703FA" w:rsidRPr="0081082A">
        <w:rPr>
          <w:rFonts w:ascii="Times New Roman" w:hAnsi="Times New Roman"/>
          <w:sz w:val="24"/>
          <w:lang w:val="sr-Cyrl-RS"/>
        </w:rPr>
        <w:t xml:space="preserve">израда две </w:t>
      </w:r>
      <w:r w:rsidR="005703FA" w:rsidRPr="0081082A">
        <w:rPr>
          <w:rFonts w:ascii="Times New Roman" w:eastAsia="Calibri" w:hAnsi="Times New Roman" w:cs="Times New Roman"/>
          <w:sz w:val="24"/>
          <w:szCs w:val="24"/>
          <w:lang w:val="sr-Cyrl-RS"/>
        </w:rPr>
        <w:t xml:space="preserve">додатне, детаљне </w:t>
      </w:r>
      <w:r w:rsidR="005703FA" w:rsidRPr="0081082A">
        <w:rPr>
          <w:rFonts w:ascii="Times New Roman" w:hAnsi="Times New Roman"/>
          <w:sz w:val="24"/>
          <w:lang w:val="sr-Cyrl-RS"/>
        </w:rPr>
        <w:t>анализе које су</w:t>
      </w:r>
      <w:r w:rsidR="005703FA" w:rsidRPr="0081082A">
        <w:rPr>
          <w:rFonts w:ascii="Times New Roman" w:eastAsia="Calibri" w:hAnsi="Times New Roman" w:cs="Times New Roman"/>
          <w:sz w:val="24"/>
          <w:szCs w:val="24"/>
          <w:lang w:val="sr-Cyrl-RS"/>
        </w:rPr>
        <w:t xml:space="preserve"> коришћене током припреме ПРУЈФ 2021-2025. </w:t>
      </w:r>
    </w:p>
    <w:p w:rsidR="006D1098" w:rsidRPr="0081082A" w:rsidRDefault="005703FA" w:rsidP="00C12487">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Прва детаљна анализа постојећег Програма, са препорукама и смерницама за припрему новог ПРУЈФ 2021-2025, израђена је уз</w:t>
      </w:r>
      <w:r w:rsidRPr="0081082A">
        <w:rPr>
          <w:rFonts w:ascii="Times New Roman" w:hAnsi="Times New Roman"/>
          <w:sz w:val="24"/>
          <w:lang w:val="sr-Cyrl-RS"/>
        </w:rPr>
        <w:t xml:space="preserve"> подршку пројекта комплементарне помоћи „Подршка </w:t>
      </w:r>
      <w:r w:rsidRPr="0081082A">
        <w:rPr>
          <w:rFonts w:ascii="Times New Roman" w:eastAsia="Calibri" w:hAnsi="Times New Roman" w:cs="Times New Roman"/>
          <w:sz w:val="24"/>
          <w:szCs w:val="24"/>
          <w:lang w:val="sr-Cyrl-RS"/>
        </w:rPr>
        <w:t>Министарству</w:t>
      </w:r>
      <w:r w:rsidRPr="0081082A">
        <w:rPr>
          <w:rFonts w:ascii="Times New Roman" w:hAnsi="Times New Roman"/>
          <w:sz w:val="24"/>
          <w:lang w:val="sr-Cyrl-RS"/>
        </w:rPr>
        <w:t xml:space="preserve"> финансија у оквиру секторског реформског уговора за сектор реформе јавне управе</w:t>
      </w:r>
      <w:r w:rsidR="007E728E"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w:t>
      </w:r>
      <w:r w:rsidR="00471C9C" w:rsidRPr="0081082A">
        <w:rPr>
          <w:rFonts w:ascii="Times New Roman" w:eastAsia="Calibri" w:hAnsi="Times New Roman" w:cs="Times New Roman"/>
          <w:sz w:val="24"/>
          <w:szCs w:val="24"/>
          <w:lang w:val="sr-Cyrl-RS"/>
        </w:rPr>
        <w:t xml:space="preserve"> и представља</w:t>
      </w:r>
      <w:r w:rsidR="00F603A1" w:rsidRPr="0081082A">
        <w:rPr>
          <w:rFonts w:ascii="Times New Roman" w:eastAsia="Calibri" w:hAnsi="Times New Roman" w:cs="Times New Roman"/>
          <w:sz w:val="24"/>
          <w:szCs w:val="24"/>
          <w:lang w:val="sr-Cyrl-RS"/>
        </w:rPr>
        <w:t xml:space="preserve"> истовремено</w:t>
      </w:r>
      <w:r w:rsidR="00471C9C" w:rsidRPr="0081082A">
        <w:rPr>
          <w:rFonts w:ascii="Times New Roman" w:eastAsia="Calibri" w:hAnsi="Times New Roman" w:cs="Times New Roman"/>
          <w:sz w:val="24"/>
          <w:szCs w:val="24"/>
          <w:lang w:val="sr-Cyrl-RS"/>
        </w:rPr>
        <w:t xml:space="preserve"> </w:t>
      </w:r>
      <w:r w:rsidR="003B1E1D" w:rsidRPr="0081082A">
        <w:rPr>
          <w:rFonts w:ascii="Times New Roman" w:eastAsia="Calibri" w:hAnsi="Times New Roman" w:cs="Times New Roman"/>
          <w:i/>
          <w:iCs/>
          <w:sz w:val="24"/>
          <w:szCs w:val="24"/>
          <w:lang w:val="sr-Cyrl-RS"/>
        </w:rPr>
        <w:t>ex-post</w:t>
      </w:r>
      <w:r w:rsidR="00F603A1" w:rsidRPr="0081082A">
        <w:rPr>
          <w:rFonts w:ascii="Times New Roman" w:eastAsia="Calibri" w:hAnsi="Times New Roman" w:cs="Times New Roman"/>
          <w:sz w:val="24"/>
          <w:szCs w:val="24"/>
          <w:lang w:val="sr-Cyrl-RS"/>
        </w:rPr>
        <w:t xml:space="preserve"> и </w:t>
      </w:r>
      <w:r w:rsidR="00F603A1" w:rsidRPr="0081082A">
        <w:rPr>
          <w:rFonts w:ascii="Times New Roman" w:eastAsia="Calibri" w:hAnsi="Times New Roman" w:cs="Times New Roman"/>
          <w:i/>
          <w:iCs/>
          <w:sz w:val="24"/>
          <w:szCs w:val="24"/>
          <w:lang w:val="sr-Cyrl-RS"/>
        </w:rPr>
        <w:t>ex-ante</w:t>
      </w:r>
      <w:r w:rsidR="003B1E1D" w:rsidRPr="0081082A">
        <w:rPr>
          <w:rFonts w:ascii="Times New Roman" w:eastAsia="Calibri" w:hAnsi="Times New Roman" w:cs="Times New Roman"/>
          <w:sz w:val="24"/>
          <w:szCs w:val="24"/>
          <w:lang w:val="sr-Cyrl-RS"/>
        </w:rPr>
        <w:t xml:space="preserve"> </w:t>
      </w:r>
      <w:r w:rsidR="00471C9C" w:rsidRPr="0081082A">
        <w:rPr>
          <w:rFonts w:ascii="Times New Roman" w:eastAsia="Calibri" w:hAnsi="Times New Roman" w:cs="Times New Roman"/>
          <w:sz w:val="24"/>
          <w:szCs w:val="24"/>
          <w:lang w:val="sr-Cyrl-RS"/>
        </w:rPr>
        <w:t>анализу ефеката мера јавних политика у складу са Законом о планском систему</w:t>
      </w:r>
      <w:r w:rsidR="002A61BC" w:rsidRPr="0081082A">
        <w:rPr>
          <w:rFonts w:ascii="Times New Roman" w:eastAsia="Calibri" w:hAnsi="Times New Roman" w:cs="Times New Roman"/>
          <w:sz w:val="24"/>
          <w:szCs w:val="24"/>
          <w:lang w:val="sr-Cyrl-RS"/>
        </w:rPr>
        <w:t xml:space="preserve"> </w:t>
      </w:r>
      <w:r w:rsidR="002A61BC" w:rsidRPr="0081082A">
        <w:rPr>
          <w:rFonts w:ascii="Times New Roman" w:hAnsi="Times New Roman" w:cs="Times New Roman"/>
          <w:sz w:val="24"/>
          <w:szCs w:val="24"/>
          <w:lang w:val="sr-Cyrl-RS"/>
        </w:rPr>
        <w:t>Републике Србије</w:t>
      </w:r>
      <w:r w:rsidR="00471C9C" w:rsidRPr="0081082A">
        <w:rPr>
          <w:rFonts w:ascii="Times New Roman" w:eastAsia="Calibri" w:hAnsi="Times New Roman" w:cs="Times New Roman"/>
          <w:sz w:val="24"/>
          <w:szCs w:val="24"/>
          <w:lang w:val="sr-Cyrl-RS"/>
        </w:rPr>
        <w:t>.</w:t>
      </w:r>
    </w:p>
    <w:p w:rsidR="005703FA" w:rsidRPr="0081082A" w:rsidRDefault="005703FA" w:rsidP="00C12487">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Ова анализа садржи кључне налазе и закључке које je требало узети у обзир приликом осмишљавања структуре и садржаја новог ПРУЈФ 2021-2025. Препоруке су засноване на: проценама постојећег стања на основу релевантних показатеља, анализи докумената јавних политика релевантних</w:t>
      </w:r>
      <w:r w:rsidRPr="0081082A">
        <w:rPr>
          <w:rFonts w:ascii="Times New Roman" w:hAnsi="Times New Roman"/>
          <w:sz w:val="24"/>
          <w:lang w:val="sr-Cyrl-RS"/>
        </w:rPr>
        <w:t xml:space="preserve"> за </w:t>
      </w:r>
      <w:r w:rsidRPr="0081082A">
        <w:rPr>
          <w:rFonts w:ascii="Times New Roman" w:eastAsia="Calibri" w:hAnsi="Times New Roman" w:cs="Times New Roman"/>
          <w:sz w:val="24"/>
          <w:szCs w:val="24"/>
          <w:lang w:val="sr-Cyrl-RS"/>
        </w:rPr>
        <w:t xml:space="preserve">реформу УЈФ и начина на који могу да се повежу са ПРУЈФ 2021-2025, одговорима добијем путем упитника који су достављени свим члановима Радне групе и </w:t>
      </w:r>
      <w:r w:rsidRPr="0081082A">
        <w:rPr>
          <w:rFonts w:ascii="Times New Roman" w:eastAsia="Calibri" w:hAnsi="Times New Roman" w:cs="Times New Roman"/>
          <w:i/>
          <w:iCs/>
          <w:sz w:val="24"/>
          <w:szCs w:val="24"/>
          <w:lang w:val="sr-Cyrl-RS"/>
        </w:rPr>
        <w:t>online</w:t>
      </w:r>
      <w:r w:rsidRPr="0081082A">
        <w:rPr>
          <w:rFonts w:ascii="Times New Roman" w:eastAsia="Calibri" w:hAnsi="Times New Roman" w:cs="Times New Roman"/>
          <w:sz w:val="24"/>
          <w:szCs w:val="24"/>
          <w:lang w:val="sr-Cyrl-RS"/>
        </w:rPr>
        <w:t xml:space="preserve"> састанцима. Анализирани су стубови ревидираног ПРУЈФ 2016-2020, али је укључен и стуб који се односи на одрживи средњорочни макро-фискални и буџетски оквир, тако да су препоруке за наредни период формулисане за сваки од разматраних посебних циљева.</w:t>
      </w:r>
    </w:p>
    <w:p w:rsidR="005703FA" w:rsidRPr="0081082A" w:rsidRDefault="005703FA" w:rsidP="00C12487">
      <w:pPr>
        <w:spacing w:after="0" w:line="240" w:lineRule="auto"/>
        <w:ind w:firstLine="706"/>
        <w:jc w:val="both"/>
        <w:rPr>
          <w:rFonts w:ascii="Times New Roman" w:hAnsi="Times New Roman"/>
          <w:sz w:val="24"/>
          <w:lang w:val="sr-Cyrl-RS"/>
        </w:rPr>
      </w:pPr>
      <w:r w:rsidRPr="0081082A">
        <w:rPr>
          <w:rFonts w:ascii="Times New Roman" w:eastAsia="Calibri" w:hAnsi="Times New Roman" w:cs="Times New Roman"/>
          <w:sz w:val="24"/>
          <w:szCs w:val="24"/>
          <w:lang w:val="sr-Cyrl-RS"/>
        </w:rPr>
        <w:lastRenderedPageBreak/>
        <w:t xml:space="preserve">Друга детаљна анализа чију је </w:t>
      </w:r>
      <w:r w:rsidRPr="0081082A">
        <w:rPr>
          <w:rFonts w:ascii="Times New Roman" w:hAnsi="Times New Roman"/>
          <w:sz w:val="24"/>
          <w:lang w:val="sr-Cyrl-RS"/>
        </w:rPr>
        <w:t xml:space="preserve">припрему </w:t>
      </w:r>
      <w:r w:rsidRPr="0081082A">
        <w:rPr>
          <w:rFonts w:ascii="Times New Roman" w:eastAsia="Calibri" w:hAnsi="Times New Roman" w:cs="Times New Roman"/>
          <w:sz w:val="24"/>
          <w:szCs w:val="24"/>
          <w:lang w:val="sr-Cyrl-RS"/>
        </w:rPr>
        <w:t>иницирало Министарство финансија јесте</w:t>
      </w:r>
      <w:r w:rsidRPr="0081082A">
        <w:rPr>
          <w:rFonts w:ascii="Times New Roman" w:hAnsi="Times New Roman"/>
          <w:sz w:val="24"/>
          <w:lang w:val="sr-Cyrl-RS"/>
        </w:rPr>
        <w:t xml:space="preserve"> </w:t>
      </w:r>
      <w:r w:rsidRPr="0081082A">
        <w:rPr>
          <w:rFonts w:ascii="Times New Roman" w:hAnsi="Times New Roman"/>
          <w:i/>
          <w:sz w:val="24"/>
          <w:lang w:val="sr-Cyrl-RS"/>
        </w:rPr>
        <w:t>PEFA</w:t>
      </w:r>
      <w:r w:rsidRPr="0081082A">
        <w:rPr>
          <w:rFonts w:ascii="Times New Roman" w:hAnsi="Times New Roman"/>
          <w:sz w:val="24"/>
          <w:lang w:val="sr-Cyrl-RS"/>
        </w:rPr>
        <w:t xml:space="preserve"> </w:t>
      </w:r>
      <w:r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i/>
          <w:iCs/>
          <w:sz w:val="24"/>
          <w:szCs w:val="24"/>
          <w:lang w:val="sr-Cyrl-RS"/>
        </w:rPr>
        <w:t>Public Expenditure and Financial Accountability Assessment Report</w:t>
      </w:r>
      <w:r w:rsidRPr="0081082A">
        <w:rPr>
          <w:rFonts w:ascii="Times New Roman" w:eastAsia="Calibri" w:hAnsi="Times New Roman" w:cs="Times New Roman"/>
          <w:sz w:val="24"/>
          <w:szCs w:val="24"/>
          <w:lang w:val="sr-Cyrl-RS"/>
        </w:rPr>
        <w:t>) процена, коју је за потребе припреме новог ПРУЈФ 2021-2025 спровела Светска банка.</w:t>
      </w:r>
      <w:r w:rsidRPr="0081082A">
        <w:rPr>
          <w:rFonts w:ascii="Times New Roman" w:hAnsi="Times New Roman"/>
          <w:sz w:val="24"/>
          <w:lang w:val="sr-Cyrl-RS"/>
        </w:rPr>
        <w:t xml:space="preserve"> </w:t>
      </w:r>
      <w:r w:rsidRPr="0081082A">
        <w:rPr>
          <w:rFonts w:ascii="Times New Roman" w:hAnsi="Times New Roman"/>
          <w:i/>
          <w:sz w:val="24"/>
          <w:lang w:val="sr-Cyrl-RS"/>
        </w:rPr>
        <w:t>PEFA</w:t>
      </w:r>
      <w:r w:rsidRPr="0081082A">
        <w:rPr>
          <w:rFonts w:ascii="Times New Roman" w:hAnsi="Times New Roman"/>
          <w:sz w:val="24"/>
          <w:lang w:val="sr-Cyrl-RS"/>
        </w:rPr>
        <w:t xml:space="preserve"> процена представља међународно признату методологију за дијагностичку процену система УЈФ. </w:t>
      </w:r>
      <w:r w:rsidRPr="0081082A">
        <w:rPr>
          <w:rFonts w:ascii="Times New Roman" w:eastAsia="Calibri" w:hAnsi="Times New Roman" w:cs="Times New Roman"/>
          <w:sz w:val="24"/>
          <w:szCs w:val="24"/>
          <w:lang w:val="sr-Cyrl-RS"/>
        </w:rPr>
        <w:t xml:space="preserve">Процена обухвата последње три расположиве фискалне године 2017 – 2019. годину, а датум пресека је 30. јун 2020. године. Први </w:t>
      </w:r>
      <w:r w:rsidRPr="0081082A">
        <w:rPr>
          <w:rFonts w:ascii="Times New Roman" w:hAnsi="Times New Roman"/>
          <w:sz w:val="24"/>
          <w:lang w:val="sr-Cyrl-RS"/>
        </w:rPr>
        <w:t xml:space="preserve">нацрт </w:t>
      </w:r>
      <w:r w:rsidRPr="0081082A">
        <w:rPr>
          <w:rFonts w:ascii="Times New Roman" w:hAnsi="Times New Roman"/>
          <w:i/>
          <w:sz w:val="24"/>
          <w:lang w:val="sr-Cyrl-RS"/>
        </w:rPr>
        <w:t>PEFA</w:t>
      </w:r>
      <w:r w:rsidRPr="0081082A">
        <w:rPr>
          <w:rFonts w:ascii="Times New Roman" w:hAnsi="Times New Roman"/>
          <w:sz w:val="24"/>
          <w:lang w:val="sr-Cyrl-RS"/>
        </w:rPr>
        <w:t xml:space="preserve"> процене завршен </w:t>
      </w:r>
      <w:r w:rsidRPr="0081082A">
        <w:rPr>
          <w:rFonts w:ascii="Times New Roman" w:eastAsia="Calibri" w:hAnsi="Times New Roman" w:cs="Times New Roman"/>
          <w:sz w:val="24"/>
          <w:szCs w:val="24"/>
          <w:lang w:val="sr-Cyrl-RS"/>
        </w:rPr>
        <w:t>је у новембру</w:t>
      </w:r>
      <w:r w:rsidRPr="0081082A">
        <w:rPr>
          <w:rFonts w:ascii="Times New Roman" w:hAnsi="Times New Roman"/>
          <w:sz w:val="24"/>
          <w:lang w:val="sr-Cyrl-RS"/>
        </w:rPr>
        <w:t xml:space="preserve"> 2020. године, </w:t>
      </w:r>
      <w:r w:rsidRPr="0081082A">
        <w:rPr>
          <w:rFonts w:ascii="Times New Roman" w:eastAsia="Calibri" w:hAnsi="Times New Roman" w:cs="Times New Roman"/>
          <w:sz w:val="24"/>
          <w:szCs w:val="24"/>
          <w:lang w:val="sr-Cyrl-RS"/>
        </w:rPr>
        <w:t>нацрт препорука је достављен</w:t>
      </w:r>
      <w:r w:rsidRPr="0081082A">
        <w:rPr>
          <w:rFonts w:ascii="Times New Roman" w:hAnsi="Times New Roman"/>
          <w:sz w:val="24"/>
          <w:lang w:val="sr-Cyrl-RS"/>
        </w:rPr>
        <w:t xml:space="preserve"> </w:t>
      </w:r>
      <w:r w:rsidRPr="0081082A">
        <w:rPr>
          <w:rFonts w:ascii="Times New Roman" w:eastAsia="Calibri" w:hAnsi="Times New Roman" w:cs="Times New Roman"/>
          <w:sz w:val="24"/>
          <w:szCs w:val="24"/>
          <w:lang w:val="sr-Cyrl-RS"/>
        </w:rPr>
        <w:t xml:space="preserve">у </w:t>
      </w:r>
      <w:r w:rsidRPr="0081082A">
        <w:rPr>
          <w:rFonts w:ascii="Times New Roman" w:hAnsi="Times New Roman"/>
          <w:sz w:val="24"/>
          <w:lang w:val="sr-Cyrl-RS"/>
        </w:rPr>
        <w:t>децембр</w:t>
      </w:r>
      <w:r w:rsidRPr="0081082A">
        <w:rPr>
          <w:rFonts w:ascii="Times New Roman" w:eastAsia="Calibri" w:hAnsi="Times New Roman" w:cs="Times New Roman"/>
          <w:sz w:val="24"/>
          <w:szCs w:val="24"/>
          <w:lang w:val="sr-Cyrl-RS"/>
        </w:rPr>
        <w:t>у</w:t>
      </w:r>
      <w:r w:rsidRPr="0081082A">
        <w:rPr>
          <w:rFonts w:ascii="Times New Roman" w:hAnsi="Times New Roman"/>
          <w:sz w:val="24"/>
          <w:lang w:val="sr-Cyrl-RS"/>
        </w:rPr>
        <w:t xml:space="preserve"> 2020. године, док је други нацрт </w:t>
      </w:r>
      <w:r w:rsidRPr="0081082A">
        <w:rPr>
          <w:rFonts w:ascii="Times New Roman" w:hAnsi="Times New Roman"/>
          <w:i/>
          <w:sz w:val="24"/>
          <w:lang w:val="sr-Cyrl-RS"/>
        </w:rPr>
        <w:t>PEFA</w:t>
      </w:r>
      <w:r w:rsidRPr="0081082A">
        <w:rPr>
          <w:rFonts w:ascii="Times New Roman" w:hAnsi="Times New Roman"/>
          <w:sz w:val="24"/>
          <w:lang w:val="sr-Cyrl-RS"/>
        </w:rPr>
        <w:t xml:space="preserve"> стављен на располагање јануара 2021. године. </w:t>
      </w:r>
      <w:r w:rsidRPr="0081082A">
        <w:rPr>
          <w:rFonts w:ascii="Times New Roman" w:eastAsia="Calibri" w:hAnsi="Times New Roman" w:cs="Times New Roman"/>
          <w:sz w:val="24"/>
          <w:szCs w:val="24"/>
          <w:lang w:val="sr-Cyrl-RS"/>
        </w:rPr>
        <w:t xml:space="preserve">Овај документ омогућио је да се упореде постигнути резултати у УЈФ у односу на 2015. годину када је рађена претходна </w:t>
      </w:r>
      <w:r w:rsidRPr="0081082A">
        <w:rPr>
          <w:rFonts w:ascii="Times New Roman" w:eastAsia="Calibri" w:hAnsi="Times New Roman" w:cs="Times New Roman"/>
          <w:i/>
          <w:iCs/>
          <w:sz w:val="24"/>
          <w:szCs w:val="24"/>
          <w:lang w:val="sr-Cyrl-RS"/>
        </w:rPr>
        <w:t>PEFA</w:t>
      </w:r>
      <w:r w:rsidRPr="0081082A">
        <w:rPr>
          <w:rFonts w:ascii="Times New Roman" w:eastAsia="Calibri" w:hAnsi="Times New Roman" w:cs="Times New Roman"/>
          <w:sz w:val="24"/>
          <w:szCs w:val="24"/>
          <w:lang w:val="sr-Cyrl-RS"/>
        </w:rPr>
        <w:t xml:space="preserve"> анализа, као и да се идентификују сегменти кој</w:t>
      </w:r>
      <w:r w:rsidR="004226B8" w:rsidRPr="0081082A">
        <w:rPr>
          <w:rFonts w:ascii="Times New Roman" w:eastAsia="Calibri" w:hAnsi="Times New Roman" w:cs="Times New Roman"/>
          <w:sz w:val="24"/>
          <w:szCs w:val="24"/>
          <w:lang w:val="sr-Cyrl-RS"/>
        </w:rPr>
        <w:t>е</w:t>
      </w:r>
      <w:r w:rsidRPr="0081082A">
        <w:rPr>
          <w:rFonts w:ascii="Times New Roman" w:eastAsia="Calibri" w:hAnsi="Times New Roman" w:cs="Times New Roman"/>
          <w:sz w:val="24"/>
          <w:szCs w:val="24"/>
          <w:lang w:val="sr-Cyrl-RS"/>
        </w:rPr>
        <w:t xml:space="preserve"> би требало</w:t>
      </w:r>
      <w:r w:rsidR="0099189A" w:rsidRPr="0081082A">
        <w:rPr>
          <w:rFonts w:ascii="Times New Roman" w:eastAsia="Calibri" w:hAnsi="Times New Roman" w:cs="Times New Roman"/>
          <w:sz w:val="24"/>
          <w:szCs w:val="24"/>
          <w:lang w:val="sr-Cyrl-RS"/>
        </w:rPr>
        <w:t xml:space="preserve"> додатно</w:t>
      </w:r>
      <w:r w:rsidRPr="0081082A">
        <w:rPr>
          <w:rFonts w:ascii="Times New Roman" w:eastAsia="Calibri" w:hAnsi="Times New Roman" w:cs="Times New Roman"/>
          <w:sz w:val="24"/>
          <w:szCs w:val="24"/>
          <w:lang w:val="sr-Cyrl-RS"/>
        </w:rPr>
        <w:t xml:space="preserve"> </w:t>
      </w:r>
      <w:r w:rsidR="00260727" w:rsidRPr="0081082A">
        <w:rPr>
          <w:rFonts w:ascii="Times New Roman" w:eastAsia="Calibri" w:hAnsi="Times New Roman" w:cs="Times New Roman"/>
          <w:sz w:val="24"/>
          <w:szCs w:val="24"/>
          <w:lang w:val="sr-Cyrl-RS"/>
        </w:rPr>
        <w:t>унапредити</w:t>
      </w:r>
      <w:r w:rsidR="00EB7DA4" w:rsidRPr="0081082A">
        <w:rPr>
          <w:rFonts w:ascii="Times New Roman" w:eastAsia="Calibri" w:hAnsi="Times New Roman" w:cs="Times New Roman"/>
          <w:sz w:val="24"/>
          <w:szCs w:val="24"/>
          <w:lang w:val="sr-Cyrl-RS"/>
        </w:rPr>
        <w:t>, узимајући у обзир и чињеницу да је и</w:t>
      </w:r>
      <w:r w:rsidR="00927675">
        <w:rPr>
          <w:rFonts w:ascii="Times New Roman" w:eastAsia="Calibri" w:hAnsi="Times New Roman" w:cs="Times New Roman"/>
          <w:sz w:val="24"/>
          <w:szCs w:val="24"/>
          <w:lang w:val="sr-Cyrl-RS"/>
        </w:rPr>
        <w:t>з</w:t>
      </w:r>
      <w:r w:rsidR="00EB7DA4" w:rsidRPr="0081082A">
        <w:rPr>
          <w:rFonts w:ascii="Times New Roman" w:eastAsia="Calibri" w:hAnsi="Times New Roman" w:cs="Times New Roman"/>
          <w:sz w:val="24"/>
          <w:szCs w:val="24"/>
          <w:lang w:val="sr-Cyrl-RS"/>
        </w:rPr>
        <w:t>међу две последње процене дошло до измене методологије</w:t>
      </w:r>
      <w:r w:rsidRPr="0081082A">
        <w:rPr>
          <w:rFonts w:ascii="Times New Roman" w:hAnsi="Times New Roman"/>
          <w:sz w:val="24"/>
          <w:lang w:val="sr-Cyrl-RS"/>
        </w:rPr>
        <w:t xml:space="preserve">. </w:t>
      </w:r>
    </w:p>
    <w:p w:rsidR="005703FA" w:rsidRPr="0081082A" w:rsidRDefault="00260727" w:rsidP="00C12487">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Поред већ постојећег стратешког оквира у области УЈФ</w:t>
      </w:r>
      <w:r w:rsidR="00485141"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о</w:t>
      </w:r>
      <w:r w:rsidR="005703FA" w:rsidRPr="0081082A">
        <w:rPr>
          <w:rFonts w:ascii="Times New Roman" w:eastAsia="Calibri" w:hAnsi="Times New Roman" w:cs="Times New Roman"/>
          <w:sz w:val="24"/>
          <w:szCs w:val="24"/>
          <w:lang w:val="sr-Cyrl-RS"/>
        </w:rPr>
        <w:t xml:space="preserve">ва два документа су у значајној мери </w:t>
      </w:r>
      <w:r w:rsidRPr="0081082A">
        <w:rPr>
          <w:rFonts w:ascii="Times New Roman" w:eastAsia="Calibri" w:hAnsi="Times New Roman" w:cs="Times New Roman"/>
          <w:sz w:val="24"/>
          <w:szCs w:val="24"/>
          <w:lang w:val="sr-Cyrl-RS"/>
        </w:rPr>
        <w:t xml:space="preserve"> унапредила </w:t>
      </w:r>
      <w:r w:rsidR="005703FA" w:rsidRPr="0081082A">
        <w:rPr>
          <w:rFonts w:ascii="Times New Roman" w:eastAsia="Calibri" w:hAnsi="Times New Roman" w:cs="Times New Roman"/>
          <w:sz w:val="24"/>
          <w:szCs w:val="24"/>
          <w:lang w:val="sr-Cyrl-RS"/>
        </w:rPr>
        <w:t>квалитет новог ПРУЈФ 2021-2025, јер су пружила пресек тренутног стања у сваком појединачном подсистему УЈФ и потврдили на које од њих у новом ПРУЈФ треба обратити посебну пажњу. Препоруке за унапређење УЈФ у оба документа дате су за исте области и у веома сличном правцу</w:t>
      </w:r>
      <w:r w:rsidR="009254B1" w:rsidRPr="0081082A">
        <w:rPr>
          <w:rFonts w:ascii="Times New Roman" w:eastAsia="Calibri" w:hAnsi="Times New Roman" w:cs="Times New Roman"/>
          <w:sz w:val="24"/>
          <w:szCs w:val="24"/>
          <w:lang w:val="sr-Cyrl-RS"/>
        </w:rPr>
        <w:t>.</w:t>
      </w:r>
      <w:r w:rsidR="005703FA" w:rsidRPr="0081082A">
        <w:rPr>
          <w:rFonts w:ascii="Times New Roman" w:eastAsia="Calibri" w:hAnsi="Times New Roman" w:cs="Times New Roman"/>
          <w:sz w:val="24"/>
          <w:szCs w:val="24"/>
          <w:lang w:val="sr-Cyrl-RS"/>
        </w:rPr>
        <w:t xml:space="preserve"> </w:t>
      </w:r>
    </w:p>
    <w:p w:rsidR="00D12A35" w:rsidRPr="0081082A" w:rsidRDefault="0099189A" w:rsidP="008F51DB">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У претходном периоду значајна пажња посвећена је консултацијама са заинтересованим актерима о реформи јавних финансија</w:t>
      </w:r>
      <w:r w:rsidR="00991436" w:rsidRPr="0081082A">
        <w:rPr>
          <w:rFonts w:ascii="Times New Roman" w:eastAsia="Calibri" w:hAnsi="Times New Roman" w:cs="Times New Roman"/>
          <w:sz w:val="24"/>
          <w:szCs w:val="24"/>
          <w:lang w:val="sr-Cyrl-RS"/>
        </w:rPr>
        <w:t xml:space="preserve"> објављивањем нацрта и усвојених документа на </w:t>
      </w:r>
      <w:r w:rsidR="00485141" w:rsidRPr="0081082A">
        <w:rPr>
          <w:rFonts w:ascii="Times New Roman" w:eastAsia="Calibri" w:hAnsi="Times New Roman" w:cs="Times New Roman"/>
          <w:sz w:val="24"/>
          <w:szCs w:val="24"/>
          <w:lang w:val="sr-Cyrl-RS"/>
        </w:rPr>
        <w:t xml:space="preserve">интернет </w:t>
      </w:r>
      <w:r w:rsidR="00991436" w:rsidRPr="0081082A">
        <w:rPr>
          <w:rFonts w:ascii="Times New Roman" w:eastAsia="Calibri" w:hAnsi="Times New Roman" w:cs="Times New Roman"/>
          <w:sz w:val="24"/>
          <w:szCs w:val="24"/>
          <w:lang w:val="sr-Cyrl-RS"/>
        </w:rPr>
        <w:t>страници МФ</w:t>
      </w:r>
      <w:r w:rsidRPr="0081082A">
        <w:rPr>
          <w:rFonts w:ascii="Times New Roman" w:eastAsia="Calibri" w:hAnsi="Times New Roman" w:cs="Times New Roman"/>
          <w:sz w:val="24"/>
          <w:szCs w:val="24"/>
          <w:lang w:val="sr-Cyrl-RS"/>
        </w:rPr>
        <w:t xml:space="preserve">. </w:t>
      </w:r>
      <w:r w:rsidR="005703FA" w:rsidRPr="0081082A">
        <w:rPr>
          <w:rFonts w:ascii="Times New Roman" w:eastAsia="Calibri" w:hAnsi="Times New Roman" w:cs="Times New Roman"/>
          <w:sz w:val="24"/>
          <w:szCs w:val="24"/>
          <w:lang w:val="sr-Cyrl-RS"/>
        </w:rPr>
        <w:t>Дијалог о политици УЈФ одржава се најмање једном годишње</w:t>
      </w:r>
      <w:r w:rsidR="00485141" w:rsidRPr="0081082A">
        <w:rPr>
          <w:rFonts w:ascii="Times New Roman" w:eastAsia="Calibri" w:hAnsi="Times New Roman" w:cs="Times New Roman"/>
          <w:sz w:val="24"/>
          <w:szCs w:val="24"/>
          <w:lang w:val="sr-Cyrl-RS"/>
        </w:rPr>
        <w:t>, пре усвајања извештаја о реализацији ПРУЈФ, уз подршку пројекта немачке и швајцарске развојне помоћи „Реформа јавних финансија и Агенда 2030</w:t>
      </w:r>
      <w:r w:rsidR="007E728E" w:rsidRPr="0081082A">
        <w:rPr>
          <w:rFonts w:ascii="Times New Roman" w:eastAsia="Calibri" w:hAnsi="Times New Roman" w:cs="Times New Roman"/>
          <w:sz w:val="24"/>
          <w:szCs w:val="24"/>
          <w:lang w:val="sr-Cyrl-RS"/>
        </w:rPr>
        <w:t>”</w:t>
      </w:r>
      <w:r w:rsidR="00485141" w:rsidRPr="0081082A">
        <w:rPr>
          <w:rFonts w:ascii="Times New Roman" w:eastAsia="Calibri" w:hAnsi="Times New Roman" w:cs="Times New Roman"/>
          <w:sz w:val="24"/>
          <w:szCs w:val="24"/>
          <w:lang w:val="sr-Cyrl-RS"/>
        </w:rPr>
        <w:t xml:space="preserve"> који спроводи ГИЗ,</w:t>
      </w:r>
      <w:r w:rsidR="005703FA" w:rsidRPr="0081082A">
        <w:rPr>
          <w:rFonts w:ascii="Times New Roman" w:eastAsia="Calibri" w:hAnsi="Times New Roman" w:cs="Times New Roman"/>
          <w:sz w:val="24"/>
          <w:szCs w:val="24"/>
          <w:lang w:val="sr-Cyrl-RS"/>
        </w:rPr>
        <w:t xml:space="preserve"> и представља платформу за дискусију са заинтересованим актерима – цивилним друштвом, Европском комисијом, међународним</w:t>
      </w:r>
      <w:r w:rsidR="00485141" w:rsidRPr="0081082A">
        <w:rPr>
          <w:rFonts w:ascii="Times New Roman" w:eastAsia="Calibri" w:hAnsi="Times New Roman" w:cs="Times New Roman"/>
          <w:sz w:val="24"/>
          <w:szCs w:val="24"/>
          <w:lang w:val="sr-Cyrl-RS"/>
        </w:rPr>
        <w:t xml:space="preserve"> финансијским</w:t>
      </w:r>
      <w:r w:rsidR="005703FA" w:rsidRPr="0081082A">
        <w:rPr>
          <w:rFonts w:ascii="Times New Roman" w:eastAsia="Calibri" w:hAnsi="Times New Roman" w:cs="Times New Roman"/>
          <w:sz w:val="24"/>
          <w:szCs w:val="24"/>
          <w:lang w:val="sr-Cyrl-RS"/>
        </w:rPr>
        <w:t xml:space="preserve"> </w:t>
      </w:r>
      <w:r w:rsidR="00485141" w:rsidRPr="0081082A">
        <w:rPr>
          <w:rFonts w:ascii="Times New Roman" w:eastAsia="Calibri" w:hAnsi="Times New Roman" w:cs="Times New Roman"/>
          <w:sz w:val="24"/>
          <w:szCs w:val="24"/>
          <w:lang w:val="sr-Cyrl-RS"/>
        </w:rPr>
        <w:t xml:space="preserve">институцијама </w:t>
      </w:r>
      <w:r w:rsidR="005703FA" w:rsidRPr="0081082A">
        <w:rPr>
          <w:rFonts w:ascii="Times New Roman" w:eastAsia="Calibri" w:hAnsi="Times New Roman" w:cs="Times New Roman"/>
          <w:sz w:val="24"/>
          <w:szCs w:val="24"/>
          <w:lang w:val="sr-Cyrl-RS"/>
        </w:rPr>
        <w:t>и донаторима. Овај дијалог је организован у форми целодневне конференције</w:t>
      </w:r>
      <w:r w:rsidR="00991436" w:rsidRPr="0081082A">
        <w:rPr>
          <w:rFonts w:ascii="Times New Roman" w:eastAsia="Calibri" w:hAnsi="Times New Roman" w:cs="Times New Roman"/>
          <w:sz w:val="24"/>
          <w:szCs w:val="24"/>
          <w:lang w:val="sr-Cyrl-RS"/>
        </w:rPr>
        <w:t xml:space="preserve"> 2017, 2018 и 2019. године</w:t>
      </w:r>
      <w:r w:rsidR="005703FA" w:rsidRPr="0081082A">
        <w:rPr>
          <w:rFonts w:ascii="Times New Roman" w:eastAsia="Calibri" w:hAnsi="Times New Roman" w:cs="Times New Roman"/>
          <w:sz w:val="24"/>
          <w:szCs w:val="24"/>
          <w:lang w:val="sr-Cyrl-RS"/>
        </w:rPr>
        <w:t>, током ко</w:t>
      </w:r>
      <w:r w:rsidR="00485141" w:rsidRPr="0081082A">
        <w:rPr>
          <w:rFonts w:ascii="Times New Roman" w:eastAsia="Calibri" w:hAnsi="Times New Roman" w:cs="Times New Roman"/>
          <w:sz w:val="24"/>
          <w:szCs w:val="24"/>
          <w:lang w:val="sr-Cyrl-RS"/>
        </w:rPr>
        <w:t>јих</w:t>
      </w:r>
      <w:r w:rsidR="005703FA" w:rsidRPr="0081082A">
        <w:rPr>
          <w:rFonts w:ascii="Times New Roman" w:eastAsia="Calibri" w:hAnsi="Times New Roman" w:cs="Times New Roman"/>
          <w:sz w:val="24"/>
          <w:szCs w:val="24"/>
          <w:lang w:val="sr-Cyrl-RS"/>
        </w:rPr>
        <w:t xml:space="preserve"> </w:t>
      </w:r>
      <w:r w:rsidR="00485141" w:rsidRPr="0081082A">
        <w:rPr>
          <w:rFonts w:ascii="Times New Roman" w:eastAsia="Calibri" w:hAnsi="Times New Roman" w:cs="Times New Roman"/>
          <w:sz w:val="24"/>
          <w:szCs w:val="24"/>
          <w:lang w:val="sr-Cyrl-RS"/>
        </w:rPr>
        <w:t xml:space="preserve">су </w:t>
      </w:r>
      <w:r w:rsidR="005703FA" w:rsidRPr="0081082A">
        <w:rPr>
          <w:rFonts w:ascii="Times New Roman" w:eastAsia="Calibri" w:hAnsi="Times New Roman" w:cs="Times New Roman"/>
          <w:sz w:val="24"/>
          <w:szCs w:val="24"/>
          <w:lang w:val="sr-Cyrl-RS"/>
        </w:rPr>
        <w:t>представљ</w:t>
      </w:r>
      <w:r w:rsidR="00485141" w:rsidRPr="0081082A">
        <w:rPr>
          <w:rFonts w:ascii="Times New Roman" w:eastAsia="Calibri" w:hAnsi="Times New Roman" w:cs="Times New Roman"/>
          <w:sz w:val="24"/>
          <w:szCs w:val="24"/>
          <w:lang w:val="sr-Cyrl-RS"/>
        </w:rPr>
        <w:t>ени</w:t>
      </w:r>
      <w:r w:rsidR="005703FA" w:rsidRPr="0081082A">
        <w:rPr>
          <w:rFonts w:ascii="Times New Roman" w:eastAsia="Calibri" w:hAnsi="Times New Roman" w:cs="Times New Roman"/>
          <w:sz w:val="24"/>
          <w:szCs w:val="24"/>
          <w:lang w:val="sr-Cyrl-RS"/>
        </w:rPr>
        <w:t xml:space="preserve"> напредак у области реформе управљања јавним финансијама и планови за наредни период.</w:t>
      </w:r>
      <w:r w:rsidR="00260727" w:rsidRPr="0081082A">
        <w:rPr>
          <w:rFonts w:ascii="Times New Roman" w:eastAsia="Calibri" w:hAnsi="Times New Roman" w:cs="Times New Roman"/>
          <w:sz w:val="24"/>
          <w:szCs w:val="24"/>
          <w:lang w:val="sr-Cyrl-RS"/>
        </w:rPr>
        <w:t xml:space="preserve"> </w:t>
      </w:r>
      <w:r w:rsidR="00991436" w:rsidRPr="0081082A">
        <w:rPr>
          <w:rFonts w:ascii="Times New Roman" w:eastAsia="Calibri" w:hAnsi="Times New Roman" w:cs="Times New Roman"/>
          <w:sz w:val="24"/>
          <w:szCs w:val="24"/>
          <w:lang w:val="sr-Cyrl-RS"/>
        </w:rPr>
        <w:t>Поред тога, с</w:t>
      </w:r>
      <w:r w:rsidR="005703FA" w:rsidRPr="0081082A">
        <w:rPr>
          <w:rFonts w:ascii="Times New Roman" w:eastAsia="Calibri" w:hAnsi="Times New Roman" w:cs="Times New Roman"/>
          <w:sz w:val="24"/>
          <w:szCs w:val="24"/>
          <w:lang w:val="sr-Cyrl-RS"/>
        </w:rPr>
        <w:t xml:space="preserve">ви заинтересовани актери </w:t>
      </w:r>
      <w:r w:rsidR="00485141" w:rsidRPr="0081082A">
        <w:rPr>
          <w:rFonts w:ascii="Times New Roman" w:eastAsia="Calibri" w:hAnsi="Times New Roman" w:cs="Times New Roman"/>
          <w:sz w:val="24"/>
          <w:szCs w:val="24"/>
          <w:lang w:val="sr-Cyrl-RS"/>
        </w:rPr>
        <w:t xml:space="preserve">могли су </w:t>
      </w:r>
      <w:r w:rsidR="005703FA" w:rsidRPr="0081082A">
        <w:rPr>
          <w:rFonts w:ascii="Times New Roman" w:eastAsia="Calibri" w:hAnsi="Times New Roman" w:cs="Times New Roman"/>
          <w:sz w:val="24"/>
          <w:szCs w:val="24"/>
          <w:lang w:val="sr-Cyrl-RS"/>
        </w:rPr>
        <w:t>континуирано достављати своје коментаре и сугестије путем посебне електронске адресе отворене у ту сврху</w:t>
      </w:r>
      <w:r w:rsidR="00260727" w:rsidRPr="0081082A">
        <w:rPr>
          <w:rFonts w:ascii="Times New Roman" w:eastAsia="Calibri" w:hAnsi="Times New Roman" w:cs="Times New Roman"/>
          <w:sz w:val="24"/>
          <w:szCs w:val="24"/>
          <w:lang w:val="sr-Cyrl-RS"/>
        </w:rPr>
        <w:t>:</w:t>
      </w:r>
      <w:r w:rsidR="005703FA" w:rsidRPr="0081082A">
        <w:rPr>
          <w:rFonts w:ascii="Times New Roman" w:eastAsia="Calibri" w:hAnsi="Times New Roman" w:cs="Times New Roman"/>
          <w:sz w:val="24"/>
          <w:szCs w:val="24"/>
          <w:lang w:val="sr-Cyrl-RS"/>
        </w:rPr>
        <w:t xml:space="preserve">– </w:t>
      </w:r>
      <w:hyperlink r:id="rId15" w:history="1">
        <w:r w:rsidR="005703FA" w:rsidRPr="0081082A">
          <w:rPr>
            <w:rStyle w:val="Hyperlink"/>
            <w:rFonts w:ascii="Times New Roman" w:eastAsia="Calibri" w:hAnsi="Times New Roman" w:cs="Times New Roman"/>
            <w:sz w:val="24"/>
            <w:szCs w:val="24"/>
            <w:lang w:val="sr-Cyrl-RS"/>
          </w:rPr>
          <w:t>pfmdijalog@mfin.gov.rs</w:t>
        </w:r>
      </w:hyperlink>
      <w:r w:rsidR="005703FA" w:rsidRPr="0081082A">
        <w:rPr>
          <w:rStyle w:val="Hyperlink"/>
          <w:rFonts w:ascii="Times New Roman" w:eastAsia="Calibri" w:hAnsi="Times New Roman" w:cs="Times New Roman"/>
          <w:sz w:val="24"/>
          <w:szCs w:val="24"/>
          <w:lang w:val="sr-Cyrl-RS"/>
        </w:rPr>
        <w:t>.</w:t>
      </w:r>
      <w:r w:rsidR="005703FA" w:rsidRPr="0081082A">
        <w:rPr>
          <w:rFonts w:ascii="Times New Roman" w:eastAsia="Calibri" w:hAnsi="Times New Roman" w:cs="Times New Roman"/>
          <w:sz w:val="24"/>
          <w:szCs w:val="24"/>
          <w:lang w:val="sr-Cyrl-RS"/>
        </w:rPr>
        <w:t xml:space="preserve"> </w:t>
      </w:r>
      <w:r w:rsidR="00485141" w:rsidRPr="0081082A">
        <w:rPr>
          <w:rFonts w:ascii="Times New Roman" w:eastAsia="Calibri" w:hAnsi="Times New Roman" w:cs="Times New Roman"/>
          <w:sz w:val="24"/>
          <w:szCs w:val="24"/>
          <w:lang w:val="sr-Cyrl-RS"/>
        </w:rPr>
        <w:t xml:space="preserve">У 2020. години овај састанак није одржан услед пандемије </w:t>
      </w:r>
      <w:r w:rsidR="009A0BC7" w:rsidRPr="0081082A">
        <w:rPr>
          <w:rFonts w:ascii="Times New Roman" w:eastAsia="Calibri" w:hAnsi="Times New Roman" w:cs="Times New Roman"/>
          <w:sz w:val="24"/>
          <w:szCs w:val="24"/>
          <w:lang w:val="sr-Cyrl-RS"/>
        </w:rPr>
        <w:t xml:space="preserve">болести </w:t>
      </w:r>
      <w:r w:rsidR="00191D99">
        <w:rPr>
          <w:rFonts w:ascii="Times New Roman" w:eastAsia="Calibri" w:hAnsi="Times New Roman" w:cs="Times New Roman"/>
          <w:sz w:val="24"/>
          <w:szCs w:val="24"/>
          <w:lang w:val="sr-Cyrl-RS"/>
        </w:rPr>
        <w:t>Ковид</w:t>
      </w:r>
      <w:r w:rsidR="00485141" w:rsidRPr="0081082A">
        <w:rPr>
          <w:rFonts w:ascii="Times New Roman" w:eastAsia="Calibri" w:hAnsi="Times New Roman" w:cs="Times New Roman"/>
          <w:sz w:val="24"/>
          <w:szCs w:val="24"/>
          <w:lang w:val="sr-Cyrl-RS"/>
        </w:rPr>
        <w:t>-19</w:t>
      </w:r>
      <w:r w:rsidR="00D82621" w:rsidRPr="0081082A">
        <w:rPr>
          <w:rFonts w:ascii="Times New Roman" w:eastAsia="Calibri" w:hAnsi="Times New Roman" w:cs="Times New Roman"/>
          <w:sz w:val="24"/>
          <w:szCs w:val="24"/>
          <w:lang w:val="sr-Cyrl-RS"/>
        </w:rPr>
        <w:t xml:space="preserve">. </w:t>
      </w:r>
      <w:r w:rsidR="00E46C8A" w:rsidRPr="0081082A">
        <w:rPr>
          <w:rFonts w:ascii="Times New Roman" w:eastAsia="Calibri" w:hAnsi="Times New Roman" w:cs="Times New Roman"/>
          <w:sz w:val="24"/>
          <w:szCs w:val="24"/>
          <w:lang w:val="sr-Cyrl-RS"/>
        </w:rPr>
        <w:t>Дијалог је</w:t>
      </w:r>
      <w:r w:rsidR="00D82621" w:rsidRPr="0081082A">
        <w:rPr>
          <w:rFonts w:ascii="Times New Roman" w:eastAsia="Calibri" w:hAnsi="Times New Roman" w:cs="Times New Roman"/>
          <w:sz w:val="24"/>
          <w:szCs w:val="24"/>
          <w:lang w:val="sr-Cyrl-RS"/>
        </w:rPr>
        <w:t xml:space="preserve"> </w:t>
      </w:r>
      <w:r w:rsidR="00E46C8A" w:rsidRPr="0081082A">
        <w:rPr>
          <w:rFonts w:ascii="Times New Roman" w:eastAsia="Calibri" w:hAnsi="Times New Roman" w:cs="Times New Roman"/>
          <w:sz w:val="24"/>
          <w:szCs w:val="24"/>
          <w:lang w:val="sr-Cyrl-RS"/>
        </w:rPr>
        <w:t>2021. године</w:t>
      </w:r>
      <w:r w:rsidR="00485141" w:rsidRPr="0081082A">
        <w:rPr>
          <w:rFonts w:ascii="Times New Roman" w:eastAsia="Calibri" w:hAnsi="Times New Roman" w:cs="Times New Roman"/>
          <w:sz w:val="24"/>
          <w:szCs w:val="24"/>
          <w:lang w:val="sr-Cyrl-RS"/>
        </w:rPr>
        <w:t xml:space="preserve"> одржан онлајн путем 20. маја</w:t>
      </w:r>
      <w:r w:rsidR="00AC4C48" w:rsidRPr="0081082A">
        <w:rPr>
          <w:rFonts w:ascii="Times New Roman" w:eastAsia="Calibri" w:hAnsi="Times New Roman" w:cs="Times New Roman"/>
          <w:sz w:val="24"/>
          <w:szCs w:val="24"/>
          <w:lang w:val="sr-Cyrl-RS"/>
        </w:rPr>
        <w:t>.</w:t>
      </w:r>
    </w:p>
    <w:p w:rsidR="00E46C8A" w:rsidRPr="0081082A" w:rsidRDefault="00E46C8A" w:rsidP="009F1048">
      <w:pPr>
        <w:spacing w:after="100" w:afterAutospacing="1" w:line="240" w:lineRule="auto"/>
        <w:jc w:val="both"/>
        <w:rPr>
          <w:rFonts w:ascii="Times New Roman" w:eastAsia="Calibri" w:hAnsi="Times New Roman" w:cs="Times New Roman"/>
          <w:sz w:val="24"/>
          <w:szCs w:val="24"/>
          <w:lang w:val="sr-Cyrl-RS"/>
        </w:rPr>
      </w:pPr>
    </w:p>
    <w:p w:rsidR="005703FA" w:rsidRPr="0081082A" w:rsidRDefault="005703FA" w:rsidP="005703FA">
      <w:pPr>
        <w:pStyle w:val="Heading2"/>
        <w:jc w:val="center"/>
        <w:rPr>
          <w:rFonts w:ascii="Times New Roman" w:hAnsi="Times New Roman"/>
          <w:sz w:val="28"/>
          <w:lang w:val="sr-Cyrl-RS"/>
        </w:rPr>
      </w:pPr>
      <w:bookmarkStart w:id="6" w:name="_Toc72488788"/>
      <w:r w:rsidRPr="0081082A">
        <w:rPr>
          <w:rFonts w:ascii="Times New Roman" w:hAnsi="Times New Roman"/>
          <w:sz w:val="28"/>
          <w:lang w:val="sr-Cyrl-RS"/>
        </w:rPr>
        <w:t>ДЕФИНИСАЊЕ ЖЕЉЕНЕ ПРОМЕНЕ</w:t>
      </w:r>
      <w:bookmarkEnd w:id="6"/>
    </w:p>
    <w:p w:rsidR="005703FA" w:rsidRPr="0081082A" w:rsidRDefault="005703FA" w:rsidP="005703FA">
      <w:pPr>
        <w:rPr>
          <w:rFonts w:ascii="Arial" w:hAnsi="Arial" w:cs="Arial"/>
          <w:lang w:val="sr-Cyrl-RS"/>
        </w:rPr>
      </w:pPr>
    </w:p>
    <w:p w:rsidR="00DA0C75" w:rsidRPr="0081082A" w:rsidRDefault="00DA0C75" w:rsidP="00431E7F">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ПРУЈФ 2021-2025 се надограђује на резултате постигнуте у периоду 2016-2020. годин</w:t>
      </w:r>
      <w:r w:rsidR="00A96A41" w:rsidRPr="0081082A">
        <w:rPr>
          <w:rFonts w:ascii="Times New Roman" w:eastAsia="Calibri" w:hAnsi="Times New Roman" w:cs="Times New Roman"/>
          <w:sz w:val="24"/>
          <w:szCs w:val="24"/>
          <w:lang w:val="sr-Cyrl-RS"/>
        </w:rPr>
        <w:t>е</w:t>
      </w:r>
      <w:r w:rsidRPr="0081082A">
        <w:rPr>
          <w:rFonts w:ascii="Times New Roman" w:eastAsia="Calibri" w:hAnsi="Times New Roman" w:cs="Times New Roman"/>
          <w:sz w:val="24"/>
          <w:szCs w:val="24"/>
          <w:lang w:val="sr-Cyrl-RS"/>
        </w:rPr>
        <w:t>, а процес ње</w:t>
      </w:r>
      <w:r w:rsidR="00A96A41" w:rsidRPr="0081082A">
        <w:rPr>
          <w:rFonts w:ascii="Times New Roman" w:eastAsia="Calibri" w:hAnsi="Times New Roman" w:cs="Times New Roman"/>
          <w:sz w:val="24"/>
          <w:szCs w:val="24"/>
          <w:lang w:val="sr-Cyrl-RS"/>
        </w:rPr>
        <w:t>гове</w:t>
      </w:r>
      <w:r w:rsidRPr="0081082A">
        <w:rPr>
          <w:rFonts w:ascii="Times New Roman" w:eastAsia="Calibri" w:hAnsi="Times New Roman" w:cs="Times New Roman"/>
          <w:sz w:val="24"/>
          <w:szCs w:val="24"/>
          <w:lang w:val="sr-Cyrl-RS"/>
        </w:rPr>
        <w:t xml:space="preserve"> припреме коришћен је за поновно разматрање праваца и изазова за област управљања јавним финансијама.</w:t>
      </w:r>
    </w:p>
    <w:p w:rsidR="00ED312E" w:rsidRPr="0081082A" w:rsidRDefault="00ED312E" w:rsidP="00631B38">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Жељена промена коју треба постићи у периоду 2021-2025. године представља даље унапређење међусобно повезаних  посебних циљева Програма реформе управљања јавним финансијама, које ће последично да допринесу и укупном напретку у овој области. </w:t>
      </w:r>
    </w:p>
    <w:p w:rsidR="000F10FA" w:rsidRPr="0081082A" w:rsidRDefault="000F10FA" w:rsidP="00631B38">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У области буџетског планирања, неопходан је даљи напредак у процесу јачања програмског буџетирања кроз јачање елемента везаних за учинак. Такође, неопходан је напредак и у области капиталних инвестиција кроз практичну примену успостављеног </w:t>
      </w:r>
      <w:r w:rsidRPr="0081082A">
        <w:rPr>
          <w:rFonts w:ascii="Times New Roman" w:eastAsia="Calibri" w:hAnsi="Times New Roman" w:cs="Times New Roman"/>
          <w:sz w:val="24"/>
          <w:szCs w:val="24"/>
          <w:lang w:val="sr-Cyrl-RS"/>
        </w:rPr>
        <w:lastRenderedPageBreak/>
        <w:t xml:space="preserve">правног оквира за управљање капиталним инвестицијама, као и у области праћења фискалних ризика за које је планирано успостављање правног оквира. </w:t>
      </w:r>
    </w:p>
    <w:p w:rsidR="00ED312E" w:rsidRPr="0081082A" w:rsidRDefault="00ED312E" w:rsidP="00ED312E">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У оквиру прикупљања и управљања буџетским средствима, неопходно је да се посвети пажња јачању пословних процеса, админист</w:t>
      </w:r>
      <w:r w:rsidR="00830278" w:rsidRPr="0081082A">
        <w:rPr>
          <w:rFonts w:ascii="Times New Roman" w:eastAsia="Calibri" w:hAnsi="Times New Roman" w:cs="Times New Roman"/>
          <w:sz w:val="24"/>
          <w:szCs w:val="24"/>
          <w:lang w:val="sr-Cyrl-RS"/>
        </w:rPr>
        <w:t>ра</w:t>
      </w:r>
      <w:r w:rsidRPr="0081082A">
        <w:rPr>
          <w:rFonts w:ascii="Times New Roman" w:eastAsia="Calibri" w:hAnsi="Times New Roman" w:cs="Times New Roman"/>
          <w:sz w:val="24"/>
          <w:szCs w:val="24"/>
          <w:lang w:val="sr-Cyrl-RS"/>
        </w:rPr>
        <w:t>тивних капацитета и ИТ решења у складу са стандардима Европске уније. Неопходно је обезбедити даљи напредак и континуирано усклађивање са најбољим ИТ решењима која ће обезбедити ефикаснији и транспарентнији рад у наплати пореза, управљању буџетским средствима и јавним дугом, као и у транспарентности у процесу јавних набавки.</w:t>
      </w:r>
      <w:r w:rsidR="00E316D8" w:rsidRPr="0081082A">
        <w:rPr>
          <w:rFonts w:ascii="Times New Roman" w:eastAsia="Calibri" w:hAnsi="Times New Roman" w:cs="Times New Roman"/>
          <w:sz w:val="24"/>
          <w:szCs w:val="24"/>
          <w:lang w:val="sr-Cyrl-RS"/>
        </w:rPr>
        <w:t xml:space="preserve"> </w:t>
      </w:r>
      <w:r w:rsidR="000F684E" w:rsidRPr="0081082A">
        <w:rPr>
          <w:rFonts w:ascii="Times New Roman" w:eastAsia="Calibri" w:hAnsi="Times New Roman" w:cs="Times New Roman"/>
          <w:sz w:val="24"/>
          <w:szCs w:val="24"/>
          <w:lang w:val="sr-Cyrl-RS"/>
        </w:rPr>
        <w:t xml:space="preserve"> И најмања грешка приликом доношења одлука везаних за управљање јавним дугом може да произведе значајне трошкове и да има велики утицај на јавне финансије. Стога је веома битно да управљање јавним дугом буде и даље приоритет и да се ради на даљем јачању капацитета Управе за јавни дуг, како </w:t>
      </w:r>
      <w:r w:rsidR="00871B3D">
        <w:rPr>
          <w:rFonts w:ascii="Times New Roman" w:eastAsia="Calibri" w:hAnsi="Times New Roman" w:cs="Times New Roman"/>
          <w:sz w:val="24"/>
          <w:szCs w:val="24"/>
          <w:lang w:val="sr-Cyrl-RS"/>
        </w:rPr>
        <w:t>би њен рад био у складу са прак</w:t>
      </w:r>
      <w:r w:rsidR="000F684E" w:rsidRPr="0081082A">
        <w:rPr>
          <w:rFonts w:ascii="Times New Roman" w:eastAsia="Calibri" w:hAnsi="Times New Roman" w:cs="Times New Roman"/>
          <w:sz w:val="24"/>
          <w:szCs w:val="24"/>
          <w:lang w:val="sr-Cyrl-RS"/>
        </w:rPr>
        <w:t>сом најразвијенијих земаља.</w:t>
      </w:r>
    </w:p>
    <w:p w:rsidR="00ED312E" w:rsidRPr="0081082A" w:rsidRDefault="00ED312E" w:rsidP="00ED312E">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У оквиру јачања буџетске дисциплине и транспарентнијег коришћења јавних средстава, потребно је даље институционално јачање система за буџетску инспе</w:t>
      </w:r>
      <w:r w:rsidR="00A7421F">
        <w:rPr>
          <w:rFonts w:ascii="Times New Roman" w:eastAsia="Calibri" w:hAnsi="Times New Roman" w:cs="Times New Roman"/>
          <w:sz w:val="24"/>
          <w:szCs w:val="24"/>
          <w:lang w:val="sr-Cyrl-RS"/>
        </w:rPr>
        <w:t>к</w:t>
      </w:r>
      <w:r w:rsidRPr="0081082A">
        <w:rPr>
          <w:rFonts w:ascii="Times New Roman" w:eastAsia="Calibri" w:hAnsi="Times New Roman" w:cs="Times New Roman"/>
          <w:sz w:val="24"/>
          <w:szCs w:val="24"/>
          <w:lang w:val="sr-Cyrl-RS"/>
        </w:rPr>
        <w:t xml:space="preserve">цију, али и тела која су надлежна за управљање и контролу средстава ЕУ. </w:t>
      </w:r>
    </w:p>
    <w:p w:rsidR="00ED312E" w:rsidRPr="0081082A" w:rsidRDefault="00ED312E" w:rsidP="00ED312E">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Потребно је додатно унапредити систем ФУК-а у институцијама јавног сектора, јачати функцију интерне ревизије, праћење интерне контроле и обуке. </w:t>
      </w:r>
    </w:p>
    <w:p w:rsidR="00ED312E" w:rsidRPr="0081082A" w:rsidRDefault="00ED312E" w:rsidP="00ED312E">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У области рачуноводства, потребно је израдити јасан план унапређења рачуноводства у јавном сектору чија ће реализација осигурати напредак у овој области, даљи процес сертификације рачуновођа и обезбедити унапређење обухвата рачуноводствених података.</w:t>
      </w:r>
    </w:p>
    <w:p w:rsidR="00BE11BF" w:rsidRPr="0081082A" w:rsidRDefault="00ED312E" w:rsidP="00ED312E">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У области спољног надзора над јавним финансијама, потребно је обезбедити даље јачање екстерне ревизије</w:t>
      </w:r>
      <w:r w:rsidR="006069E9"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као и контролне функције коју има Народна скупштина.        </w:t>
      </w:r>
      <w:r w:rsidR="00BE11BF" w:rsidRPr="0081082A">
        <w:rPr>
          <w:rFonts w:ascii="Times New Roman" w:eastAsia="Calibri" w:hAnsi="Times New Roman" w:cs="Times New Roman"/>
          <w:sz w:val="24"/>
          <w:szCs w:val="24"/>
          <w:lang w:val="sr-Cyrl-RS"/>
        </w:rPr>
        <w:t xml:space="preserve">        </w:t>
      </w:r>
    </w:p>
    <w:p w:rsidR="002D0362" w:rsidRPr="0081082A" w:rsidRDefault="005703FA" w:rsidP="00431E7F">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До дефиниције жељене промене дошло се на основу анализе постојећег стања и уочених проблема у УЈФ, што је представљено у оквиру Слике 2: Дрво проблема. </w:t>
      </w:r>
    </w:p>
    <w:p w:rsidR="00107918" w:rsidRPr="0081082A" w:rsidRDefault="00107918" w:rsidP="00107918">
      <w:pPr>
        <w:spacing w:after="100" w:afterAutospacing="1" w:line="240" w:lineRule="auto"/>
        <w:ind w:firstLine="708"/>
        <w:jc w:val="both"/>
        <w:rPr>
          <w:rFonts w:ascii="Times New Roman" w:eastAsia="Calibri" w:hAnsi="Times New Roman" w:cs="Times New Roman"/>
          <w:sz w:val="24"/>
          <w:szCs w:val="24"/>
          <w:lang w:val="sr-Cyrl-RS"/>
        </w:rPr>
      </w:pPr>
    </w:p>
    <w:p w:rsidR="00CE6F45" w:rsidRPr="0081082A" w:rsidRDefault="00CE6F45" w:rsidP="0015513C">
      <w:pPr>
        <w:numPr>
          <w:ilvl w:val="0"/>
          <w:numId w:val="2"/>
        </w:numPr>
        <w:spacing w:before="0" w:after="0" w:line="240" w:lineRule="auto"/>
        <w:contextualSpacing/>
        <w:jc w:val="both"/>
        <w:rPr>
          <w:rFonts w:ascii="Times New Roman" w:hAnsi="Times New Roman"/>
          <w:sz w:val="24"/>
          <w:lang w:val="sr-Cyrl-RS"/>
        </w:rPr>
        <w:sectPr w:rsidR="00CE6F45" w:rsidRPr="0081082A" w:rsidSect="000476C0">
          <w:pgSz w:w="11906" w:h="16838" w:code="9"/>
          <w:pgMar w:top="1440" w:right="1440" w:bottom="1440" w:left="1440" w:header="720" w:footer="720" w:gutter="0"/>
          <w:cols w:space="720"/>
          <w:docGrid w:linePitch="360"/>
        </w:sectPr>
      </w:pPr>
    </w:p>
    <w:p w:rsidR="005703FA" w:rsidRPr="0081082A" w:rsidRDefault="00E77A9A" w:rsidP="005703FA">
      <w:pPr>
        <w:jc w:val="center"/>
        <w:rPr>
          <w:rFonts w:ascii="Times New Roman" w:hAnsi="Times New Roman"/>
          <w:sz w:val="24"/>
          <w:lang w:val="sr-Cyrl-RS"/>
        </w:rPr>
        <w:sectPr w:rsidR="005703FA" w:rsidRPr="0081082A" w:rsidSect="00FD1E65">
          <w:pgSz w:w="23811" w:h="16838" w:orient="landscape" w:code="8"/>
          <w:pgMar w:top="1440" w:right="1440" w:bottom="1440" w:left="1440" w:header="720" w:footer="720" w:gutter="0"/>
          <w:cols w:space="720"/>
          <w:docGrid w:linePitch="360"/>
        </w:sectPr>
      </w:pPr>
      <w:r w:rsidRPr="0081082A">
        <w:rPr>
          <w:noProof/>
        </w:rPr>
        <w:lastRenderedPageBreak/>
        <w:drawing>
          <wp:inline distT="0" distB="0" distL="0" distR="0" wp14:anchorId="68DB21E2" wp14:editId="39AFD250">
            <wp:extent cx="12773025" cy="8086725"/>
            <wp:effectExtent l="0" t="0" r="9525" b="9525"/>
            <wp:docPr id="20" name="Picture 20" descr="cid:image001.png@01D75BB0.B24A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75BB0.B24A1450"/>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12773025" cy="8086725"/>
                    </a:xfrm>
                    <a:prstGeom prst="rect">
                      <a:avLst/>
                    </a:prstGeom>
                    <a:noFill/>
                    <a:ln>
                      <a:noFill/>
                    </a:ln>
                  </pic:spPr>
                </pic:pic>
              </a:graphicData>
            </a:graphic>
          </wp:inline>
        </w:drawing>
      </w:r>
    </w:p>
    <w:p w:rsidR="005703FA" w:rsidRPr="0081082A" w:rsidRDefault="005703FA" w:rsidP="00BB1D52">
      <w:pPr>
        <w:pStyle w:val="Heading2"/>
        <w:jc w:val="center"/>
        <w:rPr>
          <w:rFonts w:ascii="Times New Roman" w:hAnsi="Times New Roman"/>
          <w:sz w:val="40"/>
          <w:lang w:val="sr-Cyrl-RS"/>
        </w:rPr>
      </w:pPr>
      <w:bookmarkStart w:id="7" w:name="_Toc72488789"/>
      <w:r w:rsidRPr="0081082A">
        <w:rPr>
          <w:rFonts w:ascii="Times New Roman" w:hAnsi="Times New Roman"/>
          <w:sz w:val="40"/>
          <w:lang w:val="sr-Cyrl-RS"/>
        </w:rPr>
        <w:lastRenderedPageBreak/>
        <w:t>II ДЕО</w:t>
      </w:r>
      <w:bookmarkEnd w:id="7"/>
    </w:p>
    <w:p w:rsidR="005703FA" w:rsidRPr="0081082A" w:rsidRDefault="009437BF" w:rsidP="005703FA">
      <w:pPr>
        <w:pStyle w:val="Heading2"/>
        <w:jc w:val="center"/>
        <w:rPr>
          <w:rFonts w:ascii="Times New Roman" w:hAnsi="Times New Roman"/>
          <w:sz w:val="24"/>
          <w:lang w:val="sr-Cyrl-RS"/>
        </w:rPr>
      </w:pPr>
      <w:bookmarkStart w:id="8" w:name="_Toc72488790"/>
      <w:r w:rsidRPr="0081082A">
        <w:rPr>
          <w:rFonts w:ascii="Times New Roman" w:hAnsi="Times New Roman"/>
          <w:sz w:val="24"/>
          <w:lang w:val="sr-Cyrl-RS"/>
        </w:rPr>
        <w:t xml:space="preserve">ПРОЦЕС </w:t>
      </w:r>
      <w:r w:rsidR="005703FA" w:rsidRPr="0081082A">
        <w:rPr>
          <w:rFonts w:ascii="Times New Roman" w:hAnsi="Times New Roman"/>
          <w:sz w:val="24"/>
          <w:lang w:val="sr-Cyrl-RS"/>
        </w:rPr>
        <w:t>КОНСУЛТАЦИЈ</w:t>
      </w:r>
      <w:r w:rsidRPr="0081082A">
        <w:rPr>
          <w:rFonts w:ascii="Times New Roman" w:hAnsi="Times New Roman"/>
          <w:sz w:val="24"/>
          <w:lang w:val="sr-Cyrl-RS"/>
        </w:rPr>
        <w:t>А и јавне расправе</w:t>
      </w:r>
      <w:bookmarkEnd w:id="8"/>
    </w:p>
    <w:p w:rsidR="003312BB" w:rsidRPr="0081082A" w:rsidRDefault="00AF63CA" w:rsidP="00690303">
      <w:pPr>
        <w:tabs>
          <w:tab w:val="left" w:pos="8896"/>
        </w:tabs>
        <w:spacing w:after="0" w:line="240" w:lineRule="auto"/>
        <w:ind w:right="130"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Нацрт </w:t>
      </w:r>
      <w:r w:rsidR="006E7D8F" w:rsidRPr="0081082A">
        <w:rPr>
          <w:rFonts w:ascii="Times New Roman" w:hAnsi="Times New Roman" w:cs="Times New Roman"/>
          <w:sz w:val="24"/>
          <w:szCs w:val="24"/>
          <w:lang w:val="sr-Cyrl-RS"/>
        </w:rPr>
        <w:t>ПРУЈФ</w:t>
      </w:r>
      <w:r w:rsidR="00A53BDD" w:rsidRPr="0081082A">
        <w:rPr>
          <w:rFonts w:ascii="Times New Roman" w:hAnsi="Times New Roman" w:cs="Times New Roman"/>
          <w:sz w:val="24"/>
          <w:szCs w:val="24"/>
          <w:lang w:val="sr-Cyrl-RS"/>
        </w:rPr>
        <w:t xml:space="preserve"> 2021-2025</w:t>
      </w:r>
      <w:r w:rsidR="006E7D8F" w:rsidRPr="0081082A">
        <w:rPr>
          <w:rFonts w:ascii="Times New Roman" w:hAnsi="Times New Roman" w:cs="Times New Roman"/>
          <w:sz w:val="24"/>
          <w:szCs w:val="24"/>
          <w:lang w:val="sr-Cyrl-RS"/>
        </w:rPr>
        <w:t xml:space="preserve"> и пратећи АП припремила је Радна група за за израду, праћење и извештавање о спровођењу Програма реформе управљања јавним финансијама 2021-2025 (у даљем тексту Радна група)</w:t>
      </w:r>
      <w:r w:rsidR="00A53BDD" w:rsidRPr="0081082A">
        <w:rPr>
          <w:rFonts w:ascii="Times New Roman" w:hAnsi="Times New Roman" w:cs="Times New Roman"/>
          <w:sz w:val="24"/>
          <w:szCs w:val="24"/>
          <w:lang w:val="sr-Cyrl-RS"/>
        </w:rPr>
        <w:t>, која је укључила све идентификоване заинтересоване стране релевантне за израду</w:t>
      </w:r>
      <w:r w:rsidR="00A93105" w:rsidRPr="0081082A">
        <w:rPr>
          <w:rFonts w:ascii="Times New Roman" w:hAnsi="Times New Roman" w:cs="Times New Roman"/>
          <w:sz w:val="24"/>
          <w:szCs w:val="24"/>
          <w:lang w:val="sr-Cyrl-RS"/>
        </w:rPr>
        <w:t xml:space="preserve"> и спровођење</w:t>
      </w:r>
      <w:r w:rsidR="00A53BDD" w:rsidRPr="0081082A">
        <w:rPr>
          <w:rFonts w:ascii="Times New Roman" w:hAnsi="Times New Roman" w:cs="Times New Roman"/>
          <w:sz w:val="24"/>
          <w:szCs w:val="24"/>
          <w:lang w:val="sr-Cyrl-RS"/>
        </w:rPr>
        <w:t xml:space="preserve"> ПРУЈФ</w:t>
      </w:r>
      <w:r w:rsidR="00690303" w:rsidRPr="0081082A">
        <w:rPr>
          <w:rFonts w:ascii="Times New Roman" w:hAnsi="Times New Roman" w:cs="Times New Roman"/>
          <w:sz w:val="24"/>
          <w:szCs w:val="24"/>
          <w:lang w:val="sr-Cyrl-RS"/>
        </w:rPr>
        <w:t xml:space="preserve"> и представља континуитет Радне групе претходног Програма</w:t>
      </w:r>
      <w:r w:rsidR="006E7D8F" w:rsidRPr="0081082A">
        <w:rPr>
          <w:rFonts w:ascii="Times New Roman" w:hAnsi="Times New Roman" w:cs="Times New Roman"/>
          <w:sz w:val="24"/>
          <w:szCs w:val="24"/>
          <w:lang w:val="sr-Cyrl-RS"/>
        </w:rPr>
        <w:t xml:space="preserve">. </w:t>
      </w:r>
    </w:p>
    <w:p w:rsidR="001B5319" w:rsidRPr="0081082A" w:rsidRDefault="001B5319" w:rsidP="00690303">
      <w:pPr>
        <w:spacing w:after="0" w:line="240" w:lineRule="auto"/>
        <w:ind w:right="116"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Током 2019. и 2020. године обављене су претходне консултације</w:t>
      </w:r>
      <w:r w:rsidR="00C531C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како унутар МФ, тако и са осталим органима државне управе</w:t>
      </w:r>
      <w:r w:rsidR="00C531C9" w:rsidRPr="0081082A">
        <w:rPr>
          <w:rFonts w:ascii="Times New Roman" w:hAnsi="Times New Roman" w:cs="Times New Roman"/>
          <w:sz w:val="24"/>
          <w:szCs w:val="24"/>
          <w:lang w:val="sr-Cyrl-RS"/>
        </w:rPr>
        <w:t>,</w:t>
      </w:r>
      <w:r w:rsidR="00946E2B" w:rsidRPr="0081082A">
        <w:rPr>
          <w:rFonts w:ascii="Times New Roman" w:hAnsi="Times New Roman" w:cs="Times New Roman"/>
          <w:sz w:val="24"/>
          <w:szCs w:val="24"/>
          <w:lang w:val="sr-Cyrl-RS"/>
        </w:rPr>
        <w:t xml:space="preserve"> пре свега МДУЛС-ом и РСЈП-ом, </w:t>
      </w:r>
      <w:r w:rsidR="00C531C9" w:rsidRPr="0081082A">
        <w:rPr>
          <w:rFonts w:ascii="Times New Roman" w:hAnsi="Times New Roman" w:cs="Times New Roman"/>
          <w:sz w:val="24"/>
          <w:szCs w:val="24"/>
          <w:lang w:val="sr-Cyrl-RS"/>
        </w:rPr>
        <w:t xml:space="preserve">на </w:t>
      </w:r>
      <w:r w:rsidR="00946E2B" w:rsidRPr="0081082A">
        <w:rPr>
          <w:rFonts w:ascii="Times New Roman" w:hAnsi="Times New Roman" w:cs="Times New Roman"/>
          <w:sz w:val="24"/>
          <w:szCs w:val="24"/>
          <w:lang w:val="sr-Cyrl-RS"/>
        </w:rPr>
        <w:t>тему која се односи на</w:t>
      </w:r>
      <w:r w:rsidRPr="0081082A">
        <w:rPr>
          <w:rFonts w:ascii="Times New Roman" w:hAnsi="Times New Roman" w:cs="Times New Roman"/>
          <w:sz w:val="24"/>
          <w:szCs w:val="24"/>
          <w:lang w:val="sr-Cyrl-RS"/>
        </w:rPr>
        <w:t xml:space="preserve"> </w:t>
      </w:r>
      <w:r w:rsidR="00946E2B" w:rsidRPr="0081082A">
        <w:rPr>
          <w:rFonts w:ascii="Times New Roman" w:hAnsi="Times New Roman" w:cs="Times New Roman"/>
          <w:sz w:val="24"/>
          <w:szCs w:val="24"/>
          <w:lang w:val="sr-Cyrl-RS"/>
        </w:rPr>
        <w:t xml:space="preserve">међусобну </w:t>
      </w:r>
      <w:r w:rsidR="00C531C9" w:rsidRPr="0081082A">
        <w:rPr>
          <w:rFonts w:ascii="Times New Roman" w:hAnsi="Times New Roman" w:cs="Times New Roman"/>
          <w:sz w:val="24"/>
          <w:szCs w:val="24"/>
          <w:lang w:val="sr-Cyrl-RS"/>
        </w:rPr>
        <w:t>вез</w:t>
      </w:r>
      <w:r w:rsidR="00946E2B" w:rsidRPr="0081082A">
        <w:rPr>
          <w:rFonts w:ascii="Times New Roman" w:hAnsi="Times New Roman" w:cs="Times New Roman"/>
          <w:sz w:val="24"/>
          <w:szCs w:val="24"/>
          <w:lang w:val="sr-Cyrl-RS"/>
        </w:rPr>
        <w:t>у</w:t>
      </w:r>
      <w:r w:rsidR="00C531C9"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докумен</w:t>
      </w:r>
      <w:r w:rsidR="00C531C9" w:rsidRPr="0081082A">
        <w:rPr>
          <w:rFonts w:ascii="Times New Roman" w:hAnsi="Times New Roman" w:cs="Times New Roman"/>
          <w:sz w:val="24"/>
          <w:szCs w:val="24"/>
          <w:lang w:val="sr-Cyrl-RS"/>
        </w:rPr>
        <w:t>ата јавних политика на различитом хијерархијском</w:t>
      </w:r>
      <w:r w:rsidRPr="0081082A">
        <w:rPr>
          <w:rFonts w:ascii="Times New Roman" w:hAnsi="Times New Roman" w:cs="Times New Roman"/>
          <w:sz w:val="24"/>
          <w:szCs w:val="24"/>
          <w:lang w:val="sr-Cyrl-RS"/>
        </w:rPr>
        <w:t xml:space="preserve"> </w:t>
      </w:r>
      <w:r w:rsidR="00C531C9" w:rsidRPr="0081082A">
        <w:rPr>
          <w:rFonts w:ascii="Times New Roman" w:hAnsi="Times New Roman" w:cs="Times New Roman"/>
          <w:sz w:val="24"/>
          <w:szCs w:val="24"/>
          <w:lang w:val="sr-Cyrl-RS"/>
        </w:rPr>
        <w:t>нивоу</w:t>
      </w:r>
      <w:r w:rsidR="00946E2B" w:rsidRPr="0081082A">
        <w:rPr>
          <w:rFonts w:ascii="Times New Roman" w:hAnsi="Times New Roman" w:cs="Times New Roman"/>
          <w:sz w:val="24"/>
          <w:szCs w:val="24"/>
          <w:lang w:val="sr-Cyrl-RS"/>
        </w:rPr>
        <w:t>. Говорило се и</w:t>
      </w:r>
      <w:r w:rsidRPr="0081082A">
        <w:rPr>
          <w:rFonts w:ascii="Times New Roman" w:hAnsi="Times New Roman" w:cs="Times New Roman"/>
          <w:sz w:val="24"/>
          <w:szCs w:val="24"/>
          <w:lang w:val="sr-Cyrl-RS"/>
        </w:rPr>
        <w:t xml:space="preserve"> о управљачкој одговорности </w:t>
      </w:r>
      <w:r w:rsidR="00946E2B" w:rsidRPr="0081082A">
        <w:rPr>
          <w:rFonts w:ascii="Times New Roman" w:hAnsi="Times New Roman" w:cs="Times New Roman"/>
          <w:sz w:val="24"/>
          <w:szCs w:val="24"/>
          <w:lang w:val="sr-Cyrl-RS"/>
        </w:rPr>
        <w:t xml:space="preserve">са различитим партнерима </w:t>
      </w:r>
      <w:r w:rsidRPr="0081082A">
        <w:rPr>
          <w:rFonts w:ascii="Times New Roman" w:hAnsi="Times New Roman" w:cs="Times New Roman"/>
          <w:sz w:val="24"/>
          <w:szCs w:val="24"/>
          <w:lang w:val="sr-Cyrl-RS"/>
        </w:rPr>
        <w:t>(SIGMA/OECD, МДУЛС, Генерални секретаријат, МФ, РСЈП, Делегација ЕУ у Републици Србији, Комплементарна подршка ЕУ за област реформе јавне управе, Твининг пројекат при Министарству финансија).</w:t>
      </w:r>
      <w:r w:rsidR="00C531C9" w:rsidRPr="0081082A">
        <w:rPr>
          <w:rFonts w:ascii="Times New Roman" w:hAnsi="Times New Roman" w:cs="Times New Roman"/>
          <w:sz w:val="24"/>
          <w:szCs w:val="24"/>
          <w:lang w:val="sr-Cyrl-RS"/>
        </w:rPr>
        <w:t xml:space="preserve"> </w:t>
      </w:r>
    </w:p>
    <w:p w:rsidR="000D4FFB" w:rsidRPr="0081082A" w:rsidRDefault="000D4FFB" w:rsidP="00690303">
      <w:pPr>
        <w:spacing w:after="0" w:line="240" w:lineRule="auto"/>
        <w:ind w:right="116" w:firstLine="708"/>
        <w:jc w:val="both"/>
        <w:rPr>
          <w:rFonts w:ascii="Times New Roman" w:hAnsi="Times New Roman" w:cs="Times New Roman"/>
          <w:sz w:val="24"/>
          <w:szCs w:val="24"/>
          <w:lang w:val="sr-Cyrl-RS"/>
        </w:rPr>
      </w:pPr>
      <w:r w:rsidRPr="0081082A">
        <w:rPr>
          <w:rFonts w:ascii="Times New Roman" w:hAnsi="Times New Roman"/>
          <w:sz w:val="24"/>
          <w:lang w:val="sr-Cyrl-RS"/>
        </w:rPr>
        <w:t>Крајем 2019. године, у оквиру почетка припреме нове кровне Стратегије реформе јавне управе 2021-2030, започет је и процес припреме новог Програма реформе управљања јавним финансијама за период 2021-2025</w:t>
      </w:r>
      <w:r w:rsidR="001B5E7C">
        <w:rPr>
          <w:rFonts w:ascii="Times New Roman" w:hAnsi="Times New Roman"/>
          <w:sz w:val="24"/>
          <w:lang w:val="sr-Cyrl-RS"/>
        </w:rPr>
        <w:t>. године</w:t>
      </w:r>
      <w:r w:rsidRPr="0081082A">
        <w:rPr>
          <w:rFonts w:ascii="Times New Roman" w:hAnsi="Times New Roman"/>
          <w:sz w:val="24"/>
          <w:lang w:val="sr-Cyrl-RS"/>
        </w:rPr>
        <w:t>. Прва фаза подразумевала је, у складу са Законом о планском систему</w:t>
      </w:r>
      <w:r w:rsidRPr="0081082A">
        <w:rPr>
          <w:rFonts w:ascii="Times New Roman" w:eastAsia="Calibri" w:hAnsi="Times New Roman" w:cs="Times New Roman"/>
          <w:sz w:val="24"/>
          <w:szCs w:val="24"/>
          <w:lang w:val="sr-Cyrl-RS"/>
        </w:rPr>
        <w:t xml:space="preserve"> Републике Србије</w:t>
      </w:r>
      <w:r w:rsidRPr="0081082A">
        <w:rPr>
          <w:rFonts w:ascii="Times New Roman" w:hAnsi="Times New Roman"/>
          <w:sz w:val="24"/>
          <w:lang w:val="sr-Cyrl-RS"/>
        </w:rPr>
        <w:t xml:space="preserve">, анализу тренутног стања у свим подсистемима </w:t>
      </w:r>
      <w:r w:rsidRPr="0081082A">
        <w:rPr>
          <w:rFonts w:ascii="Times New Roman" w:eastAsia="Calibri" w:hAnsi="Times New Roman" w:cs="Times New Roman"/>
          <w:sz w:val="24"/>
          <w:szCs w:val="24"/>
          <w:lang w:val="sr-Cyrl-RS"/>
        </w:rPr>
        <w:t xml:space="preserve">УЈФ </w:t>
      </w:r>
      <w:r w:rsidRPr="0081082A">
        <w:rPr>
          <w:rFonts w:ascii="Times New Roman" w:hAnsi="Times New Roman"/>
          <w:sz w:val="24"/>
          <w:lang w:val="sr-Cyrl-RS"/>
        </w:rPr>
        <w:t>и формула</w:t>
      </w:r>
      <w:r w:rsidR="00E97222" w:rsidRPr="0081082A">
        <w:rPr>
          <w:rFonts w:ascii="Times New Roman" w:hAnsi="Times New Roman"/>
          <w:sz w:val="24"/>
          <w:lang w:val="sr-Cyrl-RS"/>
        </w:rPr>
        <w:t>цију општег циља новог ПРУЈФ</w:t>
      </w:r>
      <w:r w:rsidR="00320671" w:rsidRPr="0081082A">
        <w:rPr>
          <w:rFonts w:ascii="Times New Roman" w:hAnsi="Times New Roman"/>
          <w:sz w:val="24"/>
          <w:lang w:val="sr-Cyrl-RS"/>
        </w:rPr>
        <w:t xml:space="preserve">, као и посебне циљеве, уз припрему основних елемената (дрво проблема и </w:t>
      </w:r>
      <w:r w:rsidR="00AA698C" w:rsidRPr="0081082A">
        <w:rPr>
          <w:rFonts w:ascii="Times New Roman" w:hAnsi="Times New Roman"/>
          <w:sz w:val="24"/>
          <w:lang w:val="sr-Cyrl-RS"/>
        </w:rPr>
        <w:t>правци деловања, који су током процеса изр</w:t>
      </w:r>
      <w:r w:rsidR="00BD3867" w:rsidRPr="0081082A">
        <w:rPr>
          <w:rFonts w:ascii="Times New Roman" w:hAnsi="Times New Roman"/>
          <w:sz w:val="24"/>
          <w:lang w:val="sr-Cyrl-RS"/>
        </w:rPr>
        <w:t>аде ПРУЈФ додатно унапређивани) у чему су учествовали чланови Радне групе</w:t>
      </w:r>
      <w:r w:rsidR="00E97222" w:rsidRPr="0081082A">
        <w:rPr>
          <w:rFonts w:ascii="Times New Roman" w:hAnsi="Times New Roman"/>
          <w:sz w:val="24"/>
          <w:lang w:val="sr-Cyrl-RS"/>
        </w:rPr>
        <w:t xml:space="preserve"> ПРУЈФ</w:t>
      </w:r>
      <w:r w:rsidR="00BD3867" w:rsidRPr="0081082A">
        <w:rPr>
          <w:rFonts w:ascii="Times New Roman" w:hAnsi="Times New Roman"/>
          <w:sz w:val="24"/>
          <w:lang w:val="sr-Cyrl-RS"/>
        </w:rPr>
        <w:t>.</w:t>
      </w:r>
    </w:p>
    <w:p w:rsidR="00343DA7" w:rsidRPr="0081082A" w:rsidRDefault="00343DA7" w:rsidP="001B5319">
      <w:pPr>
        <w:spacing w:after="0" w:line="240" w:lineRule="auto"/>
        <w:ind w:right="130"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Министарство финансија је 18. маја 2020. године, у складу са чланом 32. Закона о планском систему </w:t>
      </w:r>
      <w:r w:rsidR="002A61BC" w:rsidRPr="0081082A">
        <w:rPr>
          <w:rFonts w:ascii="Times New Roman" w:hAnsi="Times New Roman" w:cs="Times New Roman"/>
          <w:sz w:val="24"/>
          <w:szCs w:val="24"/>
          <w:lang w:val="sr-Cyrl-RS"/>
        </w:rPr>
        <w:t>Републике Србије</w:t>
      </w:r>
      <w:r w:rsidRPr="0081082A">
        <w:rPr>
          <w:rFonts w:ascii="Times New Roman" w:hAnsi="Times New Roman" w:cs="Times New Roman"/>
          <w:sz w:val="24"/>
          <w:szCs w:val="24"/>
          <w:lang w:val="sr-Cyrl-RS"/>
        </w:rPr>
        <w:t>, обавестило јавност да започиње рад на изради новог Програма реформе управљања јавним финансијама за период од 2021-2025. године</w:t>
      </w:r>
      <w:r w:rsidR="004F79AB" w:rsidRPr="0081082A">
        <w:rPr>
          <w:rFonts w:ascii="Times New Roman" w:hAnsi="Times New Roman" w:cs="Times New Roman"/>
          <w:sz w:val="24"/>
          <w:szCs w:val="24"/>
          <w:lang w:val="sr-Cyrl-RS"/>
        </w:rPr>
        <w:t xml:space="preserve">, чиме је формално </w:t>
      </w:r>
      <w:r w:rsidR="007B0995" w:rsidRPr="0081082A">
        <w:rPr>
          <w:rFonts w:ascii="Times New Roman" w:hAnsi="Times New Roman" w:cs="Times New Roman"/>
          <w:sz w:val="24"/>
          <w:szCs w:val="24"/>
          <w:lang w:val="sr-Cyrl-RS"/>
        </w:rPr>
        <w:t xml:space="preserve">започета друга фаза овог процеса, као </w:t>
      </w:r>
      <w:r w:rsidR="004F79AB" w:rsidRPr="0081082A">
        <w:rPr>
          <w:rFonts w:ascii="Times New Roman" w:hAnsi="Times New Roman" w:cs="Times New Roman"/>
          <w:sz w:val="24"/>
          <w:szCs w:val="24"/>
          <w:lang w:val="sr-Cyrl-RS"/>
        </w:rPr>
        <w:t xml:space="preserve">наставак </w:t>
      </w:r>
      <w:r w:rsidR="007B0995" w:rsidRPr="0081082A">
        <w:rPr>
          <w:rFonts w:ascii="Times New Roman" w:hAnsi="Times New Roman" w:cs="Times New Roman"/>
          <w:sz w:val="24"/>
          <w:szCs w:val="24"/>
          <w:lang w:val="sr-Cyrl-RS"/>
        </w:rPr>
        <w:t>активности</w:t>
      </w:r>
      <w:r w:rsidR="004F79AB" w:rsidRPr="0081082A">
        <w:rPr>
          <w:rFonts w:ascii="Times New Roman" w:hAnsi="Times New Roman" w:cs="Times New Roman"/>
          <w:sz w:val="24"/>
          <w:szCs w:val="24"/>
          <w:lang w:val="sr-Cyrl-RS"/>
        </w:rPr>
        <w:t xml:space="preserve"> у оквиру </w:t>
      </w:r>
      <w:r w:rsidR="007B0995" w:rsidRPr="0081082A">
        <w:rPr>
          <w:rFonts w:ascii="Times New Roman" w:hAnsi="Times New Roman" w:cs="Times New Roman"/>
          <w:sz w:val="24"/>
          <w:szCs w:val="24"/>
          <w:lang w:val="sr-Cyrl-RS"/>
        </w:rPr>
        <w:t xml:space="preserve">започете </w:t>
      </w:r>
      <w:r w:rsidR="004F79AB" w:rsidRPr="0081082A">
        <w:rPr>
          <w:rFonts w:ascii="Times New Roman" w:hAnsi="Times New Roman" w:cs="Times New Roman"/>
          <w:sz w:val="24"/>
          <w:szCs w:val="24"/>
          <w:lang w:val="sr-Cyrl-RS"/>
        </w:rPr>
        <w:t>израде Стратегије РЈУ.</w:t>
      </w:r>
    </w:p>
    <w:p w:rsidR="00B7176E" w:rsidRPr="0081082A" w:rsidRDefault="00B7176E" w:rsidP="001B5319">
      <w:pPr>
        <w:spacing w:after="0" w:line="240" w:lineRule="auto"/>
        <w:ind w:right="130" w:firstLine="708"/>
        <w:jc w:val="both"/>
        <w:rPr>
          <w:rFonts w:ascii="Times New Roman" w:hAnsi="Times New Roman" w:cs="Times New Roman"/>
          <w:sz w:val="24"/>
          <w:szCs w:val="24"/>
          <w:lang w:val="sr-Cyrl-RS"/>
        </w:rPr>
      </w:pPr>
      <w:r w:rsidRPr="0081082A">
        <w:rPr>
          <w:rFonts w:ascii="Times New Roman" w:hAnsi="Times New Roman"/>
          <w:sz w:val="24"/>
          <w:lang w:val="sr-Cyrl-RS"/>
        </w:rPr>
        <w:t xml:space="preserve">Радна група за израду, праћење и извештавање о спровођењу </w:t>
      </w:r>
      <w:r w:rsidRPr="0081082A">
        <w:rPr>
          <w:rFonts w:ascii="Times New Roman" w:eastAsia="Calibri" w:hAnsi="Times New Roman" w:cs="Times New Roman"/>
          <w:sz w:val="24"/>
          <w:szCs w:val="24"/>
          <w:lang w:val="sr-Cyrl-RS"/>
        </w:rPr>
        <w:t>ПРУЈФ</w:t>
      </w:r>
      <w:r w:rsidRPr="0081082A">
        <w:rPr>
          <w:rFonts w:ascii="Times New Roman" w:hAnsi="Times New Roman"/>
          <w:sz w:val="24"/>
          <w:lang w:val="sr-Cyrl-RS"/>
        </w:rPr>
        <w:t xml:space="preserve"> 2021-2025 формирана је 8. јула 2020. године решењем министра финансија,</w:t>
      </w:r>
      <w:r w:rsidRPr="0081082A">
        <w:rPr>
          <w:rFonts w:ascii="Times New Roman" w:eastAsia="Calibri" w:hAnsi="Times New Roman" w:cs="Times New Roman"/>
          <w:sz w:val="24"/>
          <w:szCs w:val="24"/>
          <w:lang w:val="sr-Cyrl-RS"/>
        </w:rPr>
        <w:t xml:space="preserve"> </w:t>
      </w:r>
      <w:r w:rsidRPr="0081082A">
        <w:rPr>
          <w:rFonts w:ascii="Times New Roman" w:hAnsi="Times New Roman"/>
          <w:sz w:val="24"/>
          <w:lang w:val="sr-Cyrl-RS"/>
        </w:rPr>
        <w:t xml:space="preserve">и чине је </w:t>
      </w:r>
      <w:r w:rsidR="00D336F0" w:rsidRPr="0081082A">
        <w:rPr>
          <w:rFonts w:ascii="Times New Roman" w:hAnsi="Times New Roman"/>
          <w:sz w:val="24"/>
          <w:lang w:val="sr-Cyrl-RS"/>
        </w:rPr>
        <w:t xml:space="preserve">58 чланова и заменика </w:t>
      </w:r>
      <w:r w:rsidRPr="0081082A">
        <w:rPr>
          <w:rFonts w:ascii="Times New Roman" w:hAnsi="Times New Roman"/>
          <w:sz w:val="24"/>
          <w:lang w:val="sr-Cyrl-RS"/>
        </w:rPr>
        <w:t>и</w:t>
      </w:r>
      <w:r w:rsidR="00D336F0" w:rsidRPr="0081082A">
        <w:rPr>
          <w:rFonts w:ascii="Times New Roman" w:hAnsi="Times New Roman"/>
          <w:sz w:val="24"/>
          <w:lang w:val="sr-Cyrl-RS"/>
        </w:rPr>
        <w:t>з</w:t>
      </w:r>
      <w:r w:rsidRPr="0081082A">
        <w:rPr>
          <w:rFonts w:ascii="Times New Roman" w:hAnsi="Times New Roman"/>
          <w:sz w:val="24"/>
          <w:lang w:val="sr-Cyrl-RS"/>
        </w:rPr>
        <w:t xml:space="preserve"> следећих институција: Министарство финансија</w:t>
      </w:r>
      <w:r w:rsidRPr="0081082A">
        <w:rPr>
          <w:rStyle w:val="FootnoteReference"/>
          <w:rFonts w:ascii="Times New Roman" w:hAnsi="Times New Roman"/>
          <w:sz w:val="24"/>
          <w:lang w:val="sr-Cyrl-RS"/>
        </w:rPr>
        <w:footnoteReference w:id="23"/>
      </w:r>
      <w:r w:rsidRPr="0081082A">
        <w:rPr>
          <w:rFonts w:ascii="Times New Roman" w:hAnsi="Times New Roman"/>
          <w:sz w:val="24"/>
          <w:lang w:val="sr-Cyrl-RS"/>
        </w:rPr>
        <w:t xml:space="preserve">, Канцеларија за јавне набавке, Републички Секретаријат за јавне политике, Генерални секретаријат Владе, Министарство државне управе и локалне самоуправе, Служба за управљање кадровима, Министарство за европске интеграције, Канцеларија за ревизију система управљања средствима Европске уније, </w:t>
      </w:r>
      <w:r w:rsidR="00600253" w:rsidRPr="0081082A">
        <w:rPr>
          <w:rFonts w:ascii="Times New Roman" w:hAnsi="Times New Roman"/>
          <w:sz w:val="24"/>
          <w:lang w:val="sr-Cyrl-RS"/>
        </w:rPr>
        <w:t>ДРИ</w:t>
      </w:r>
      <w:r w:rsidRPr="0081082A">
        <w:rPr>
          <w:rFonts w:ascii="Times New Roman" w:hAnsi="Times New Roman"/>
          <w:sz w:val="24"/>
          <w:lang w:val="sr-Cyrl-RS"/>
        </w:rPr>
        <w:t xml:space="preserve">, Одбор за финансије, републички буџет и контролу трошења јавних средстава Народне скупштине. Због мера уведених због Ковид-19 Радна група је радила у онлајн форматима. </w:t>
      </w:r>
    </w:p>
    <w:p w:rsidR="004D3324" w:rsidRPr="0081082A" w:rsidRDefault="004D3324" w:rsidP="001B5319">
      <w:pPr>
        <w:spacing w:after="0" w:line="240" w:lineRule="auto"/>
        <w:ind w:right="130"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Припрема ПРУЈФ 2021-2025 и пратећег Акционог плана за исти период </w:t>
      </w:r>
      <w:r w:rsidR="00611AE4" w:rsidRPr="0081082A">
        <w:rPr>
          <w:rFonts w:ascii="Times New Roman" w:hAnsi="Times New Roman" w:cs="Times New Roman"/>
          <w:sz w:val="24"/>
          <w:szCs w:val="24"/>
          <w:lang w:val="sr-Cyrl-RS"/>
        </w:rPr>
        <w:t>настављена је</w:t>
      </w:r>
      <w:r w:rsidRPr="0081082A">
        <w:rPr>
          <w:rFonts w:ascii="Times New Roman" w:hAnsi="Times New Roman" w:cs="Times New Roman"/>
          <w:sz w:val="24"/>
          <w:szCs w:val="24"/>
          <w:lang w:val="sr-Cyrl-RS"/>
        </w:rPr>
        <w:t xml:space="preserve"> евалуацијом резултата спровођења ПРУЈФ 2016-2020 са препорукама за унапређење свих сегмената ПРУЈФ уз помоћ експерата </w:t>
      </w:r>
      <w:r w:rsidR="006F1A08" w:rsidRPr="0081082A">
        <w:rPr>
          <w:rFonts w:ascii="Times New Roman" w:hAnsi="Times New Roman" w:cs="Times New Roman"/>
          <w:sz w:val="24"/>
          <w:szCs w:val="24"/>
          <w:lang w:val="sr-Cyrl-RS"/>
        </w:rPr>
        <w:t>П</w:t>
      </w:r>
      <w:r w:rsidRPr="0081082A">
        <w:rPr>
          <w:rFonts w:ascii="Times New Roman" w:hAnsi="Times New Roman" w:cs="Times New Roman"/>
          <w:sz w:val="24"/>
          <w:szCs w:val="24"/>
          <w:lang w:val="sr-Cyrl-RS"/>
        </w:rPr>
        <w:t xml:space="preserve">ројекта комплементарне </w:t>
      </w:r>
      <w:r w:rsidRPr="0081082A">
        <w:rPr>
          <w:rFonts w:ascii="Times New Roman" w:hAnsi="Times New Roman" w:cs="Times New Roman"/>
          <w:sz w:val="24"/>
          <w:szCs w:val="24"/>
          <w:lang w:val="sr-Cyrl-RS"/>
        </w:rPr>
        <w:lastRenderedPageBreak/>
        <w:t>подршке за област реформе јавних финансија</w:t>
      </w:r>
      <w:r w:rsidR="003B09E8"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који је </w:t>
      </w:r>
      <w:r w:rsidR="004F2E80" w:rsidRPr="0081082A">
        <w:rPr>
          <w:rFonts w:ascii="Times New Roman" w:hAnsi="Times New Roman" w:cs="Times New Roman"/>
          <w:sz w:val="24"/>
          <w:szCs w:val="24"/>
          <w:lang w:val="sr-Cyrl-RS"/>
        </w:rPr>
        <w:t>разматран</w:t>
      </w:r>
      <w:r w:rsidRPr="0081082A">
        <w:rPr>
          <w:rFonts w:ascii="Times New Roman" w:hAnsi="Times New Roman" w:cs="Times New Roman"/>
          <w:sz w:val="24"/>
          <w:szCs w:val="24"/>
          <w:lang w:val="sr-Cyrl-RS"/>
        </w:rPr>
        <w:t xml:space="preserve"> са</w:t>
      </w:r>
      <w:r w:rsidR="006F1A08" w:rsidRPr="0081082A">
        <w:rPr>
          <w:rFonts w:ascii="Times New Roman" w:hAnsi="Times New Roman" w:cs="Times New Roman"/>
          <w:sz w:val="24"/>
          <w:szCs w:val="24"/>
          <w:lang w:val="sr-Cyrl-RS"/>
        </w:rPr>
        <w:t xml:space="preserve"> члановима</w:t>
      </w:r>
      <w:r w:rsidRPr="0081082A">
        <w:rPr>
          <w:rFonts w:ascii="Times New Roman" w:hAnsi="Times New Roman" w:cs="Times New Roman"/>
          <w:sz w:val="24"/>
          <w:szCs w:val="24"/>
          <w:lang w:val="sr-Cyrl-RS"/>
        </w:rPr>
        <w:t xml:space="preserve"> Радн</w:t>
      </w:r>
      <w:r w:rsidR="006F1A08" w:rsidRPr="0081082A">
        <w:rPr>
          <w:rFonts w:ascii="Times New Roman" w:hAnsi="Times New Roman" w:cs="Times New Roman"/>
          <w:sz w:val="24"/>
          <w:szCs w:val="24"/>
          <w:lang w:val="sr-Cyrl-RS"/>
        </w:rPr>
        <w:t>е</w:t>
      </w:r>
      <w:r w:rsidRPr="0081082A">
        <w:rPr>
          <w:rFonts w:ascii="Times New Roman" w:hAnsi="Times New Roman" w:cs="Times New Roman"/>
          <w:sz w:val="24"/>
          <w:szCs w:val="24"/>
          <w:lang w:val="sr-Cyrl-RS"/>
        </w:rPr>
        <w:t xml:space="preserve"> груп</w:t>
      </w:r>
      <w:r w:rsidR="006F1A08" w:rsidRPr="0081082A">
        <w:rPr>
          <w:rFonts w:ascii="Times New Roman" w:hAnsi="Times New Roman" w:cs="Times New Roman"/>
          <w:sz w:val="24"/>
          <w:szCs w:val="24"/>
          <w:lang w:val="sr-Cyrl-RS"/>
        </w:rPr>
        <w:t xml:space="preserve">е, и </w:t>
      </w:r>
      <w:r w:rsidR="00D84E6F" w:rsidRPr="0081082A">
        <w:rPr>
          <w:rFonts w:ascii="Times New Roman" w:hAnsi="Times New Roman" w:cs="Times New Roman"/>
          <w:sz w:val="24"/>
          <w:szCs w:val="24"/>
          <w:lang w:val="sr-Cyrl-RS"/>
        </w:rPr>
        <w:t xml:space="preserve">затим </w:t>
      </w:r>
      <w:r w:rsidR="006F1A08" w:rsidRPr="0081082A">
        <w:rPr>
          <w:rFonts w:ascii="Times New Roman" w:hAnsi="Times New Roman" w:cs="Times New Roman"/>
          <w:sz w:val="24"/>
          <w:szCs w:val="24"/>
          <w:lang w:val="sr-Cyrl-RS"/>
        </w:rPr>
        <w:t>дискутован детаљно</w:t>
      </w:r>
      <w:r w:rsidR="00611AE4" w:rsidRPr="0081082A">
        <w:rPr>
          <w:rFonts w:ascii="Times New Roman" w:hAnsi="Times New Roman" w:cs="Times New Roman"/>
          <w:sz w:val="24"/>
          <w:szCs w:val="24"/>
          <w:lang w:val="sr-Cyrl-RS"/>
        </w:rPr>
        <w:t xml:space="preserve"> на појединачним састанцима</w:t>
      </w:r>
      <w:r w:rsidR="006F1A08" w:rsidRPr="0081082A">
        <w:rPr>
          <w:rFonts w:ascii="Times New Roman" w:hAnsi="Times New Roman" w:cs="Times New Roman"/>
          <w:sz w:val="24"/>
          <w:szCs w:val="24"/>
          <w:lang w:val="sr-Cyrl-RS"/>
        </w:rPr>
        <w:t xml:space="preserve"> са </w:t>
      </w:r>
      <w:r w:rsidR="00D84E6F" w:rsidRPr="0081082A">
        <w:rPr>
          <w:rFonts w:ascii="Times New Roman" w:hAnsi="Times New Roman" w:cs="Times New Roman"/>
          <w:sz w:val="24"/>
          <w:szCs w:val="24"/>
          <w:lang w:val="sr-Cyrl-RS"/>
        </w:rPr>
        <w:t>становишта конципирањ</w:t>
      </w:r>
      <w:r w:rsidR="005434FE" w:rsidRPr="0081082A">
        <w:rPr>
          <w:rFonts w:ascii="Times New Roman" w:hAnsi="Times New Roman" w:cs="Times New Roman"/>
          <w:sz w:val="24"/>
          <w:szCs w:val="24"/>
          <w:lang w:val="sr-Cyrl-RS"/>
        </w:rPr>
        <w:t>а</w:t>
      </w:r>
      <w:r w:rsidR="00D84E6F" w:rsidRPr="0081082A">
        <w:rPr>
          <w:rFonts w:ascii="Times New Roman" w:hAnsi="Times New Roman" w:cs="Times New Roman"/>
          <w:sz w:val="24"/>
          <w:szCs w:val="24"/>
          <w:lang w:val="sr-Cyrl-RS"/>
        </w:rPr>
        <w:t xml:space="preserve"> новог ПРУЈФ</w:t>
      </w:r>
      <w:r w:rsidRPr="0081082A">
        <w:rPr>
          <w:rFonts w:ascii="Times New Roman" w:hAnsi="Times New Roman" w:cs="Times New Roman"/>
          <w:sz w:val="24"/>
          <w:szCs w:val="24"/>
          <w:lang w:val="sr-Cyrl-RS"/>
        </w:rPr>
        <w:t>.</w:t>
      </w:r>
    </w:p>
    <w:p w:rsidR="006E7D8F" w:rsidRPr="0081082A" w:rsidRDefault="002E3556" w:rsidP="00497E6C">
      <w:pPr>
        <w:spacing w:after="0" w:line="240" w:lineRule="auto"/>
        <w:jc w:val="both"/>
        <w:rPr>
          <w:rFonts w:ascii="Times New Roman" w:hAnsi="Times New Roman"/>
          <w:sz w:val="24"/>
          <w:lang w:val="sr-Cyrl-RS"/>
        </w:rPr>
      </w:pPr>
      <w:r w:rsidRPr="0081082A">
        <w:rPr>
          <w:rFonts w:ascii="Times New Roman" w:hAnsi="Times New Roman"/>
          <w:sz w:val="24"/>
          <w:lang w:val="sr-Cyrl-RS"/>
        </w:rPr>
        <w:tab/>
        <w:t>Током 2020. године</w:t>
      </w:r>
      <w:r w:rsidR="005434FE" w:rsidRPr="0081082A">
        <w:rPr>
          <w:rFonts w:ascii="Times New Roman" w:hAnsi="Times New Roman"/>
          <w:sz w:val="24"/>
          <w:lang w:val="sr-Cyrl-RS"/>
        </w:rPr>
        <w:t>,</w:t>
      </w:r>
      <w:r w:rsidRPr="0081082A">
        <w:rPr>
          <w:rFonts w:ascii="Times New Roman" w:hAnsi="Times New Roman"/>
          <w:sz w:val="24"/>
          <w:lang w:val="sr-Cyrl-RS"/>
        </w:rPr>
        <w:t xml:space="preserve"> упоредо са израдом новог ПРУЈФ </w:t>
      </w:r>
      <w:r w:rsidR="005434FE" w:rsidRPr="0081082A">
        <w:rPr>
          <w:rFonts w:ascii="Times New Roman" w:hAnsi="Times New Roman"/>
          <w:sz w:val="24"/>
          <w:lang w:val="sr-Cyrl-RS"/>
        </w:rPr>
        <w:t xml:space="preserve">одвијала се </w:t>
      </w:r>
      <w:r w:rsidRPr="0081082A">
        <w:rPr>
          <w:rFonts w:ascii="Times New Roman" w:hAnsi="Times New Roman"/>
          <w:sz w:val="24"/>
          <w:lang w:val="sr-Cyrl-RS"/>
        </w:rPr>
        <w:t>и ПЕФА процена</w:t>
      </w:r>
      <w:r w:rsidR="005434FE" w:rsidRPr="0081082A">
        <w:rPr>
          <w:rFonts w:ascii="Times New Roman" w:hAnsi="Times New Roman"/>
          <w:sz w:val="24"/>
          <w:lang w:val="sr-Cyrl-RS"/>
        </w:rPr>
        <w:t>,</w:t>
      </w:r>
      <w:r w:rsidRPr="0081082A">
        <w:rPr>
          <w:rFonts w:ascii="Times New Roman" w:hAnsi="Times New Roman"/>
          <w:sz w:val="24"/>
          <w:lang w:val="sr-Cyrl-RS"/>
        </w:rPr>
        <w:t xml:space="preserve"> коју су обавили експерти Светске банке на основу интензивних онлајн </w:t>
      </w:r>
      <w:r w:rsidR="00497E6C" w:rsidRPr="0081082A">
        <w:rPr>
          <w:rFonts w:ascii="Times New Roman" w:hAnsi="Times New Roman"/>
          <w:sz w:val="24"/>
          <w:lang w:val="sr-Cyrl-RS"/>
        </w:rPr>
        <w:t>састан</w:t>
      </w:r>
      <w:r w:rsidR="003C0E18" w:rsidRPr="0081082A">
        <w:rPr>
          <w:rFonts w:ascii="Times New Roman" w:hAnsi="Times New Roman"/>
          <w:sz w:val="24"/>
          <w:lang w:val="sr-Cyrl-RS"/>
        </w:rPr>
        <w:t>aка</w:t>
      </w:r>
      <w:r w:rsidRPr="0081082A">
        <w:rPr>
          <w:rFonts w:ascii="Times New Roman" w:hAnsi="Times New Roman"/>
          <w:sz w:val="24"/>
          <w:lang w:val="sr-Cyrl-RS"/>
        </w:rPr>
        <w:t xml:space="preserve"> са члановима Радне групе и другим институцијама</w:t>
      </w:r>
      <w:r w:rsidRPr="0081082A">
        <w:rPr>
          <w:rStyle w:val="FootnoteReference"/>
          <w:rFonts w:ascii="Times New Roman" w:hAnsi="Times New Roman"/>
          <w:sz w:val="24"/>
          <w:lang w:val="sr-Cyrl-RS"/>
        </w:rPr>
        <w:footnoteReference w:id="24"/>
      </w:r>
      <w:r w:rsidRPr="0081082A">
        <w:rPr>
          <w:rFonts w:ascii="Times New Roman" w:hAnsi="Times New Roman"/>
          <w:sz w:val="24"/>
          <w:lang w:val="sr-Cyrl-RS"/>
        </w:rPr>
        <w:t xml:space="preserve"> на које се односе теме које покрива ПЕФА методологија</w:t>
      </w:r>
      <w:r w:rsidR="00E83136" w:rsidRPr="0081082A">
        <w:rPr>
          <w:rStyle w:val="FootnoteReference"/>
          <w:rFonts w:ascii="Times New Roman" w:hAnsi="Times New Roman"/>
          <w:sz w:val="24"/>
          <w:lang w:val="sr-Cyrl-RS"/>
        </w:rPr>
        <w:footnoteReference w:id="25"/>
      </w:r>
      <w:r w:rsidRPr="0081082A">
        <w:rPr>
          <w:rFonts w:ascii="Times New Roman" w:hAnsi="Times New Roman"/>
          <w:sz w:val="24"/>
          <w:lang w:val="sr-Cyrl-RS"/>
        </w:rPr>
        <w:t>.</w:t>
      </w:r>
    </w:p>
    <w:p w:rsidR="00F474FD" w:rsidRPr="0081082A" w:rsidRDefault="003C0E18" w:rsidP="003C0E18">
      <w:pPr>
        <w:spacing w:after="0" w:line="240" w:lineRule="auto"/>
        <w:ind w:right="130"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Препоруке ПЕФА анализе затим су детаљно разматране од стране чланова Радне групе</w:t>
      </w:r>
      <w:r w:rsidR="00EA7661" w:rsidRPr="0081082A">
        <w:rPr>
          <w:rFonts w:ascii="Times New Roman" w:hAnsi="Times New Roman" w:cs="Times New Roman"/>
          <w:sz w:val="24"/>
          <w:szCs w:val="24"/>
          <w:lang w:val="sr-Cyrl-RS"/>
        </w:rPr>
        <w:t xml:space="preserve"> и експерата Пројекта комплементарне подршке за област реформе јавних финансија</w:t>
      </w:r>
      <w:r w:rsidR="005434FE" w:rsidRPr="0081082A">
        <w:rPr>
          <w:rFonts w:ascii="Times New Roman" w:hAnsi="Times New Roman" w:cs="Times New Roman"/>
          <w:sz w:val="24"/>
          <w:szCs w:val="24"/>
          <w:lang w:val="sr-Cyrl-RS"/>
        </w:rPr>
        <w:t>,</w:t>
      </w:r>
      <w:r w:rsidR="00EA7661" w:rsidRPr="0081082A">
        <w:rPr>
          <w:rFonts w:ascii="Times New Roman" w:hAnsi="Times New Roman" w:cs="Times New Roman"/>
          <w:sz w:val="24"/>
          <w:szCs w:val="24"/>
          <w:lang w:val="sr-Cyrl-RS"/>
        </w:rPr>
        <w:t xml:space="preserve"> ради чега је током новембра 2020.</w:t>
      </w:r>
      <w:r w:rsidR="004F2E80" w:rsidRPr="0081082A">
        <w:rPr>
          <w:rFonts w:ascii="Times New Roman" w:hAnsi="Times New Roman" w:cs="Times New Roman"/>
          <w:sz w:val="24"/>
          <w:szCs w:val="24"/>
          <w:lang w:val="sr-Cyrl-RS"/>
        </w:rPr>
        <w:t xml:space="preserve"> године</w:t>
      </w:r>
      <w:r w:rsidR="00AE6D29">
        <w:rPr>
          <w:rFonts w:ascii="Times New Roman" w:hAnsi="Times New Roman" w:cs="Times New Roman"/>
          <w:sz w:val="24"/>
          <w:szCs w:val="24"/>
          <w:lang w:val="sr-Cyrl-RS"/>
        </w:rPr>
        <w:t xml:space="preserve"> одржан низ консу</w:t>
      </w:r>
      <w:r w:rsidR="00EA7661" w:rsidRPr="0081082A">
        <w:rPr>
          <w:rFonts w:ascii="Times New Roman" w:hAnsi="Times New Roman" w:cs="Times New Roman"/>
          <w:sz w:val="24"/>
          <w:szCs w:val="24"/>
          <w:lang w:val="sr-Cyrl-RS"/>
        </w:rPr>
        <w:t>лтативних онлајн састанака</w:t>
      </w:r>
      <w:r w:rsidR="004D1430" w:rsidRPr="0081082A">
        <w:rPr>
          <w:rFonts w:ascii="Times New Roman" w:hAnsi="Times New Roman" w:cs="Times New Roman"/>
          <w:sz w:val="24"/>
          <w:szCs w:val="24"/>
          <w:lang w:val="sr-Cyrl-RS"/>
        </w:rPr>
        <w:t xml:space="preserve"> и на основу ових препорука </w:t>
      </w:r>
      <w:r w:rsidR="005434FE" w:rsidRPr="0081082A">
        <w:rPr>
          <w:rFonts w:ascii="Times New Roman" w:hAnsi="Times New Roman" w:cs="Times New Roman"/>
          <w:sz w:val="24"/>
          <w:szCs w:val="24"/>
          <w:lang w:val="sr-Cyrl-RS"/>
        </w:rPr>
        <w:t xml:space="preserve">нацрт ПРУЈФ је </w:t>
      </w:r>
      <w:r w:rsidR="004D1430" w:rsidRPr="0081082A">
        <w:rPr>
          <w:rFonts w:ascii="Times New Roman" w:hAnsi="Times New Roman" w:cs="Times New Roman"/>
          <w:sz w:val="24"/>
          <w:szCs w:val="24"/>
          <w:lang w:val="sr-Cyrl-RS"/>
        </w:rPr>
        <w:t>додатно</w:t>
      </w:r>
      <w:r w:rsidR="005434FE" w:rsidRPr="0081082A">
        <w:rPr>
          <w:rFonts w:ascii="Times New Roman" w:hAnsi="Times New Roman" w:cs="Times New Roman"/>
          <w:sz w:val="24"/>
          <w:szCs w:val="24"/>
          <w:lang w:val="sr-Cyrl-RS"/>
        </w:rPr>
        <w:t xml:space="preserve"> унапређен</w:t>
      </w:r>
      <w:r w:rsidRPr="0081082A">
        <w:rPr>
          <w:rFonts w:ascii="Times New Roman" w:hAnsi="Times New Roman" w:cs="Times New Roman"/>
          <w:sz w:val="24"/>
          <w:szCs w:val="24"/>
          <w:lang w:val="sr-Cyrl-RS"/>
        </w:rPr>
        <w:t>.</w:t>
      </w:r>
    </w:p>
    <w:p w:rsidR="00F474FD" w:rsidRPr="0081082A" w:rsidRDefault="00806F62" w:rsidP="00F474FD">
      <w:pPr>
        <w:spacing w:after="0" w:line="240" w:lineRule="auto"/>
        <w:ind w:right="130"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Током децембра 2020. одржане су јавне консултације о Стратегији РЈУ 2021</w:t>
      </w:r>
      <w:r w:rsidR="0046377C"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2030. у којима је узело учешће и Министарство финансија</w:t>
      </w:r>
      <w:r w:rsidRPr="0081082A">
        <w:rPr>
          <w:rStyle w:val="FootnoteReference"/>
          <w:rFonts w:ascii="Times New Roman" w:hAnsi="Times New Roman" w:cs="Times New Roman"/>
          <w:sz w:val="24"/>
          <w:szCs w:val="24"/>
          <w:lang w:val="sr-Cyrl-RS"/>
        </w:rPr>
        <w:footnoteReference w:id="26"/>
      </w:r>
      <w:r w:rsidRPr="0081082A">
        <w:rPr>
          <w:rFonts w:ascii="Times New Roman" w:hAnsi="Times New Roman" w:cs="Times New Roman"/>
          <w:sz w:val="24"/>
          <w:szCs w:val="24"/>
          <w:lang w:val="sr-Cyrl-RS"/>
        </w:rPr>
        <w:t>.</w:t>
      </w:r>
      <w:r w:rsidR="0069103A" w:rsidRPr="0081082A">
        <w:rPr>
          <w:rFonts w:ascii="Times New Roman" w:hAnsi="Times New Roman" w:cs="Times New Roman"/>
          <w:sz w:val="24"/>
          <w:szCs w:val="24"/>
          <w:lang w:val="sr-Cyrl-RS"/>
        </w:rPr>
        <w:t xml:space="preserve"> У контексту израде Стратегије РЈУ консултовани су и експерти СИГМА и Европска ком</w:t>
      </w:r>
      <w:r w:rsidR="007418CB" w:rsidRPr="0081082A">
        <w:rPr>
          <w:rFonts w:ascii="Times New Roman" w:hAnsi="Times New Roman" w:cs="Times New Roman"/>
          <w:sz w:val="24"/>
          <w:szCs w:val="24"/>
          <w:lang w:val="sr-Cyrl-RS"/>
        </w:rPr>
        <w:t>и</w:t>
      </w:r>
      <w:r w:rsidR="0069103A" w:rsidRPr="0081082A">
        <w:rPr>
          <w:rFonts w:ascii="Times New Roman" w:hAnsi="Times New Roman" w:cs="Times New Roman"/>
          <w:sz w:val="24"/>
          <w:szCs w:val="24"/>
          <w:lang w:val="sr-Cyrl-RS"/>
        </w:rPr>
        <w:t>сија, чији коментари су узети у обзир приликом припреме ПРУЈФ.</w:t>
      </w:r>
      <w:r w:rsidRPr="0081082A">
        <w:rPr>
          <w:rFonts w:ascii="Times New Roman" w:hAnsi="Times New Roman" w:cs="Times New Roman"/>
          <w:sz w:val="24"/>
          <w:szCs w:val="24"/>
          <w:lang w:val="sr-Cyrl-RS"/>
        </w:rPr>
        <w:t xml:space="preserve"> </w:t>
      </w:r>
      <w:r w:rsidR="00F474FD" w:rsidRPr="0081082A">
        <w:rPr>
          <w:rFonts w:ascii="Times New Roman" w:hAnsi="Times New Roman" w:cs="Times New Roman"/>
          <w:sz w:val="24"/>
          <w:szCs w:val="24"/>
          <w:lang w:val="sr-Cyrl-RS"/>
        </w:rPr>
        <w:t>Током марта и априла 2021. године</w:t>
      </w:r>
      <w:r w:rsidR="00F474FD" w:rsidRPr="0081082A">
        <w:rPr>
          <w:rStyle w:val="FootnoteReference"/>
          <w:rFonts w:ascii="Times New Roman" w:hAnsi="Times New Roman"/>
          <w:sz w:val="24"/>
          <w:lang w:val="sr-Cyrl-RS"/>
        </w:rPr>
        <w:t xml:space="preserve"> </w:t>
      </w:r>
      <w:r w:rsidR="00F474FD" w:rsidRPr="0081082A">
        <w:rPr>
          <w:rStyle w:val="FootnoteReference"/>
          <w:rFonts w:ascii="Times New Roman" w:hAnsi="Times New Roman"/>
          <w:sz w:val="24"/>
          <w:lang w:val="sr-Cyrl-RS"/>
        </w:rPr>
        <w:footnoteReference w:id="27"/>
      </w:r>
      <w:r w:rsidR="00F474FD" w:rsidRPr="0081082A">
        <w:rPr>
          <w:rFonts w:ascii="Times New Roman" w:hAnsi="Times New Roman" w:cs="Times New Roman"/>
          <w:sz w:val="24"/>
          <w:szCs w:val="24"/>
          <w:lang w:val="sr-Cyrl-RS"/>
        </w:rPr>
        <w:t xml:space="preserve"> одржан </w:t>
      </w:r>
      <w:r w:rsidR="007418CB" w:rsidRPr="0081082A">
        <w:rPr>
          <w:rFonts w:ascii="Times New Roman" w:hAnsi="Times New Roman" w:cs="Times New Roman"/>
          <w:sz w:val="24"/>
          <w:szCs w:val="24"/>
          <w:lang w:val="sr-Cyrl-RS"/>
        </w:rPr>
        <w:t xml:space="preserve">је </w:t>
      </w:r>
      <w:r w:rsidR="00F474FD" w:rsidRPr="0081082A">
        <w:rPr>
          <w:rFonts w:ascii="Times New Roman" w:hAnsi="Times New Roman" w:cs="Times New Roman"/>
          <w:sz w:val="24"/>
          <w:szCs w:val="24"/>
          <w:lang w:val="sr-Cyrl-RS"/>
        </w:rPr>
        <w:t>процес јавних консултација</w:t>
      </w:r>
      <w:r w:rsidR="004D1430" w:rsidRPr="0081082A">
        <w:rPr>
          <w:rFonts w:ascii="Times New Roman" w:hAnsi="Times New Roman" w:cs="Times New Roman"/>
          <w:sz w:val="24"/>
          <w:szCs w:val="24"/>
          <w:lang w:val="sr-Cyrl-RS"/>
        </w:rPr>
        <w:t xml:space="preserve"> за ПРУЈФ </w:t>
      </w:r>
      <w:r w:rsidR="00117C23" w:rsidRPr="0081082A">
        <w:rPr>
          <w:rFonts w:ascii="Times New Roman" w:hAnsi="Times New Roman" w:cs="Times New Roman"/>
          <w:sz w:val="24"/>
          <w:szCs w:val="24"/>
          <w:lang w:val="sr-Cyrl-RS"/>
        </w:rPr>
        <w:t>2</w:t>
      </w:r>
      <w:r w:rsidR="004D1430" w:rsidRPr="0081082A">
        <w:rPr>
          <w:rFonts w:ascii="Times New Roman" w:hAnsi="Times New Roman" w:cs="Times New Roman"/>
          <w:sz w:val="24"/>
          <w:szCs w:val="24"/>
          <w:lang w:val="sr-Cyrl-RS"/>
        </w:rPr>
        <w:t>021-2025 и пратећи Акциони план за исти период,</w:t>
      </w:r>
      <w:r w:rsidR="002D71E5" w:rsidRPr="0081082A">
        <w:rPr>
          <w:rFonts w:ascii="Times New Roman" w:hAnsi="Times New Roman" w:cs="Times New Roman"/>
          <w:sz w:val="24"/>
          <w:szCs w:val="24"/>
          <w:lang w:val="sr-Cyrl-RS"/>
        </w:rPr>
        <w:t xml:space="preserve"> у складу са Законом о планском систему</w:t>
      </w:r>
      <w:r w:rsidR="002A61BC" w:rsidRPr="0081082A">
        <w:rPr>
          <w:rFonts w:ascii="Times New Roman" w:hAnsi="Times New Roman" w:cs="Times New Roman"/>
          <w:sz w:val="24"/>
          <w:szCs w:val="24"/>
          <w:lang w:val="sr-Cyrl-RS"/>
        </w:rPr>
        <w:t xml:space="preserve"> Републике Србије</w:t>
      </w:r>
      <w:r w:rsidR="00F474FD" w:rsidRPr="0081082A">
        <w:rPr>
          <w:rFonts w:ascii="Times New Roman" w:hAnsi="Times New Roman" w:cs="Times New Roman"/>
          <w:sz w:val="24"/>
          <w:szCs w:val="24"/>
          <w:lang w:val="sr-Cyrl-RS"/>
        </w:rPr>
        <w:t xml:space="preserve">, у који </w:t>
      </w:r>
      <w:r w:rsidR="007418CB" w:rsidRPr="0081082A">
        <w:rPr>
          <w:rFonts w:ascii="Times New Roman" w:hAnsi="Times New Roman" w:cs="Times New Roman"/>
          <w:sz w:val="24"/>
          <w:szCs w:val="24"/>
          <w:lang w:val="sr-Cyrl-RS"/>
        </w:rPr>
        <w:t xml:space="preserve">су </w:t>
      </w:r>
      <w:r w:rsidR="00F474FD" w:rsidRPr="0081082A">
        <w:rPr>
          <w:rFonts w:ascii="Times New Roman" w:hAnsi="Times New Roman" w:cs="Times New Roman"/>
          <w:sz w:val="24"/>
          <w:szCs w:val="24"/>
          <w:lang w:val="sr-Cyrl-RS"/>
        </w:rPr>
        <w:t>би</w:t>
      </w:r>
      <w:r w:rsidR="007418CB" w:rsidRPr="0081082A">
        <w:rPr>
          <w:rFonts w:ascii="Times New Roman" w:hAnsi="Times New Roman" w:cs="Times New Roman"/>
          <w:sz w:val="24"/>
          <w:szCs w:val="24"/>
          <w:lang w:val="sr-Cyrl-RS"/>
        </w:rPr>
        <w:t>ли</w:t>
      </w:r>
      <w:r w:rsidR="00F474FD" w:rsidRPr="0081082A">
        <w:rPr>
          <w:rFonts w:ascii="Times New Roman" w:hAnsi="Times New Roman" w:cs="Times New Roman"/>
          <w:sz w:val="24"/>
          <w:szCs w:val="24"/>
          <w:lang w:val="sr-Cyrl-RS"/>
        </w:rPr>
        <w:t xml:space="preserve"> укључени сви чланови Радне групе, као и представници цивилног друштва, Европске комисије, СИГМА, ММФ-а, Светске банке и осталих заинтересованих домаћих и међународних партнера. </w:t>
      </w:r>
    </w:p>
    <w:p w:rsidR="009C5973" w:rsidRPr="0081082A" w:rsidRDefault="009C5973" w:rsidP="009F1048">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У складу са Законом о планском систему</w:t>
      </w:r>
      <w:r w:rsidR="002A61BC" w:rsidRPr="0081082A">
        <w:rPr>
          <w:rFonts w:ascii="Times New Roman" w:eastAsia="Calibri" w:hAnsi="Times New Roman" w:cs="Times New Roman"/>
          <w:sz w:val="24"/>
          <w:szCs w:val="24"/>
          <w:lang w:val="sr-Cyrl-RS"/>
        </w:rPr>
        <w:t xml:space="preserve"> </w:t>
      </w:r>
      <w:r w:rsidR="002A61BC" w:rsidRPr="0081082A">
        <w:rPr>
          <w:rFonts w:ascii="Times New Roman" w:hAnsi="Times New Roman" w:cs="Times New Roman"/>
          <w:sz w:val="24"/>
          <w:szCs w:val="24"/>
          <w:lang w:val="sr-Cyrl-RS"/>
        </w:rPr>
        <w:t>Републике Србије</w:t>
      </w:r>
      <w:r w:rsidRPr="0081082A">
        <w:rPr>
          <w:rFonts w:ascii="Times New Roman" w:eastAsia="Calibri" w:hAnsi="Times New Roman" w:cs="Times New Roman"/>
          <w:sz w:val="24"/>
          <w:szCs w:val="24"/>
          <w:lang w:val="sr-Cyrl-RS"/>
        </w:rPr>
        <w:t xml:space="preserve"> и Планом јавне расправе, од 25. марта до 15. априла 2021. године одржан је процес јавних консултација за нацрт ПРУЈФ 2021-2025 и пратећи Акциони план, стављањем на увид јавности путем веб-сајта Министарства финансија и портала е-Управа. Све заинтересоване стране имале су прилику да доставе своје коментаре и сугестије током али и након овог периода, имајући у виду да ј</w:t>
      </w:r>
      <w:r w:rsidR="0048467F">
        <w:rPr>
          <w:rFonts w:ascii="Times New Roman" w:eastAsia="Calibri" w:hAnsi="Times New Roman" w:cs="Times New Roman"/>
          <w:sz w:val="24"/>
          <w:szCs w:val="24"/>
          <w:lang w:val="sr-Cyrl-RS"/>
        </w:rPr>
        <w:t>е нацрт ПРУЈФ 2021-2025 на веб-</w:t>
      </w:r>
      <w:r w:rsidRPr="0081082A">
        <w:rPr>
          <w:rFonts w:ascii="Times New Roman" w:eastAsia="Calibri" w:hAnsi="Times New Roman" w:cs="Times New Roman"/>
          <w:sz w:val="24"/>
          <w:szCs w:val="24"/>
          <w:lang w:val="sr-Cyrl-RS"/>
        </w:rPr>
        <w:t>сајту Министарства финансија био на располагању до краја маја 2021. године.  У овом процесу електронским путем достављени су коментари Сталне конференције градова и општина (</w:t>
      </w:r>
      <w:r w:rsidR="0006580D" w:rsidRPr="0081082A">
        <w:rPr>
          <w:rFonts w:ascii="Times New Roman" w:eastAsia="Calibri" w:hAnsi="Times New Roman" w:cs="Times New Roman"/>
          <w:sz w:val="24"/>
          <w:szCs w:val="24"/>
          <w:lang w:val="sr-Cyrl-RS"/>
        </w:rPr>
        <w:t xml:space="preserve">у даљем тексту: </w:t>
      </w:r>
      <w:r w:rsidRPr="0081082A">
        <w:rPr>
          <w:rFonts w:ascii="Times New Roman" w:eastAsia="Calibri" w:hAnsi="Times New Roman" w:cs="Times New Roman"/>
          <w:sz w:val="24"/>
          <w:szCs w:val="24"/>
          <w:lang w:val="sr-Cyrl-RS"/>
        </w:rPr>
        <w:t>СКГО) и Центра за европске политике (ЦЕП).</w:t>
      </w:r>
    </w:p>
    <w:p w:rsidR="009C5973" w:rsidRPr="0081082A" w:rsidRDefault="009C5973" w:rsidP="009F1048">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На састанку Дијалога о политици управљања јавним финансијама, који је одржан 20.</w:t>
      </w:r>
      <w:r w:rsidR="00FF4BE4" w:rsidRPr="0081082A">
        <w:rPr>
          <w:rFonts w:ascii="Times New Roman" w:eastAsia="Calibri" w:hAnsi="Times New Roman" w:cs="Times New Roman"/>
          <w:sz w:val="24"/>
          <w:szCs w:val="24"/>
          <w:lang w:val="sr-Cyrl-RS"/>
        </w:rPr>
        <w:t xml:space="preserve"> маја </w:t>
      </w:r>
      <w:r w:rsidRPr="0081082A">
        <w:rPr>
          <w:rFonts w:ascii="Times New Roman" w:eastAsia="Calibri" w:hAnsi="Times New Roman" w:cs="Times New Roman"/>
          <w:sz w:val="24"/>
          <w:szCs w:val="24"/>
          <w:lang w:val="sr-Cyrl-RS"/>
        </w:rPr>
        <w:t xml:space="preserve">2021. године, онлајн путем су учествовале следеће институције: Министарство финансија Републике Србије, Министарство за европске интеграције, Министарство државне управе и локалне самоуправе, Републички секретаријат за јавне политике, Канцеларија за ревизију система управљања средствима Европске уније, Народна скупштина Републике Србије, </w:t>
      </w:r>
      <w:r w:rsidR="00600253" w:rsidRPr="0081082A">
        <w:rPr>
          <w:rFonts w:ascii="Times New Roman" w:hAnsi="Times New Roman"/>
          <w:sz w:val="24"/>
          <w:lang w:val="sr-Cyrl-RS"/>
        </w:rPr>
        <w:t>ДРИ</w:t>
      </w:r>
      <w:r w:rsidRPr="0081082A">
        <w:rPr>
          <w:rFonts w:ascii="Times New Roman" w:eastAsia="Calibri" w:hAnsi="Times New Roman" w:cs="Times New Roman"/>
          <w:sz w:val="24"/>
          <w:szCs w:val="24"/>
          <w:lang w:val="sr-Cyrl-RS"/>
        </w:rPr>
        <w:t>, Фискални савет Републике Србије, Делегација Европске уније, Амбасада Савезне Републике Немачке, Швајцарска канцеларија за сарадњу</w:t>
      </w:r>
      <w:r w:rsidR="00FE76A8"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Светска банка, </w:t>
      </w:r>
      <w:r w:rsidR="007F054D" w:rsidRPr="0081082A">
        <w:rPr>
          <w:rFonts w:ascii="Times New Roman" w:eastAsia="Calibri" w:hAnsi="Times New Roman" w:cs="Times New Roman"/>
          <w:sz w:val="24"/>
          <w:szCs w:val="24"/>
          <w:lang w:val="sr-Cyrl-RS"/>
        </w:rPr>
        <w:t>ММФ</w:t>
      </w:r>
      <w:r w:rsidRPr="0081082A">
        <w:rPr>
          <w:rFonts w:ascii="Times New Roman" w:eastAsia="Calibri" w:hAnsi="Times New Roman" w:cs="Times New Roman"/>
          <w:sz w:val="24"/>
          <w:szCs w:val="24"/>
          <w:lang w:val="sr-Cyrl-RS"/>
        </w:rPr>
        <w:t xml:space="preserve">, СИГМА, Национални Конвент о Европској унији, </w:t>
      </w:r>
      <w:r w:rsidR="0006580D" w:rsidRPr="0081082A">
        <w:rPr>
          <w:rFonts w:ascii="Times New Roman" w:eastAsia="Calibri" w:hAnsi="Times New Roman" w:cs="Times New Roman"/>
          <w:sz w:val="24"/>
          <w:szCs w:val="24"/>
          <w:lang w:val="sr-Cyrl-RS"/>
        </w:rPr>
        <w:t>СКГО</w:t>
      </w:r>
      <w:r w:rsidRPr="0081082A">
        <w:rPr>
          <w:rFonts w:ascii="Times New Roman" w:eastAsia="Calibri" w:hAnsi="Times New Roman" w:cs="Times New Roman"/>
          <w:sz w:val="24"/>
          <w:szCs w:val="24"/>
          <w:lang w:val="sr-Cyrl-RS"/>
        </w:rPr>
        <w:t>, и Центар за европске политике.</w:t>
      </w:r>
    </w:p>
    <w:p w:rsidR="009C5973" w:rsidRPr="0081082A" w:rsidRDefault="009C5973" w:rsidP="009F1048">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lastRenderedPageBreak/>
        <w:t xml:space="preserve">На састанку су представљени нацрт Извештајa o реализацији Програма реформе управљања јавним финансијама </w:t>
      </w:r>
      <w:r w:rsidR="00FE76A8" w:rsidRPr="0081082A">
        <w:rPr>
          <w:rFonts w:ascii="Times New Roman" w:eastAsia="Calibri" w:hAnsi="Times New Roman" w:cs="Times New Roman"/>
          <w:sz w:val="24"/>
          <w:szCs w:val="24"/>
          <w:lang w:val="sr-Cyrl-RS"/>
        </w:rPr>
        <w:t>за</w:t>
      </w:r>
      <w:r w:rsidRPr="0081082A">
        <w:rPr>
          <w:rFonts w:ascii="Times New Roman" w:eastAsia="Calibri" w:hAnsi="Times New Roman" w:cs="Times New Roman"/>
          <w:sz w:val="24"/>
          <w:szCs w:val="24"/>
          <w:lang w:val="sr-Cyrl-RS"/>
        </w:rPr>
        <w:t xml:space="preserve"> 2020. годин</w:t>
      </w:r>
      <w:r w:rsidR="00FE76A8" w:rsidRPr="0081082A">
        <w:rPr>
          <w:rFonts w:ascii="Times New Roman" w:eastAsia="Calibri" w:hAnsi="Times New Roman" w:cs="Times New Roman"/>
          <w:sz w:val="24"/>
          <w:szCs w:val="24"/>
          <w:lang w:val="sr-Cyrl-RS"/>
        </w:rPr>
        <w:t>у</w:t>
      </w:r>
      <w:r w:rsidRPr="0081082A">
        <w:rPr>
          <w:rFonts w:ascii="Times New Roman" w:eastAsia="Calibri" w:hAnsi="Times New Roman" w:cs="Times New Roman"/>
          <w:sz w:val="24"/>
          <w:szCs w:val="24"/>
          <w:lang w:val="sr-Cyrl-RS"/>
        </w:rPr>
        <w:t xml:space="preserve"> и нов</w:t>
      </w:r>
      <w:r w:rsidR="00FE76A8" w:rsidRPr="0081082A">
        <w:rPr>
          <w:rFonts w:ascii="Times New Roman" w:eastAsia="Calibri" w:hAnsi="Times New Roman" w:cs="Times New Roman"/>
          <w:sz w:val="24"/>
          <w:szCs w:val="24"/>
          <w:lang w:val="sr-Cyrl-RS"/>
        </w:rPr>
        <w:t>и</w:t>
      </w:r>
      <w:r w:rsidRPr="0081082A">
        <w:rPr>
          <w:rFonts w:ascii="Times New Roman" w:eastAsia="Calibri" w:hAnsi="Times New Roman" w:cs="Times New Roman"/>
          <w:sz w:val="24"/>
          <w:szCs w:val="24"/>
          <w:lang w:val="sr-Cyrl-RS"/>
        </w:rPr>
        <w:t xml:space="preserve"> Програм реформе управљања јавним финансијама за период 2021-2025. година.  </w:t>
      </w:r>
    </w:p>
    <w:p w:rsidR="009C5973" w:rsidRPr="0081082A" w:rsidRDefault="009C5973" w:rsidP="009F1048">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У уводном излагању скупу су се обратили државни секретар у Министарству финансија, представник Делегације ЕУ у Ре</w:t>
      </w:r>
      <w:r w:rsidR="00F94DE9">
        <w:rPr>
          <w:rFonts w:ascii="Times New Roman" w:eastAsia="Calibri" w:hAnsi="Times New Roman" w:cs="Times New Roman"/>
          <w:sz w:val="24"/>
          <w:szCs w:val="24"/>
          <w:lang w:val="sr-Cyrl-RS"/>
        </w:rPr>
        <w:t>п</w:t>
      </w:r>
      <w:r w:rsidRPr="0081082A">
        <w:rPr>
          <w:rFonts w:ascii="Times New Roman" w:eastAsia="Calibri" w:hAnsi="Times New Roman" w:cs="Times New Roman"/>
          <w:sz w:val="24"/>
          <w:szCs w:val="24"/>
          <w:lang w:val="sr-Cyrl-RS"/>
        </w:rPr>
        <w:t xml:space="preserve">ублици Србији, представник амбасаде Немачке, помоћник министра у Министарству за државну управу и локалну самоуправу, Координаторка националног Конвента о ЕУ и члан Фискалног савета. </w:t>
      </w:r>
    </w:p>
    <w:p w:rsidR="009C5973" w:rsidRPr="0081082A" w:rsidRDefault="009C5973" w:rsidP="009F1048">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Након представљања наведених докумената од стране чланова радне групе, представници </w:t>
      </w:r>
      <w:r w:rsidR="0006580D" w:rsidRPr="0081082A">
        <w:rPr>
          <w:rFonts w:ascii="Times New Roman" w:eastAsia="Calibri" w:hAnsi="Times New Roman" w:cs="Times New Roman"/>
          <w:sz w:val="24"/>
          <w:szCs w:val="24"/>
          <w:lang w:val="sr-Cyrl-RS"/>
        </w:rPr>
        <w:t>СКГО</w:t>
      </w:r>
      <w:r w:rsidRPr="0081082A">
        <w:rPr>
          <w:rFonts w:ascii="Times New Roman" w:eastAsia="Calibri" w:hAnsi="Times New Roman" w:cs="Times New Roman"/>
          <w:sz w:val="24"/>
          <w:szCs w:val="24"/>
          <w:lang w:val="sr-Cyrl-RS"/>
        </w:rPr>
        <w:t xml:space="preserve"> и Центра за европске политике доставили су своје коментаре </w:t>
      </w:r>
      <w:r w:rsidR="00FE76A8" w:rsidRPr="0081082A">
        <w:rPr>
          <w:rFonts w:ascii="Times New Roman" w:eastAsia="Calibri" w:hAnsi="Times New Roman" w:cs="Times New Roman"/>
          <w:sz w:val="24"/>
          <w:szCs w:val="24"/>
          <w:lang w:val="sr-Cyrl-RS"/>
        </w:rPr>
        <w:t xml:space="preserve">и питања </w:t>
      </w:r>
      <w:r w:rsidRPr="0081082A">
        <w:rPr>
          <w:rFonts w:ascii="Times New Roman" w:eastAsia="Calibri" w:hAnsi="Times New Roman" w:cs="Times New Roman"/>
          <w:sz w:val="24"/>
          <w:szCs w:val="24"/>
          <w:lang w:val="sr-Cyrl-RS"/>
        </w:rPr>
        <w:t xml:space="preserve">на наведена документа. </w:t>
      </w:r>
    </w:p>
    <w:p w:rsidR="007A45D2" w:rsidRPr="0081082A" w:rsidRDefault="00AC4C48" w:rsidP="007A45D2">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hAnsi="Times New Roman" w:cs="Times New Roman"/>
          <w:sz w:val="24"/>
          <w:szCs w:val="24"/>
          <w:lang w:val="sr-Cyrl-RS"/>
        </w:rPr>
        <w:t>Период јавних консултација о новом ПРУЈФ 2021-2025 трајао је званично од 25. марта до 15. априла 2021. године у складу са Предлогом јавне расправе, који је одобрио Одбор за привреду и финансије Владе 24. марта 2021. године, и који је предвидео како објаву на интернет страници Министарства финансија и портала е-Управа, тако и организовање посебног састанка на коме би нацрт ПРУЈФ 2021-2025 био представљен заинтересованим странама. Нацрт Програма био је постављен на интернет страници Министарства финансија и сви заинтересовани имали су прилику да у горе наведеном периоду, али и након тог периода, а све до одржавања састанка Дијалога о политици управљања јавним финансијама, доставе своје коментаре и сугестије на нацрт Програма.</w:t>
      </w:r>
      <w:r w:rsidR="007A45D2" w:rsidRPr="0081082A">
        <w:rPr>
          <w:rFonts w:ascii="Times New Roman" w:eastAsia="Calibri" w:hAnsi="Times New Roman" w:cs="Times New Roman"/>
          <w:sz w:val="24"/>
          <w:szCs w:val="24"/>
          <w:lang w:val="sr-Cyrl-RS"/>
        </w:rPr>
        <w:t xml:space="preserve"> Дијалог о политици управљања јавним финансијама је 2021. године одржан онлајн путем 20. маја, а детаљне информације о овом састанку могу се пронаћи у Извештају са јавне расправе „Дијалог о политици управљања јавним финансијама</w:t>
      </w:r>
      <w:r w:rsidR="007E728E" w:rsidRPr="0081082A">
        <w:rPr>
          <w:rFonts w:ascii="Times New Roman" w:eastAsia="Calibri" w:hAnsi="Times New Roman" w:cs="Times New Roman"/>
          <w:sz w:val="24"/>
          <w:szCs w:val="24"/>
          <w:lang w:val="sr-Cyrl-RS"/>
        </w:rPr>
        <w:t>”</w:t>
      </w:r>
      <w:r w:rsidR="007A45D2" w:rsidRPr="0081082A">
        <w:rPr>
          <w:rFonts w:ascii="Times New Roman" w:eastAsia="Calibri" w:hAnsi="Times New Roman" w:cs="Times New Roman"/>
          <w:sz w:val="24"/>
          <w:szCs w:val="24"/>
          <w:lang w:val="sr-Cyrl-RS"/>
        </w:rPr>
        <w:t>.</w:t>
      </w:r>
    </w:p>
    <w:p w:rsidR="00AC4C48" w:rsidRPr="0081082A" w:rsidRDefault="00AC4C48" w:rsidP="00AC4C48">
      <w:pPr>
        <w:spacing w:before="120"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 том периоду коментари су добијени од СИГМА/ОЕЦД, Европске комисије, Светске банке и СКГО, док је током састанка </w:t>
      </w:r>
      <w:r w:rsidR="00A34AE0"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Дијалог о политици управљања јавним финансијама</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20. маја 2021. године коментаре</w:t>
      </w:r>
      <w:r w:rsidR="00A545D2"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односно питања упутио и Центар за европске политике (ЦЕП). Сви добијени коментари значајно су допринели унапређењу квалитета ПРУЈФ.</w:t>
      </w:r>
    </w:p>
    <w:p w:rsidR="009E32E0" w:rsidRPr="0081082A" w:rsidRDefault="009E32E0" w:rsidP="009E32E0">
      <w:pPr>
        <w:spacing w:after="0" w:line="240" w:lineRule="auto"/>
        <w:ind w:firstLine="708"/>
        <w:jc w:val="both"/>
        <w:rPr>
          <w:rFonts w:ascii="Times New Roman" w:eastAsia="Calibri" w:hAnsi="Times New Roman" w:cs="Times New Roman"/>
          <w:sz w:val="24"/>
          <w:szCs w:val="24"/>
          <w:lang w:val="sr-Cyrl-RS"/>
        </w:rPr>
      </w:pPr>
    </w:p>
    <w:p w:rsidR="005703FA" w:rsidRPr="0081082A" w:rsidRDefault="005703FA" w:rsidP="005703FA">
      <w:pPr>
        <w:pStyle w:val="Heading2"/>
        <w:jc w:val="center"/>
        <w:rPr>
          <w:rFonts w:ascii="Times New Roman" w:hAnsi="Times New Roman"/>
          <w:sz w:val="24"/>
          <w:lang w:val="sr-Cyrl-RS"/>
        </w:rPr>
      </w:pPr>
      <w:bookmarkStart w:id="9" w:name="_Toc72488791"/>
      <w:r w:rsidRPr="0081082A">
        <w:rPr>
          <w:rFonts w:ascii="Times New Roman" w:hAnsi="Times New Roman"/>
          <w:sz w:val="24"/>
          <w:lang w:val="sr-Cyrl-RS"/>
        </w:rPr>
        <w:t>ОПШТИ и посебни циљеви ПРОГРАМА РЕФОРМЕ УПРАВЉАЊА ЈАВНИМ ФИНАНСИЈАМА 2021-2025</w:t>
      </w:r>
      <w:bookmarkEnd w:id="9"/>
    </w:p>
    <w:p w:rsidR="005703FA" w:rsidRPr="0081082A" w:rsidRDefault="005703FA" w:rsidP="00EC4CC2">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Општи циљ ПРУЈФ 2021-2025 је остваривање одрживог буџета са стабилним јавним дугом у односу на БДП уз помоћ бољег финансијског управљања и контроле, процеса ревизије и повезивања буџетског планирања са приоритетним циљевима Владе и јавним политикама. Овај општи циљ </w:t>
      </w:r>
      <w:r w:rsidR="00770F6D" w:rsidRPr="0081082A">
        <w:rPr>
          <w:rFonts w:ascii="Times New Roman" w:eastAsia="Calibri" w:hAnsi="Times New Roman" w:cs="Times New Roman"/>
          <w:sz w:val="24"/>
          <w:szCs w:val="24"/>
          <w:lang w:val="sr-Cyrl-RS"/>
        </w:rPr>
        <w:t>повезан је са</w:t>
      </w:r>
      <w:r w:rsidRPr="0081082A">
        <w:rPr>
          <w:rFonts w:ascii="Times New Roman" w:eastAsia="Calibri" w:hAnsi="Times New Roman" w:cs="Times New Roman"/>
          <w:sz w:val="24"/>
          <w:szCs w:val="24"/>
          <w:lang w:val="sr-Cyrl-RS"/>
        </w:rPr>
        <w:t xml:space="preserve"> Стратегиј</w:t>
      </w:r>
      <w:r w:rsidR="00770F6D" w:rsidRPr="0081082A">
        <w:rPr>
          <w:rFonts w:ascii="Times New Roman" w:eastAsia="Calibri" w:hAnsi="Times New Roman" w:cs="Times New Roman"/>
          <w:sz w:val="24"/>
          <w:szCs w:val="24"/>
          <w:lang w:val="sr-Cyrl-RS"/>
        </w:rPr>
        <w:t>ом</w:t>
      </w:r>
      <w:r w:rsidRPr="0081082A">
        <w:rPr>
          <w:rFonts w:ascii="Times New Roman" w:eastAsia="Calibri" w:hAnsi="Times New Roman" w:cs="Times New Roman"/>
          <w:sz w:val="24"/>
          <w:szCs w:val="24"/>
          <w:lang w:val="sr-Cyrl-RS"/>
        </w:rPr>
        <w:t xml:space="preserve"> реформе јавне управе </w:t>
      </w:r>
      <w:r w:rsidR="00770F6D" w:rsidRPr="0081082A">
        <w:rPr>
          <w:rFonts w:ascii="Times New Roman" w:eastAsia="Calibri" w:hAnsi="Times New Roman" w:cs="Times New Roman"/>
          <w:sz w:val="24"/>
          <w:szCs w:val="24"/>
          <w:lang w:val="sr-Cyrl-RS"/>
        </w:rPr>
        <w:t xml:space="preserve">2021-2030, </w:t>
      </w:r>
      <w:r w:rsidRPr="0081082A">
        <w:rPr>
          <w:rFonts w:ascii="Times New Roman" w:eastAsia="Calibri" w:hAnsi="Times New Roman" w:cs="Times New Roman"/>
          <w:sz w:val="24"/>
          <w:szCs w:val="24"/>
          <w:lang w:val="sr-Cyrl-RS"/>
        </w:rPr>
        <w:t xml:space="preserve">где </w:t>
      </w:r>
      <w:r w:rsidR="00DA460C" w:rsidRPr="0081082A">
        <w:rPr>
          <w:rFonts w:ascii="Times New Roman" w:eastAsia="Calibri" w:hAnsi="Times New Roman" w:cs="Times New Roman"/>
          <w:sz w:val="24"/>
          <w:szCs w:val="24"/>
          <w:lang w:val="sr-Cyrl-RS"/>
        </w:rPr>
        <w:t>је</w:t>
      </w:r>
      <w:r w:rsidRPr="0081082A">
        <w:rPr>
          <w:rFonts w:ascii="Times New Roman" w:eastAsia="Calibri" w:hAnsi="Times New Roman" w:cs="Times New Roman"/>
          <w:sz w:val="24"/>
          <w:szCs w:val="24"/>
          <w:lang w:val="sr-Cyrl-RS"/>
        </w:rPr>
        <w:t xml:space="preserve"> представљ</w:t>
      </w:r>
      <w:r w:rsidR="00DA460C" w:rsidRPr="0081082A">
        <w:rPr>
          <w:rFonts w:ascii="Times New Roman" w:eastAsia="Calibri" w:hAnsi="Times New Roman" w:cs="Times New Roman"/>
          <w:sz w:val="24"/>
          <w:szCs w:val="24"/>
          <w:lang w:val="sr-Cyrl-RS"/>
        </w:rPr>
        <w:t>ен к</w:t>
      </w:r>
      <w:r w:rsidRPr="0081082A">
        <w:rPr>
          <w:rFonts w:ascii="Times New Roman" w:eastAsia="Calibri" w:hAnsi="Times New Roman" w:cs="Times New Roman"/>
          <w:sz w:val="24"/>
          <w:szCs w:val="24"/>
          <w:lang w:val="sr-Cyrl-RS"/>
        </w:rPr>
        <w:t>а</w:t>
      </w:r>
      <w:r w:rsidR="00DA460C" w:rsidRPr="0081082A">
        <w:rPr>
          <w:rFonts w:ascii="Times New Roman" w:eastAsia="Calibri" w:hAnsi="Times New Roman" w:cs="Times New Roman"/>
          <w:sz w:val="24"/>
          <w:szCs w:val="24"/>
          <w:lang w:val="sr-Cyrl-RS"/>
        </w:rPr>
        <w:t>о</w:t>
      </w:r>
      <w:r w:rsidRPr="0081082A">
        <w:rPr>
          <w:rFonts w:ascii="Times New Roman" w:eastAsia="Calibri" w:hAnsi="Times New Roman" w:cs="Times New Roman"/>
          <w:sz w:val="24"/>
          <w:szCs w:val="24"/>
          <w:lang w:val="sr-Cyrl-RS"/>
        </w:rPr>
        <w:t xml:space="preserve"> посебан циљ 6. </w:t>
      </w:r>
    </w:p>
    <w:p w:rsidR="005703FA" w:rsidRPr="0081082A" w:rsidRDefault="005703FA" w:rsidP="00EC4CC2">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Остварени напредак у погледу остваривања општег циља ПРУЈФ 2021-2025 пратиће се кроз следеће показатеље:</w:t>
      </w:r>
    </w:p>
    <w:p w:rsidR="00194A08" w:rsidRPr="0081082A" w:rsidRDefault="00194A08" w:rsidP="00EC4CC2">
      <w:pPr>
        <w:spacing w:after="0" w:line="240" w:lineRule="auto"/>
        <w:ind w:firstLine="708"/>
        <w:jc w:val="both"/>
        <w:rPr>
          <w:rFonts w:ascii="Times New Roman" w:eastAsia="Calibri" w:hAnsi="Times New Roman" w:cs="Times New Roman"/>
          <w:sz w:val="24"/>
          <w:szCs w:val="24"/>
          <w:lang w:val="sr-Cyrl-RS"/>
        </w:rPr>
      </w:pPr>
    </w:p>
    <w:p w:rsidR="005703FA" w:rsidRPr="0081082A" w:rsidRDefault="005703FA" w:rsidP="0015513C">
      <w:pPr>
        <w:pStyle w:val="ListParagraph"/>
        <w:numPr>
          <w:ilvl w:val="0"/>
          <w:numId w:val="3"/>
        </w:numPr>
        <w:spacing w:before="10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Реални раст БДП-а, и </w:t>
      </w:r>
    </w:p>
    <w:p w:rsidR="00210114" w:rsidRPr="0081082A" w:rsidRDefault="005703FA" w:rsidP="0015513C">
      <w:pPr>
        <w:pStyle w:val="ListParagraph"/>
        <w:numPr>
          <w:ilvl w:val="0"/>
          <w:numId w:val="3"/>
        </w:numPr>
        <w:spacing w:before="10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Ниво јавног дуга опште државе.</w:t>
      </w:r>
    </w:p>
    <w:p w:rsidR="005703FA" w:rsidRPr="0081082A" w:rsidRDefault="007E6F4C" w:rsidP="0015513C">
      <w:pPr>
        <w:pStyle w:val="ListParagraph"/>
        <w:numPr>
          <w:ilvl w:val="0"/>
          <w:numId w:val="3"/>
        </w:numPr>
        <w:spacing w:before="10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издвајања за капиталне инвестиције у односу на БДП.</w:t>
      </w:r>
      <w:r w:rsidR="005703FA" w:rsidRPr="0081082A">
        <w:rPr>
          <w:rFonts w:ascii="Times New Roman" w:eastAsia="Calibri" w:hAnsi="Times New Roman" w:cs="Times New Roman"/>
          <w:sz w:val="24"/>
          <w:szCs w:val="24"/>
          <w:lang w:val="sr-Cyrl-RS"/>
        </w:rPr>
        <w:t xml:space="preserve">  </w:t>
      </w:r>
    </w:p>
    <w:p w:rsidR="005703FA" w:rsidRPr="0081082A" w:rsidRDefault="005703FA" w:rsidP="00EC4CC2">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Посебни циљеви ПРУЈФ 2021-2025 су:</w:t>
      </w:r>
    </w:p>
    <w:p w:rsidR="00DE53A1" w:rsidRPr="0081082A" w:rsidRDefault="00194A08" w:rsidP="0015513C">
      <w:pPr>
        <w:pStyle w:val="ListParagraph"/>
        <w:numPr>
          <w:ilvl w:val="0"/>
          <w:numId w:val="11"/>
        </w:numPr>
        <w:spacing w:before="10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lastRenderedPageBreak/>
        <w:t>Посебни циљ I</w:t>
      </w:r>
      <w:r w:rsidR="009773F3" w:rsidRPr="0081082A">
        <w:rPr>
          <w:rFonts w:ascii="Times New Roman" w:eastAsia="Calibri" w:hAnsi="Times New Roman" w:cs="Times New Roman"/>
          <w:sz w:val="24"/>
          <w:szCs w:val="24"/>
          <w:lang w:val="sr-Cyrl-RS"/>
        </w:rPr>
        <w:t xml:space="preserve"> – Унапређени капацитети за буџетско планирање и управљање јавним инвестицијама</w:t>
      </w:r>
      <w:r w:rsidR="0003612D" w:rsidRPr="0081082A">
        <w:rPr>
          <w:rFonts w:ascii="Times New Roman" w:eastAsia="Calibri" w:hAnsi="Times New Roman" w:cs="Times New Roman"/>
          <w:sz w:val="24"/>
          <w:szCs w:val="24"/>
          <w:lang w:val="sr-Cyrl-RS"/>
        </w:rPr>
        <w:t xml:space="preserve"> и праћење фискалних ризика</w:t>
      </w:r>
      <w:r w:rsidR="00770F6D" w:rsidRPr="0081082A">
        <w:rPr>
          <w:rFonts w:ascii="Times New Roman" w:eastAsia="Calibri" w:hAnsi="Times New Roman" w:cs="Times New Roman"/>
          <w:sz w:val="24"/>
          <w:szCs w:val="24"/>
          <w:lang w:val="sr-Cyrl-RS"/>
        </w:rPr>
        <w:t>,</w:t>
      </w:r>
    </w:p>
    <w:p w:rsidR="005703FA" w:rsidRPr="0081082A" w:rsidRDefault="00194A08" w:rsidP="0015513C">
      <w:pPr>
        <w:pStyle w:val="ListParagraph"/>
        <w:numPr>
          <w:ilvl w:val="0"/>
          <w:numId w:val="11"/>
        </w:numPr>
        <w:spacing w:before="10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Посебни циљ II</w:t>
      </w:r>
      <w:r w:rsidR="00DE53A1" w:rsidRPr="0081082A">
        <w:rPr>
          <w:rFonts w:ascii="Times New Roman" w:eastAsia="Calibri" w:hAnsi="Times New Roman" w:cs="Times New Roman"/>
          <w:sz w:val="24"/>
          <w:szCs w:val="24"/>
          <w:lang w:val="sr-Cyrl-RS"/>
        </w:rPr>
        <w:t xml:space="preserve"> – Ефикасно прикупљање и управљање буџетским средствима</w:t>
      </w:r>
      <w:r w:rsidR="00770F6D" w:rsidRPr="0081082A">
        <w:rPr>
          <w:rFonts w:ascii="Times New Roman" w:eastAsia="Calibri" w:hAnsi="Times New Roman" w:cs="Times New Roman"/>
          <w:sz w:val="24"/>
          <w:szCs w:val="24"/>
          <w:lang w:val="sr-Cyrl-RS"/>
        </w:rPr>
        <w:t>,</w:t>
      </w:r>
    </w:p>
    <w:p w:rsidR="005703FA" w:rsidRPr="0081082A" w:rsidRDefault="00194A08" w:rsidP="0015513C">
      <w:pPr>
        <w:pStyle w:val="ListParagraph"/>
        <w:numPr>
          <w:ilvl w:val="0"/>
          <w:numId w:val="11"/>
        </w:numPr>
        <w:spacing w:before="10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Посебни циљ III</w:t>
      </w:r>
      <w:r w:rsidR="00A04032" w:rsidRPr="0081082A">
        <w:rPr>
          <w:rFonts w:ascii="Times New Roman" w:eastAsia="Calibri" w:hAnsi="Times New Roman" w:cs="Times New Roman"/>
          <w:sz w:val="24"/>
          <w:szCs w:val="24"/>
          <w:lang w:val="sr-Cyrl-RS"/>
        </w:rPr>
        <w:t xml:space="preserve"> – Унапређење буџетске дисциплине и </w:t>
      </w:r>
      <w:r w:rsidR="00BD2D44" w:rsidRPr="0081082A">
        <w:rPr>
          <w:rFonts w:ascii="Times New Roman" w:eastAsia="Calibri" w:hAnsi="Times New Roman" w:cs="Times New Roman"/>
          <w:sz w:val="24"/>
          <w:szCs w:val="24"/>
          <w:lang w:val="sr-Cyrl-RS"/>
        </w:rPr>
        <w:t>транспарент</w:t>
      </w:r>
      <w:r w:rsidR="00D2780B">
        <w:rPr>
          <w:rFonts w:ascii="Times New Roman" w:eastAsia="Calibri" w:hAnsi="Times New Roman" w:cs="Times New Roman"/>
          <w:sz w:val="24"/>
          <w:szCs w:val="24"/>
          <w:lang w:val="sr-Cyrl-RS"/>
        </w:rPr>
        <w:t>није коришћење јавних средстава</w:t>
      </w:r>
      <w:r w:rsidR="00770F6D" w:rsidRPr="0081082A">
        <w:rPr>
          <w:rFonts w:ascii="Times New Roman" w:eastAsia="Calibri" w:hAnsi="Times New Roman" w:cs="Times New Roman"/>
          <w:sz w:val="24"/>
          <w:szCs w:val="24"/>
          <w:lang w:val="sr-Cyrl-RS"/>
        </w:rPr>
        <w:t>,</w:t>
      </w:r>
    </w:p>
    <w:p w:rsidR="00300E27" w:rsidRPr="0081082A" w:rsidRDefault="00194A08" w:rsidP="0015513C">
      <w:pPr>
        <w:pStyle w:val="ListParagraph"/>
        <w:numPr>
          <w:ilvl w:val="0"/>
          <w:numId w:val="11"/>
        </w:numPr>
        <w:spacing w:before="10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Посебни циљ IV</w:t>
      </w:r>
      <w:r w:rsidR="00300E27" w:rsidRPr="0081082A">
        <w:rPr>
          <w:rFonts w:ascii="Times New Roman" w:eastAsia="Calibri" w:hAnsi="Times New Roman" w:cs="Times New Roman"/>
          <w:sz w:val="24"/>
          <w:szCs w:val="24"/>
          <w:lang w:val="sr-Cyrl-RS"/>
        </w:rPr>
        <w:t xml:space="preserve"> –</w:t>
      </w:r>
      <w:r w:rsidR="00770F6D" w:rsidRPr="0081082A">
        <w:rPr>
          <w:rFonts w:ascii="Times New Roman" w:eastAsia="Calibri" w:hAnsi="Times New Roman" w:cs="Times New Roman"/>
          <w:sz w:val="24"/>
          <w:szCs w:val="24"/>
          <w:lang w:val="sr-Cyrl-RS"/>
        </w:rPr>
        <w:t xml:space="preserve"> Унапређење примене система интерне </w:t>
      </w:r>
      <w:r w:rsidR="00B103AC" w:rsidRPr="0081082A">
        <w:rPr>
          <w:rFonts w:ascii="Times New Roman" w:eastAsia="Calibri" w:hAnsi="Times New Roman" w:cs="Times New Roman"/>
          <w:sz w:val="24"/>
          <w:szCs w:val="24"/>
          <w:lang w:val="sr-Cyrl-RS"/>
        </w:rPr>
        <w:t xml:space="preserve">финансијске </w:t>
      </w:r>
      <w:r w:rsidR="00770F6D" w:rsidRPr="0081082A">
        <w:rPr>
          <w:rFonts w:ascii="Times New Roman" w:eastAsia="Calibri" w:hAnsi="Times New Roman" w:cs="Times New Roman"/>
          <w:sz w:val="24"/>
          <w:szCs w:val="24"/>
          <w:lang w:val="sr-Cyrl-RS"/>
        </w:rPr>
        <w:t>контроле у јавном сектору,</w:t>
      </w:r>
    </w:p>
    <w:p w:rsidR="00300E27" w:rsidRPr="0081082A" w:rsidRDefault="00194A08" w:rsidP="0015513C">
      <w:pPr>
        <w:pStyle w:val="ListParagraph"/>
        <w:numPr>
          <w:ilvl w:val="0"/>
          <w:numId w:val="11"/>
        </w:numPr>
        <w:spacing w:before="10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Посебни циљ V</w:t>
      </w:r>
      <w:r w:rsidR="00300E27" w:rsidRPr="0081082A">
        <w:rPr>
          <w:rFonts w:ascii="Times New Roman" w:eastAsia="Calibri" w:hAnsi="Times New Roman" w:cs="Times New Roman"/>
          <w:sz w:val="24"/>
          <w:szCs w:val="24"/>
          <w:lang w:val="sr-Cyrl-RS"/>
        </w:rPr>
        <w:t xml:space="preserve"> – </w:t>
      </w:r>
      <w:r w:rsidR="006B1E28" w:rsidRPr="0081082A">
        <w:rPr>
          <w:rFonts w:ascii="Times New Roman" w:eastAsia="Calibri" w:hAnsi="Times New Roman" w:cs="Times New Roman"/>
          <w:sz w:val="24"/>
          <w:szCs w:val="24"/>
          <w:lang w:val="sr-Cyrl-RS"/>
        </w:rPr>
        <w:t>Унапређен</w:t>
      </w:r>
      <w:r w:rsidR="00B103AC" w:rsidRPr="0081082A">
        <w:rPr>
          <w:rFonts w:ascii="Times New Roman" w:eastAsia="Calibri" w:hAnsi="Times New Roman" w:cs="Times New Roman"/>
          <w:sz w:val="24"/>
          <w:szCs w:val="24"/>
          <w:lang w:val="sr-Cyrl-RS"/>
        </w:rPr>
        <w:t>о рачуноводство у јавном сектору</w:t>
      </w:r>
      <w:r w:rsidR="00C02DA2" w:rsidRPr="0081082A">
        <w:rPr>
          <w:rFonts w:ascii="Times New Roman" w:eastAsia="Calibri" w:hAnsi="Times New Roman" w:cs="Times New Roman"/>
          <w:sz w:val="24"/>
          <w:szCs w:val="24"/>
          <w:lang w:val="sr-Cyrl-RS"/>
        </w:rPr>
        <w:t xml:space="preserve"> примен</w:t>
      </w:r>
      <w:r w:rsidR="00B103AC" w:rsidRPr="0081082A">
        <w:rPr>
          <w:rFonts w:ascii="Times New Roman" w:eastAsia="Calibri" w:hAnsi="Times New Roman" w:cs="Times New Roman"/>
          <w:sz w:val="24"/>
          <w:szCs w:val="24"/>
          <w:lang w:val="sr-Cyrl-RS"/>
        </w:rPr>
        <w:t>ом</w:t>
      </w:r>
      <w:r w:rsidR="00C02DA2" w:rsidRPr="0081082A">
        <w:rPr>
          <w:rFonts w:ascii="Times New Roman" w:eastAsia="Calibri" w:hAnsi="Times New Roman" w:cs="Times New Roman"/>
          <w:sz w:val="24"/>
          <w:szCs w:val="24"/>
          <w:lang w:val="sr-Cyrl-RS"/>
        </w:rPr>
        <w:t xml:space="preserve"> међународних рачуноводствених стандарда за јавни сектор </w:t>
      </w:r>
      <w:r w:rsidR="00B103AC" w:rsidRPr="0081082A">
        <w:rPr>
          <w:rFonts w:ascii="Times New Roman" w:eastAsia="Calibri" w:hAnsi="Times New Roman" w:cs="Times New Roman"/>
          <w:sz w:val="24"/>
          <w:szCs w:val="24"/>
          <w:lang w:val="sr-Cyrl-RS"/>
        </w:rPr>
        <w:t>(</w:t>
      </w:r>
      <w:r w:rsidR="00B103AC" w:rsidRPr="0081082A">
        <w:rPr>
          <w:rFonts w:ascii="Times New Roman" w:eastAsia="Calibri" w:hAnsi="Times New Roman" w:cs="Times New Roman"/>
          <w:i/>
          <w:iCs/>
          <w:sz w:val="24"/>
          <w:szCs w:val="24"/>
          <w:lang w:val="sr-Cyrl-RS"/>
        </w:rPr>
        <w:t>IPSAS</w:t>
      </w:r>
      <w:r w:rsidR="00B103AC" w:rsidRPr="0081082A">
        <w:rPr>
          <w:rFonts w:ascii="Times New Roman" w:eastAsia="Calibri" w:hAnsi="Times New Roman" w:cs="Times New Roman"/>
          <w:sz w:val="24"/>
          <w:szCs w:val="24"/>
          <w:lang w:val="sr-Cyrl-RS"/>
        </w:rPr>
        <w:t>)</w:t>
      </w:r>
      <w:r w:rsidR="00F47A31">
        <w:rPr>
          <w:rFonts w:ascii="Times New Roman" w:eastAsia="Calibri" w:hAnsi="Times New Roman" w:cs="Times New Roman"/>
          <w:sz w:val="24"/>
          <w:szCs w:val="24"/>
        </w:rPr>
        <w:t>,</w:t>
      </w:r>
      <w:r w:rsidR="00C02DA2" w:rsidRPr="0081082A">
        <w:rPr>
          <w:rFonts w:ascii="Times New Roman" w:eastAsia="Calibri" w:hAnsi="Times New Roman" w:cs="Times New Roman"/>
          <w:sz w:val="24"/>
          <w:szCs w:val="24"/>
          <w:lang w:val="sr-Cyrl-RS"/>
        </w:rPr>
        <w:t xml:space="preserve"> </w:t>
      </w:r>
    </w:p>
    <w:p w:rsidR="00300E27" w:rsidRPr="0081082A" w:rsidRDefault="00194A08" w:rsidP="0015513C">
      <w:pPr>
        <w:pStyle w:val="ListParagraph"/>
        <w:numPr>
          <w:ilvl w:val="0"/>
          <w:numId w:val="11"/>
        </w:numPr>
        <w:spacing w:before="10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Посебни циљ VI</w:t>
      </w:r>
      <w:r w:rsidR="00300E27" w:rsidRPr="0081082A">
        <w:rPr>
          <w:rFonts w:ascii="Times New Roman" w:eastAsia="Calibri" w:hAnsi="Times New Roman" w:cs="Times New Roman"/>
          <w:sz w:val="24"/>
          <w:szCs w:val="24"/>
          <w:lang w:val="sr-Cyrl-RS"/>
        </w:rPr>
        <w:t xml:space="preserve"> </w:t>
      </w:r>
      <w:r w:rsidR="002B0582" w:rsidRPr="0081082A">
        <w:rPr>
          <w:rFonts w:ascii="Times New Roman" w:eastAsia="Calibri" w:hAnsi="Times New Roman" w:cs="Times New Roman"/>
          <w:sz w:val="24"/>
          <w:szCs w:val="24"/>
          <w:lang w:val="sr-Cyrl-RS"/>
        </w:rPr>
        <w:t>–</w:t>
      </w:r>
      <w:r w:rsidR="00300E27" w:rsidRPr="0081082A">
        <w:rPr>
          <w:rFonts w:ascii="Times New Roman" w:eastAsia="Calibri" w:hAnsi="Times New Roman" w:cs="Times New Roman"/>
          <w:sz w:val="24"/>
          <w:szCs w:val="24"/>
          <w:lang w:val="sr-Cyrl-RS"/>
        </w:rPr>
        <w:t xml:space="preserve"> </w:t>
      </w:r>
      <w:r w:rsidR="002B0582" w:rsidRPr="0081082A">
        <w:rPr>
          <w:rFonts w:ascii="Times New Roman" w:eastAsia="Calibri" w:hAnsi="Times New Roman" w:cs="Times New Roman"/>
          <w:sz w:val="24"/>
          <w:szCs w:val="24"/>
          <w:lang w:val="sr-Cyrl-RS"/>
        </w:rPr>
        <w:t>Јачање спољног надзора над јавним финансијама.</w:t>
      </w:r>
    </w:p>
    <w:p w:rsidR="00232690" w:rsidRPr="0081082A" w:rsidRDefault="00232690" w:rsidP="00117C23">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Циљеви, мере и активности представљене у сваком посебном циљу ПРУЈФ 2021-2025. треба да допринесу побољшању правног и организационог оквира, кадровских и техничких капацитета области управљања јавним финансијама, ради усклађивања са обавезама из процеса ЕУ интеграција и међународним стандардима. </w:t>
      </w:r>
    </w:p>
    <w:p w:rsidR="00CF2E57" w:rsidRPr="0081082A" w:rsidRDefault="00770F6D" w:rsidP="008774CA">
      <w:pPr>
        <w:spacing w:after="0" w:line="240" w:lineRule="auto"/>
        <w:ind w:firstLine="709"/>
        <w:contextualSpacing/>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ПРУЈФ у наредном петогодишњем периоду фокусиран је на јачање свих сегмената управљања јавним финансијама представљених посебним циљевима, који се</w:t>
      </w:r>
      <w:r w:rsidR="007B2FF8"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пре свега</w:t>
      </w:r>
      <w:r w:rsidR="007B2FF8"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везују за фазе буџетског циклуса, кроз активности унапређења законодавног оквира, јачање административних и техничких капацитета носиоца реформе јавних финансија, уз посебан акценат на процес дигиталне трансформације кроз изградњу и одговарајуће умрежавање софтверских и ИТ капацитета</w:t>
      </w:r>
      <w:r w:rsidR="00D629F0"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и реализацију предузетих обавеза у процесу приступања ЕУ</w:t>
      </w:r>
      <w:r w:rsidR="00D629F0" w:rsidRPr="0081082A">
        <w:rPr>
          <w:rFonts w:ascii="Times New Roman" w:eastAsia="Calibri" w:hAnsi="Times New Roman" w:cs="Times New Roman"/>
          <w:sz w:val="24"/>
          <w:szCs w:val="24"/>
          <w:lang w:val="sr-Cyrl-RS"/>
        </w:rPr>
        <w:t xml:space="preserve"> и усклађивања са међународним стандардима</w:t>
      </w:r>
      <w:r w:rsidRPr="0081082A">
        <w:rPr>
          <w:rFonts w:ascii="Times New Roman" w:eastAsia="Calibri" w:hAnsi="Times New Roman" w:cs="Times New Roman"/>
          <w:sz w:val="24"/>
          <w:szCs w:val="24"/>
          <w:lang w:val="sr-Cyrl-RS"/>
        </w:rPr>
        <w:t xml:space="preserve">. </w:t>
      </w:r>
      <w:r w:rsidR="00062E07" w:rsidRPr="0081082A">
        <w:rPr>
          <w:rFonts w:ascii="Times New Roman" w:eastAsia="Calibri" w:hAnsi="Times New Roman" w:cs="Times New Roman"/>
          <w:sz w:val="24"/>
          <w:szCs w:val="24"/>
          <w:lang w:val="sr-Cyrl-RS"/>
        </w:rPr>
        <w:t xml:space="preserve">Такође, посебна пажња биће посвећена јачању међусобних хоризонталних веза посебних циљева, што је посебно објашњено у посебном циљу </w:t>
      </w:r>
      <w:r w:rsidR="00062E07" w:rsidRPr="0081082A">
        <w:rPr>
          <w:rFonts w:ascii="Times New Roman" w:eastAsia="Calibri" w:hAnsi="Times New Roman" w:cs="Times New Roman"/>
          <w:lang w:val="sr-Cyrl-RS"/>
        </w:rPr>
        <w:t xml:space="preserve">IV – </w:t>
      </w:r>
      <w:r w:rsidR="004555A6" w:rsidRPr="0081082A">
        <w:rPr>
          <w:rFonts w:ascii="Times New Roman" w:eastAsia="Calibri" w:hAnsi="Times New Roman" w:cs="Times New Roman"/>
          <w:lang w:val="sr-Cyrl-RS"/>
        </w:rPr>
        <w:t>УНАПРЕЂЕЊЕ ПРИМЕНЕ СИСТЕМА ИНТЕРНЕ КОНТРОЛЕ У ЈАВНОМ СЕКТОРУ</w:t>
      </w:r>
      <w:r w:rsidR="00062E07" w:rsidRPr="0081082A">
        <w:rPr>
          <w:rFonts w:ascii="Times New Roman" w:eastAsia="Calibri" w:hAnsi="Times New Roman" w:cs="Times New Roman"/>
          <w:lang w:val="sr-Cyrl-RS"/>
        </w:rPr>
        <w:t>.</w:t>
      </w:r>
      <w:r w:rsidR="004555A6" w:rsidRPr="0081082A">
        <w:rPr>
          <w:rFonts w:ascii="Times New Roman" w:eastAsia="Calibri" w:hAnsi="Times New Roman" w:cs="Times New Roman"/>
          <w:lang w:val="sr-Cyrl-RS"/>
        </w:rPr>
        <w:t xml:space="preserve"> </w:t>
      </w:r>
      <w:r w:rsidR="00DA460C" w:rsidRPr="0081082A">
        <w:rPr>
          <w:rFonts w:ascii="Times New Roman" w:eastAsia="Calibri" w:hAnsi="Times New Roman" w:cs="Times New Roman"/>
          <w:sz w:val="24"/>
          <w:szCs w:val="24"/>
          <w:lang w:val="sr-Cyrl-RS"/>
        </w:rPr>
        <w:t>Унапређење к</w:t>
      </w:r>
      <w:r w:rsidR="000656BD">
        <w:rPr>
          <w:rFonts w:ascii="Times New Roman" w:eastAsia="Calibri" w:hAnsi="Times New Roman" w:cs="Times New Roman"/>
          <w:sz w:val="24"/>
          <w:szCs w:val="24"/>
          <w:lang w:val="sr-Cyrl-RS"/>
        </w:rPr>
        <w:t>валитета управљања јавним финан</w:t>
      </w:r>
      <w:r w:rsidR="00DA460C" w:rsidRPr="0081082A">
        <w:rPr>
          <w:rFonts w:ascii="Times New Roman" w:eastAsia="Calibri" w:hAnsi="Times New Roman" w:cs="Times New Roman"/>
          <w:sz w:val="24"/>
          <w:szCs w:val="24"/>
          <w:lang w:val="sr-Cyrl-RS"/>
        </w:rPr>
        <w:t>сијама има</w:t>
      </w:r>
      <w:r w:rsidR="005E0D05" w:rsidRPr="0081082A">
        <w:rPr>
          <w:rFonts w:ascii="Times New Roman" w:eastAsia="Calibri" w:hAnsi="Times New Roman" w:cs="Times New Roman"/>
          <w:sz w:val="24"/>
          <w:szCs w:val="24"/>
          <w:lang w:val="sr-Cyrl-RS"/>
        </w:rPr>
        <w:t xml:space="preserve"> посебан</w:t>
      </w:r>
      <w:r w:rsidR="00DA460C" w:rsidRPr="0081082A">
        <w:rPr>
          <w:rFonts w:ascii="Times New Roman" w:eastAsia="Calibri" w:hAnsi="Times New Roman" w:cs="Times New Roman"/>
          <w:sz w:val="24"/>
          <w:szCs w:val="24"/>
          <w:lang w:val="sr-Cyrl-RS"/>
        </w:rPr>
        <w:t xml:space="preserve"> значај </w:t>
      </w:r>
      <w:r w:rsidR="007B2FF8" w:rsidRPr="0081082A">
        <w:rPr>
          <w:rFonts w:ascii="Times New Roman" w:eastAsia="Calibri" w:hAnsi="Times New Roman" w:cs="Times New Roman"/>
          <w:sz w:val="24"/>
          <w:szCs w:val="24"/>
          <w:lang w:val="sr-Cyrl-RS"/>
        </w:rPr>
        <w:t>з</w:t>
      </w:r>
      <w:r w:rsidR="00DA460C" w:rsidRPr="0081082A">
        <w:rPr>
          <w:rFonts w:ascii="Times New Roman" w:eastAsia="Calibri" w:hAnsi="Times New Roman" w:cs="Times New Roman"/>
          <w:sz w:val="24"/>
          <w:szCs w:val="24"/>
          <w:lang w:val="sr-Cyrl-RS"/>
        </w:rPr>
        <w:t>а унапређење квалитета рада целе државне управе.</w:t>
      </w:r>
    </w:p>
    <w:p w:rsidR="00805C36" w:rsidRPr="0081082A" w:rsidRDefault="00CF2E57" w:rsidP="001C07E0">
      <w:pPr>
        <w:spacing w:after="0" w:line="240" w:lineRule="auto"/>
        <w:ind w:firstLine="709"/>
        <w:contextualSpacing/>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Логичка матрица која приказује општи и посебне циљеве, као и предложене мере приказана је у Анексу Програма.</w:t>
      </w:r>
    </w:p>
    <w:p w:rsidR="00A827B5" w:rsidRPr="0081082A" w:rsidRDefault="00A827B5" w:rsidP="00A827B5">
      <w:pPr>
        <w:spacing w:after="0" w:line="240" w:lineRule="auto"/>
        <w:ind w:firstLine="709"/>
        <w:contextualSpacing/>
        <w:jc w:val="both"/>
        <w:rPr>
          <w:rFonts w:ascii="Times New Roman" w:eastAsia="Calibri" w:hAnsi="Times New Roman" w:cs="Times New Roman"/>
          <w:sz w:val="24"/>
          <w:szCs w:val="24"/>
          <w:lang w:val="sr-Cyrl-RS"/>
        </w:rPr>
      </w:pPr>
    </w:p>
    <w:p w:rsidR="00721398" w:rsidRPr="0081082A" w:rsidRDefault="003D1919" w:rsidP="00721398">
      <w:pPr>
        <w:pStyle w:val="Heading2"/>
        <w:jc w:val="center"/>
        <w:rPr>
          <w:rFonts w:ascii="Times New Roman" w:hAnsi="Times New Roman" w:cs="Times New Roman"/>
          <w:sz w:val="24"/>
          <w:szCs w:val="24"/>
          <w:lang w:val="sr-Cyrl-RS"/>
        </w:rPr>
      </w:pPr>
      <w:bookmarkStart w:id="10" w:name="_Toc72488792"/>
      <w:r w:rsidRPr="0081082A">
        <w:rPr>
          <w:rFonts w:ascii="Times New Roman" w:eastAsia="Calibri" w:hAnsi="Times New Roman" w:cs="Times New Roman"/>
          <w:sz w:val="24"/>
          <w:szCs w:val="24"/>
          <w:lang w:val="sr-Cyrl-RS"/>
        </w:rPr>
        <w:t xml:space="preserve">ПОСЕБНИ ЦИЉ i </w:t>
      </w:r>
      <w:r w:rsidR="008200E4" w:rsidRPr="0081082A">
        <w:rPr>
          <w:rFonts w:ascii="Times New Roman" w:eastAsia="Calibri" w:hAnsi="Times New Roman" w:cs="Times New Roman"/>
          <w:sz w:val="24"/>
          <w:szCs w:val="24"/>
          <w:lang w:val="sr-Cyrl-RS"/>
        </w:rPr>
        <w:t xml:space="preserve">- </w:t>
      </w:r>
      <w:r w:rsidR="00721398" w:rsidRPr="0081082A">
        <w:rPr>
          <w:rFonts w:ascii="Times New Roman" w:eastAsia="Calibri" w:hAnsi="Times New Roman" w:cs="Times New Roman"/>
          <w:sz w:val="24"/>
          <w:szCs w:val="24"/>
          <w:lang w:val="sr-Cyrl-RS"/>
        </w:rPr>
        <w:t>УНАПРЕЂЕНИ КАПАЦИТЕТИ ЗА БУЏЕТСКО ПЛАНИРАЊЕ И УПРАВЉАЊЕ ЈАВНИМ ИНВЕСТИЦИЈАМА</w:t>
      </w:r>
      <w:bookmarkEnd w:id="10"/>
      <w:r w:rsidR="00D73DF4" w:rsidRPr="0081082A">
        <w:rPr>
          <w:rFonts w:ascii="Times New Roman" w:eastAsia="Calibri" w:hAnsi="Times New Roman" w:cs="Times New Roman"/>
          <w:sz w:val="24"/>
          <w:szCs w:val="24"/>
          <w:lang w:val="sr-Cyrl-RS"/>
        </w:rPr>
        <w:t xml:space="preserve"> И ПРАЋЕЊЕ ФИСКАЛНИХ РИЗИКА</w:t>
      </w:r>
    </w:p>
    <w:p w:rsidR="00721398" w:rsidRPr="0081082A" w:rsidRDefault="00721398" w:rsidP="00FF7AA9">
      <w:pPr>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t>Планирање и буџетирање јавних расхода на транспарентан и делотворан начин представља један од кључних сегмената адекватног управљања јавним финансијама. Прелазак са линијског буџета заснованог на врсти трошкова на програмски буџет од 2015. године</w:t>
      </w:r>
      <w:r w:rsidR="002C50C8" w:rsidRPr="0081082A">
        <w:rPr>
          <w:rFonts w:ascii="Times New Roman" w:hAnsi="Times New Roman" w:cs="Times New Roman"/>
          <w:sz w:val="24"/>
          <w:lang w:val="sr-Cyrl-RS"/>
        </w:rPr>
        <w:t>,</w:t>
      </w:r>
      <w:r w:rsidRPr="0081082A">
        <w:rPr>
          <w:rFonts w:ascii="Times New Roman" w:hAnsi="Times New Roman"/>
          <w:sz w:val="24"/>
          <w:lang w:val="sr-Cyrl-RS"/>
        </w:rPr>
        <w:t xml:space="preserve"> створио је базу за сагледавање везе између</w:t>
      </w:r>
      <w:r w:rsidR="002C50C8" w:rsidRPr="0081082A">
        <w:rPr>
          <w:rFonts w:ascii="Times New Roman" w:hAnsi="Times New Roman" w:cs="Times New Roman"/>
          <w:sz w:val="24"/>
          <w:lang w:val="sr-Cyrl-RS"/>
        </w:rPr>
        <w:t xml:space="preserve"> јавних</w:t>
      </w:r>
      <w:r w:rsidRPr="0081082A">
        <w:rPr>
          <w:rFonts w:ascii="Times New Roman" w:hAnsi="Times New Roman"/>
          <w:sz w:val="24"/>
          <w:lang w:val="sr-Cyrl-RS"/>
        </w:rPr>
        <w:t xml:space="preserve"> политика Владе, расположивих ресурса и остварених резултата буџетских програма. У односу на традиционални линијски буџет, програмски буџет захтева од буџетских корисника да поднесу информације о својим циљевима, програмима и активностима, на основу чега Министарство финансија доноси одлуку о расподели буџетских средстава и </w:t>
      </w:r>
      <w:r w:rsidR="007D5B2E" w:rsidRPr="0081082A">
        <w:rPr>
          <w:rFonts w:ascii="Times New Roman" w:hAnsi="Times New Roman"/>
          <w:sz w:val="24"/>
          <w:lang w:val="sr-Cyrl-RS"/>
        </w:rPr>
        <w:t xml:space="preserve">утврђених </w:t>
      </w:r>
      <w:r w:rsidRPr="0081082A">
        <w:rPr>
          <w:rFonts w:ascii="Times New Roman" w:hAnsi="Times New Roman"/>
          <w:sz w:val="24"/>
          <w:lang w:val="sr-Cyrl-RS"/>
        </w:rPr>
        <w:t>лимита за сваког од корисника. Тиме програмско буџетирање представља систем у коме се додела средстава базира на учинку</w:t>
      </w:r>
      <w:r w:rsidR="00A545D2" w:rsidRPr="0081082A">
        <w:rPr>
          <w:rFonts w:ascii="Times New Roman" w:hAnsi="Times New Roman"/>
          <w:sz w:val="24"/>
          <w:lang w:val="sr-Cyrl-RS"/>
        </w:rPr>
        <w:t>,</w:t>
      </w:r>
      <w:r w:rsidRPr="0081082A">
        <w:rPr>
          <w:rFonts w:ascii="Times New Roman" w:hAnsi="Times New Roman"/>
          <w:sz w:val="24"/>
          <w:lang w:val="sr-Cyrl-RS"/>
        </w:rPr>
        <w:t xml:space="preserve"> односно резултатима институција, док уједно даје одговоре на питања шта су њихови краткорочни и дугорочни циљеви и колико кошта њихово постизање. </w:t>
      </w:r>
      <w:r w:rsidR="002C50C8" w:rsidRPr="0081082A">
        <w:rPr>
          <w:rFonts w:ascii="Times New Roman" w:hAnsi="Times New Roman" w:cs="Times New Roman"/>
          <w:sz w:val="24"/>
          <w:lang w:val="sr-Cyrl-RS"/>
        </w:rPr>
        <w:t xml:space="preserve">Додатно, повезивање докумената јавних политика са програмским буџетом, </w:t>
      </w:r>
      <w:r w:rsidR="00A403BC" w:rsidRPr="0081082A">
        <w:rPr>
          <w:rFonts w:ascii="Times New Roman" w:hAnsi="Times New Roman" w:cs="Times New Roman"/>
          <w:sz w:val="24"/>
          <w:lang w:val="sr-Cyrl-RS"/>
        </w:rPr>
        <w:t xml:space="preserve">путем средњорочних планова, </w:t>
      </w:r>
      <w:r w:rsidR="002C50C8" w:rsidRPr="0081082A">
        <w:rPr>
          <w:rFonts w:ascii="Times New Roman" w:hAnsi="Times New Roman" w:cs="Times New Roman"/>
          <w:sz w:val="24"/>
          <w:lang w:val="sr-Cyrl-RS"/>
        </w:rPr>
        <w:t>омогућава праћење трошкова спровођења и</w:t>
      </w:r>
      <w:r w:rsidR="008200E4" w:rsidRPr="0081082A">
        <w:rPr>
          <w:rFonts w:ascii="Times New Roman" w:hAnsi="Times New Roman" w:cs="Times New Roman"/>
          <w:sz w:val="24"/>
          <w:lang w:val="sr-Cyrl-RS"/>
        </w:rPr>
        <w:t>,</w:t>
      </w:r>
      <w:r w:rsidR="002C50C8" w:rsidRPr="0081082A">
        <w:rPr>
          <w:rFonts w:ascii="Times New Roman" w:hAnsi="Times New Roman" w:cs="Times New Roman"/>
          <w:sz w:val="24"/>
          <w:lang w:val="sr-Cyrl-RS"/>
        </w:rPr>
        <w:t xml:space="preserve"> као најважније</w:t>
      </w:r>
      <w:r w:rsidR="008200E4" w:rsidRPr="0081082A">
        <w:rPr>
          <w:rFonts w:ascii="Times New Roman" w:hAnsi="Times New Roman" w:cs="Times New Roman"/>
          <w:sz w:val="24"/>
          <w:lang w:val="sr-Cyrl-RS"/>
        </w:rPr>
        <w:t>,</w:t>
      </w:r>
      <w:r w:rsidR="002C50C8" w:rsidRPr="0081082A">
        <w:rPr>
          <w:rFonts w:ascii="Times New Roman" w:hAnsi="Times New Roman" w:cs="Times New Roman"/>
          <w:sz w:val="24"/>
          <w:lang w:val="sr-Cyrl-RS"/>
        </w:rPr>
        <w:t xml:space="preserve"> праћење исхода и ефеката јавних политика.</w:t>
      </w:r>
      <w:r w:rsidRPr="0081082A">
        <w:rPr>
          <w:rFonts w:ascii="Times New Roman" w:hAnsi="Times New Roman"/>
          <w:sz w:val="24"/>
          <w:lang w:val="sr-Cyrl-RS"/>
        </w:rPr>
        <w:t xml:space="preserve"> </w:t>
      </w:r>
    </w:p>
    <w:p w:rsidR="00A26615" w:rsidRPr="0081082A" w:rsidRDefault="00A26615" w:rsidP="00686840">
      <w:pPr>
        <w:spacing w:after="0" w:line="240" w:lineRule="auto"/>
        <w:ind w:firstLine="706"/>
        <w:jc w:val="both"/>
        <w:rPr>
          <w:rFonts w:ascii="Times New Roman" w:hAnsi="Times New Roman"/>
          <w:sz w:val="24"/>
          <w:lang w:val="sr-Cyrl-RS"/>
        </w:rPr>
      </w:pPr>
      <w:r w:rsidRPr="0081082A">
        <w:rPr>
          <w:rFonts w:ascii="Times New Roman" w:hAnsi="Times New Roman"/>
          <w:sz w:val="24"/>
          <w:lang w:val="sr-Cyrl-RS"/>
        </w:rPr>
        <w:lastRenderedPageBreak/>
        <w:t>Непотпуна примена процеса праћења јавних инвестиција и неразвијен процес праћења фискалних ризика доприноси рањивости буџетског процеса. Недовољни административни капацитети додатно утичу на ове процесе.  Недовољно развијено средњорочно планирање проузрокује неусаглашеност циљева који су утврђени планским документима</w:t>
      </w:r>
      <w:r w:rsidR="008200E4" w:rsidRPr="0081082A">
        <w:rPr>
          <w:rFonts w:ascii="Times New Roman" w:hAnsi="Times New Roman"/>
          <w:sz w:val="24"/>
          <w:lang w:val="sr-Cyrl-RS"/>
        </w:rPr>
        <w:t>,</w:t>
      </w:r>
      <w:r w:rsidRPr="0081082A">
        <w:rPr>
          <w:rFonts w:ascii="Times New Roman" w:hAnsi="Times New Roman"/>
          <w:sz w:val="24"/>
          <w:lang w:val="sr-Cyrl-RS"/>
        </w:rPr>
        <w:t xml:space="preserve"> са циљевима утврђеним програмским буџетом, као и неусаглашеност процењених трошкова са средњорочним оквиром расхода утврђеним Законом о буџету. </w:t>
      </w:r>
    </w:p>
    <w:p w:rsidR="00686840" w:rsidRPr="0081082A" w:rsidRDefault="008200E4" w:rsidP="008774CA">
      <w:pPr>
        <w:spacing w:after="0" w:line="240" w:lineRule="auto"/>
        <w:ind w:firstLine="706"/>
        <w:jc w:val="both"/>
        <w:rPr>
          <w:rFonts w:ascii="Times New Roman" w:eastAsia="Calibri" w:hAnsi="Times New Roman" w:cs="Times New Roman"/>
          <w:bCs/>
          <w:sz w:val="24"/>
          <w:szCs w:val="24"/>
          <w:shd w:val="clear" w:color="auto" w:fill="FFFFFF"/>
          <w:lang w:val="sr-Cyrl-RS"/>
        </w:rPr>
      </w:pPr>
      <w:r w:rsidRPr="0081082A">
        <w:rPr>
          <w:rFonts w:ascii="Times New Roman" w:hAnsi="Times New Roman" w:cs="Times New Roman"/>
          <w:sz w:val="24"/>
          <w:lang w:val="sr-Cyrl-RS"/>
        </w:rPr>
        <w:t xml:space="preserve">Унапређење </w:t>
      </w:r>
      <w:r w:rsidR="002C50C8" w:rsidRPr="0081082A">
        <w:rPr>
          <w:rFonts w:ascii="Times New Roman" w:hAnsi="Times New Roman" w:cs="Times New Roman"/>
          <w:sz w:val="24"/>
          <w:lang w:val="sr-Cyrl-RS"/>
        </w:rPr>
        <w:t xml:space="preserve">програмског буџета треба да допринесе и квалитету вишегодишњег планирања. У општем делу </w:t>
      </w:r>
      <w:r w:rsidR="00DD4B24" w:rsidRPr="0081082A">
        <w:rPr>
          <w:rFonts w:ascii="Times New Roman" w:hAnsi="Times New Roman" w:cs="Times New Roman"/>
          <w:sz w:val="24"/>
          <w:lang w:val="sr-Cyrl-RS"/>
        </w:rPr>
        <w:t>з</w:t>
      </w:r>
      <w:r w:rsidR="002C50C8" w:rsidRPr="0081082A">
        <w:rPr>
          <w:rFonts w:ascii="Times New Roman" w:hAnsi="Times New Roman" w:cs="Times New Roman"/>
          <w:sz w:val="24"/>
          <w:lang w:val="sr-Cyrl-RS"/>
        </w:rPr>
        <w:t xml:space="preserve">акона </w:t>
      </w:r>
      <w:r w:rsidR="00DD4B24" w:rsidRPr="0081082A">
        <w:rPr>
          <w:rFonts w:ascii="Times New Roman" w:hAnsi="Times New Roman" w:cs="Times New Roman"/>
          <w:sz w:val="24"/>
          <w:lang w:val="sr-Cyrl-RS"/>
        </w:rPr>
        <w:t>к</w:t>
      </w:r>
      <w:r w:rsidR="002C50C8" w:rsidRPr="0081082A">
        <w:rPr>
          <w:rFonts w:ascii="Times New Roman" w:hAnsi="Times New Roman" w:cs="Times New Roman"/>
          <w:sz w:val="24"/>
          <w:lang w:val="sr-Cyrl-RS"/>
        </w:rPr>
        <w:t>о</w:t>
      </w:r>
      <w:r w:rsidR="00DD4B24" w:rsidRPr="0081082A">
        <w:rPr>
          <w:rFonts w:ascii="Times New Roman" w:hAnsi="Times New Roman" w:cs="Times New Roman"/>
          <w:sz w:val="24"/>
          <w:lang w:val="sr-Cyrl-RS"/>
        </w:rPr>
        <w:t>ји уређује</w:t>
      </w:r>
      <w:r w:rsidR="002C50C8" w:rsidRPr="0081082A">
        <w:rPr>
          <w:rFonts w:ascii="Times New Roman" w:hAnsi="Times New Roman" w:cs="Times New Roman"/>
          <w:sz w:val="24"/>
          <w:lang w:val="sr-Cyrl-RS"/>
        </w:rPr>
        <w:t xml:space="preserve"> буџет Р</w:t>
      </w:r>
      <w:r w:rsidR="00D539B3" w:rsidRPr="0081082A">
        <w:rPr>
          <w:rFonts w:ascii="Times New Roman" w:hAnsi="Times New Roman" w:cs="Times New Roman"/>
          <w:sz w:val="24"/>
          <w:lang w:val="sr-Cyrl-RS"/>
        </w:rPr>
        <w:t xml:space="preserve">епублике </w:t>
      </w:r>
      <w:r w:rsidR="002C50C8" w:rsidRPr="0081082A">
        <w:rPr>
          <w:rFonts w:ascii="Times New Roman" w:hAnsi="Times New Roman" w:cs="Times New Roman"/>
          <w:sz w:val="24"/>
          <w:lang w:val="sr-Cyrl-RS"/>
        </w:rPr>
        <w:t>С</w:t>
      </w:r>
      <w:r w:rsidR="00D539B3" w:rsidRPr="0081082A">
        <w:rPr>
          <w:rFonts w:ascii="Times New Roman" w:hAnsi="Times New Roman" w:cs="Times New Roman"/>
          <w:sz w:val="24"/>
          <w:lang w:val="sr-Cyrl-RS"/>
        </w:rPr>
        <w:t>рбије</w:t>
      </w:r>
      <w:r w:rsidR="002C50C8" w:rsidRPr="0081082A">
        <w:rPr>
          <w:rFonts w:ascii="Times New Roman" w:hAnsi="Times New Roman" w:cs="Times New Roman"/>
          <w:sz w:val="24"/>
          <w:lang w:val="sr-Cyrl-RS"/>
        </w:rPr>
        <w:t xml:space="preserve"> прво су почели да се исказују </w:t>
      </w:r>
      <w:r w:rsidRPr="0081082A">
        <w:rPr>
          <w:rFonts w:ascii="Times New Roman" w:hAnsi="Times New Roman" w:cs="Times New Roman"/>
          <w:sz w:val="24"/>
          <w:lang w:val="sr-Cyrl-RS"/>
        </w:rPr>
        <w:t xml:space="preserve">капитални издаци </w:t>
      </w:r>
      <w:r w:rsidR="002C50C8" w:rsidRPr="0081082A">
        <w:rPr>
          <w:rFonts w:ascii="Times New Roman" w:hAnsi="Times New Roman" w:cs="Times New Roman"/>
          <w:sz w:val="24"/>
          <w:lang w:val="sr-Cyrl-RS"/>
        </w:rPr>
        <w:t xml:space="preserve">за период од три године, као најчешћи вишегодишњи издаци. Имајући у виду њихов значај, управљање инвестицијама представља </w:t>
      </w:r>
      <w:r w:rsidR="002C50C8" w:rsidRPr="0081082A">
        <w:rPr>
          <w:rFonts w:ascii="Times New Roman" w:eastAsia="Calibri" w:hAnsi="Times New Roman" w:cs="Times New Roman"/>
          <w:bCs/>
          <w:sz w:val="24"/>
          <w:szCs w:val="24"/>
          <w:shd w:val="clear" w:color="auto" w:fill="FFFFFF"/>
          <w:lang w:val="sr-Cyrl-RS"/>
        </w:rPr>
        <w:t>један је од најважнијих приоритетних циљева Владе. Спроведене анализе показале су да недостатак средстава није био разлог лоше реализације капиталних издатака, али је неспорно да непрепознавање могућих фискалних ризика може утицати на стабилност јавних финансија и успоравање реализације. У циљу ефикасног управљања имовином и обавезама</w:t>
      </w:r>
      <w:r w:rsidRPr="0081082A">
        <w:rPr>
          <w:rFonts w:ascii="Times New Roman" w:eastAsia="Calibri" w:hAnsi="Times New Roman" w:cs="Times New Roman"/>
          <w:bCs/>
          <w:sz w:val="24"/>
          <w:szCs w:val="24"/>
          <w:shd w:val="clear" w:color="auto" w:fill="FFFFFF"/>
          <w:lang w:val="sr-Cyrl-RS"/>
        </w:rPr>
        <w:t>,</w:t>
      </w:r>
      <w:r w:rsidR="002C50C8" w:rsidRPr="0081082A">
        <w:rPr>
          <w:rFonts w:ascii="Times New Roman" w:eastAsia="Calibri" w:hAnsi="Times New Roman" w:cs="Times New Roman"/>
          <w:bCs/>
          <w:sz w:val="24"/>
          <w:szCs w:val="24"/>
          <w:shd w:val="clear" w:color="auto" w:fill="FFFFFF"/>
          <w:lang w:val="sr-Cyrl-RS"/>
        </w:rPr>
        <w:t xml:space="preserve"> Министарство финансија предузима мере за јачање капацитета за праћење фискалних ризика.</w:t>
      </w:r>
    </w:p>
    <w:p w:rsidR="008200E4" w:rsidRPr="0081082A" w:rsidRDefault="008200E4" w:rsidP="008774CA">
      <w:pPr>
        <w:spacing w:after="0" w:line="240" w:lineRule="auto"/>
        <w:ind w:firstLine="706"/>
        <w:jc w:val="both"/>
        <w:rPr>
          <w:rFonts w:ascii="Times New Roman" w:eastAsia="Calibri" w:hAnsi="Times New Roman" w:cs="Times New Roman"/>
          <w:bCs/>
          <w:sz w:val="24"/>
          <w:szCs w:val="24"/>
          <w:shd w:val="clear" w:color="auto" w:fill="FFFFFF"/>
          <w:lang w:val="sr-Cyrl-RS"/>
        </w:rPr>
      </w:pPr>
    </w:p>
    <w:p w:rsidR="00721398" w:rsidRPr="0081082A" w:rsidRDefault="00DA5791" w:rsidP="00721398">
      <w:pPr>
        <w:pStyle w:val="Heading2"/>
        <w:jc w:val="center"/>
        <w:rPr>
          <w:rFonts w:ascii="Times New Roman" w:eastAsia="Calibri" w:hAnsi="Times New Roman" w:cs="Times New Roman"/>
          <w:sz w:val="24"/>
          <w:szCs w:val="24"/>
          <w:lang w:val="sr-Cyrl-RS"/>
        </w:rPr>
      </w:pPr>
      <w:bookmarkStart w:id="11" w:name="_Toc72488793"/>
      <w:r w:rsidRPr="0081082A">
        <w:rPr>
          <w:rFonts w:ascii="Times New Roman" w:eastAsia="Calibri" w:hAnsi="Times New Roman" w:cs="Times New Roman"/>
          <w:sz w:val="24"/>
          <w:szCs w:val="24"/>
          <w:lang w:val="sr-Cyrl-RS"/>
        </w:rPr>
        <w:t>ДОСАДАШЊИ РЕЗУЛТАТИ РЕФОРМЕ</w:t>
      </w:r>
      <w:bookmarkEnd w:id="11"/>
    </w:p>
    <w:p w:rsidR="00721398" w:rsidRPr="0081082A" w:rsidRDefault="00721398" w:rsidP="00FF7AA9">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 xml:space="preserve">Повећање квалитета израде програмског буџета у </w:t>
      </w:r>
      <w:r w:rsidR="002C50C8" w:rsidRPr="0081082A">
        <w:rPr>
          <w:rFonts w:ascii="Times New Roman" w:hAnsi="Times New Roman"/>
          <w:sz w:val="24"/>
          <w:lang w:val="sr-Cyrl-RS"/>
        </w:rPr>
        <w:t>Р</w:t>
      </w:r>
      <w:r w:rsidR="00D539B3" w:rsidRPr="0081082A">
        <w:rPr>
          <w:rFonts w:ascii="Times New Roman" w:hAnsi="Times New Roman"/>
          <w:sz w:val="24"/>
          <w:lang w:val="sr-Cyrl-RS"/>
        </w:rPr>
        <w:t xml:space="preserve">епублике </w:t>
      </w:r>
      <w:r w:rsidR="002C50C8" w:rsidRPr="0081082A">
        <w:rPr>
          <w:rFonts w:ascii="Times New Roman" w:hAnsi="Times New Roman"/>
          <w:sz w:val="24"/>
          <w:lang w:val="sr-Cyrl-RS"/>
        </w:rPr>
        <w:t>С</w:t>
      </w:r>
      <w:r w:rsidR="00D539B3" w:rsidRPr="0081082A">
        <w:rPr>
          <w:rFonts w:ascii="Times New Roman" w:hAnsi="Times New Roman"/>
          <w:sz w:val="24"/>
          <w:lang w:val="sr-Cyrl-RS"/>
        </w:rPr>
        <w:t>рбије</w:t>
      </w:r>
      <w:r w:rsidRPr="0081082A">
        <w:rPr>
          <w:rFonts w:ascii="Times New Roman" w:hAnsi="Times New Roman"/>
          <w:sz w:val="24"/>
          <w:lang w:val="sr-Cyrl-RS"/>
        </w:rPr>
        <w:t xml:space="preserve"> из године у годину је</w:t>
      </w:r>
      <w:r w:rsidR="002C50C8" w:rsidRPr="0081082A">
        <w:rPr>
          <w:rFonts w:ascii="Times New Roman" w:hAnsi="Times New Roman"/>
          <w:sz w:val="24"/>
          <w:lang w:val="sr-Cyrl-RS"/>
        </w:rPr>
        <w:t>,</w:t>
      </w:r>
      <w:r w:rsidRPr="0081082A">
        <w:rPr>
          <w:rFonts w:ascii="Times New Roman" w:hAnsi="Times New Roman"/>
          <w:sz w:val="24"/>
          <w:lang w:val="sr-Cyrl-RS"/>
        </w:rPr>
        <w:t xml:space="preserve"> са једне стране</w:t>
      </w:r>
      <w:r w:rsidR="002C50C8" w:rsidRPr="0081082A">
        <w:rPr>
          <w:rFonts w:ascii="Times New Roman" w:hAnsi="Times New Roman"/>
          <w:sz w:val="24"/>
          <w:lang w:val="sr-Cyrl-RS"/>
        </w:rPr>
        <w:t>,</w:t>
      </w:r>
      <w:r w:rsidRPr="0081082A">
        <w:rPr>
          <w:rFonts w:ascii="Times New Roman" w:hAnsi="Times New Roman"/>
          <w:sz w:val="24"/>
          <w:lang w:val="sr-Cyrl-RS"/>
        </w:rPr>
        <w:t xml:space="preserve"> резултат унапређења структуре програмског буџета, а са друге </w:t>
      </w:r>
      <w:r w:rsidR="002C50C8" w:rsidRPr="0081082A">
        <w:rPr>
          <w:rFonts w:ascii="Times New Roman" w:hAnsi="Times New Roman"/>
          <w:sz w:val="24"/>
          <w:lang w:val="sr-Cyrl-RS"/>
        </w:rPr>
        <w:t xml:space="preserve">стране - резултат </w:t>
      </w:r>
      <w:r w:rsidRPr="0081082A">
        <w:rPr>
          <w:rFonts w:ascii="Times New Roman" w:hAnsi="Times New Roman"/>
          <w:sz w:val="24"/>
          <w:lang w:val="sr-Cyrl-RS"/>
        </w:rPr>
        <w:t>континуираног стицања знања и искуства корисника јавних средстава о припреми и извештавању кроз организоване обуке преко Националне академије за јавну управу (</w:t>
      </w:r>
      <w:r w:rsidR="002C50C8" w:rsidRPr="0081082A">
        <w:rPr>
          <w:rFonts w:ascii="Times New Roman" w:hAnsi="Times New Roman"/>
          <w:sz w:val="24"/>
          <w:lang w:val="sr-Cyrl-RS"/>
        </w:rPr>
        <w:t xml:space="preserve">у даљем тексту: </w:t>
      </w:r>
      <w:r w:rsidRPr="0081082A">
        <w:rPr>
          <w:rFonts w:ascii="Times New Roman" w:hAnsi="Times New Roman"/>
          <w:sz w:val="24"/>
          <w:lang w:val="sr-Cyrl-RS"/>
        </w:rPr>
        <w:t>НАЈУ</w:t>
      </w:r>
      <w:r w:rsidR="002C50C8" w:rsidRPr="0081082A">
        <w:rPr>
          <w:rFonts w:ascii="Times New Roman" w:hAnsi="Times New Roman"/>
          <w:sz w:val="24"/>
          <w:lang w:val="sr-Cyrl-RS"/>
        </w:rPr>
        <w:t>)</w:t>
      </w:r>
      <w:r w:rsidR="002C50C8" w:rsidRPr="0081082A">
        <w:rPr>
          <w:rStyle w:val="FootnoteReference"/>
          <w:rFonts w:ascii="Times New Roman" w:hAnsi="Times New Roman"/>
          <w:sz w:val="24"/>
          <w:lang w:val="sr-Cyrl-RS"/>
        </w:rPr>
        <w:footnoteReference w:id="28"/>
      </w:r>
      <w:r w:rsidR="002C50C8" w:rsidRPr="0081082A">
        <w:rPr>
          <w:rFonts w:ascii="Times New Roman" w:hAnsi="Times New Roman"/>
          <w:sz w:val="24"/>
          <w:lang w:val="sr-Cyrl-RS"/>
        </w:rPr>
        <w:t>.</w:t>
      </w:r>
      <w:r w:rsidRPr="0081082A">
        <w:rPr>
          <w:rFonts w:ascii="Times New Roman" w:hAnsi="Times New Roman"/>
          <w:sz w:val="24"/>
          <w:lang w:val="sr-Cyrl-RS"/>
        </w:rPr>
        <w:t xml:space="preserve"> План је био да 100% корисника </w:t>
      </w:r>
      <w:r w:rsidR="002C50C8" w:rsidRPr="0081082A">
        <w:rPr>
          <w:rFonts w:ascii="Times New Roman" w:hAnsi="Times New Roman"/>
          <w:sz w:val="24"/>
          <w:lang w:val="sr-Cyrl-RS"/>
        </w:rPr>
        <w:t xml:space="preserve">буџетских средстава на свим нивоима власти, </w:t>
      </w:r>
      <w:r w:rsidR="007D5B2E" w:rsidRPr="0081082A">
        <w:rPr>
          <w:rFonts w:ascii="Times New Roman" w:hAnsi="Times New Roman"/>
          <w:sz w:val="24"/>
          <w:lang w:val="sr-Cyrl-RS"/>
        </w:rPr>
        <w:t xml:space="preserve">искаже </w:t>
      </w:r>
      <w:r w:rsidR="002C50C8" w:rsidRPr="0081082A">
        <w:rPr>
          <w:rFonts w:ascii="Times New Roman" w:hAnsi="Times New Roman"/>
          <w:sz w:val="24"/>
          <w:lang w:val="sr-Cyrl-RS"/>
        </w:rPr>
        <w:t xml:space="preserve">програмску структуру </w:t>
      </w:r>
      <w:r w:rsidRPr="0081082A">
        <w:rPr>
          <w:rFonts w:ascii="Times New Roman" w:hAnsi="Times New Roman"/>
          <w:sz w:val="24"/>
          <w:lang w:val="sr-Cyrl-RS"/>
        </w:rPr>
        <w:t xml:space="preserve">у </w:t>
      </w:r>
      <w:r w:rsidR="002C50C8" w:rsidRPr="0081082A">
        <w:rPr>
          <w:rFonts w:ascii="Times New Roman" w:hAnsi="Times New Roman"/>
          <w:sz w:val="24"/>
          <w:lang w:val="sr-Cyrl-RS"/>
        </w:rPr>
        <w:t>складу са Упутством за израду програмског буџета</w:t>
      </w:r>
      <w:r w:rsidR="002C50C8" w:rsidRPr="0081082A">
        <w:rPr>
          <w:rStyle w:val="FootnoteReference"/>
          <w:rFonts w:ascii="Times New Roman" w:hAnsi="Times New Roman"/>
          <w:sz w:val="24"/>
          <w:lang w:val="sr-Cyrl-RS"/>
        </w:rPr>
        <w:footnoteReference w:id="29"/>
      </w:r>
      <w:r w:rsidR="002C50C8" w:rsidRPr="0081082A">
        <w:rPr>
          <w:rFonts w:ascii="Times New Roman" w:hAnsi="Times New Roman"/>
          <w:sz w:val="24"/>
          <w:lang w:val="sr-Cyrl-RS"/>
        </w:rPr>
        <w:t>, те је,</w:t>
      </w:r>
      <w:r w:rsidRPr="0081082A">
        <w:rPr>
          <w:rFonts w:ascii="Times New Roman" w:hAnsi="Times New Roman"/>
          <w:sz w:val="24"/>
          <w:lang w:val="sr-Cyrl-RS"/>
        </w:rPr>
        <w:t xml:space="preserve"> у складу са тим</w:t>
      </w:r>
      <w:r w:rsidR="002C50C8" w:rsidRPr="0081082A">
        <w:rPr>
          <w:rFonts w:ascii="Times New Roman" w:hAnsi="Times New Roman"/>
          <w:sz w:val="24"/>
          <w:lang w:val="sr-Cyrl-RS"/>
        </w:rPr>
        <w:t>,</w:t>
      </w:r>
      <w:r w:rsidRPr="0081082A">
        <w:rPr>
          <w:rFonts w:ascii="Times New Roman" w:hAnsi="Times New Roman"/>
          <w:sz w:val="24"/>
          <w:lang w:val="sr-Cyrl-RS"/>
        </w:rPr>
        <w:t xml:space="preserve"> Министарство финансија уложило значајне напоре у повећање квалитета буџетског процеса и његове транспарентности. Проценат усаглашености буџетских корисника са </w:t>
      </w:r>
      <w:r w:rsidR="002C50C8" w:rsidRPr="0081082A">
        <w:rPr>
          <w:rFonts w:ascii="Times New Roman" w:hAnsi="Times New Roman" w:cs="Times New Roman"/>
          <w:sz w:val="24"/>
          <w:lang w:val="sr-Cyrl-RS"/>
        </w:rPr>
        <w:t>Упутством</w:t>
      </w:r>
      <w:r w:rsidRPr="0081082A">
        <w:rPr>
          <w:rFonts w:ascii="Times New Roman" w:hAnsi="Times New Roman"/>
          <w:sz w:val="24"/>
          <w:lang w:val="sr-Cyrl-RS"/>
        </w:rPr>
        <w:t xml:space="preserve"> за израду програмског буџета бележио је раст из године у годину, од 61% у 2015. години до </w:t>
      </w:r>
      <w:r w:rsidR="005D177F" w:rsidRPr="0081082A">
        <w:rPr>
          <w:rFonts w:ascii="Times New Roman" w:hAnsi="Times New Roman"/>
          <w:sz w:val="24"/>
          <w:lang w:val="sr-Cyrl-RS"/>
        </w:rPr>
        <w:t>92</w:t>
      </w:r>
      <w:r w:rsidRPr="0081082A">
        <w:rPr>
          <w:rFonts w:ascii="Times New Roman" w:hAnsi="Times New Roman"/>
          <w:sz w:val="24"/>
          <w:lang w:val="sr-Cyrl-RS"/>
        </w:rPr>
        <w:t>% у 20</w:t>
      </w:r>
      <w:r w:rsidR="005D177F" w:rsidRPr="0081082A">
        <w:rPr>
          <w:rFonts w:ascii="Times New Roman" w:hAnsi="Times New Roman"/>
          <w:sz w:val="24"/>
          <w:lang w:val="sr-Cyrl-RS"/>
        </w:rPr>
        <w:t>20</w:t>
      </w:r>
      <w:r w:rsidRPr="0081082A">
        <w:rPr>
          <w:rFonts w:ascii="Times New Roman" w:hAnsi="Times New Roman"/>
          <w:sz w:val="24"/>
          <w:lang w:val="sr-Cyrl-RS"/>
        </w:rPr>
        <w:t xml:space="preserve">. години. Са друге стране, проценат </w:t>
      </w:r>
      <w:r w:rsidR="002C50C8" w:rsidRPr="0081082A">
        <w:rPr>
          <w:rFonts w:ascii="Times New Roman" w:hAnsi="Times New Roman" w:cs="Times New Roman"/>
          <w:sz w:val="24"/>
          <w:lang w:val="sr-Cyrl-RS"/>
        </w:rPr>
        <w:t>ЈЛС</w:t>
      </w:r>
      <w:r w:rsidRPr="0081082A">
        <w:rPr>
          <w:rFonts w:ascii="Times New Roman" w:hAnsi="Times New Roman"/>
          <w:sz w:val="24"/>
          <w:lang w:val="sr-Cyrl-RS"/>
        </w:rPr>
        <w:t xml:space="preserve"> чији су буџети припремљени у складу са </w:t>
      </w:r>
      <w:r w:rsidR="002C50C8" w:rsidRPr="0081082A">
        <w:rPr>
          <w:rFonts w:ascii="Times New Roman" w:hAnsi="Times New Roman" w:cs="Times New Roman"/>
          <w:sz w:val="24"/>
          <w:lang w:val="sr-Cyrl-RS"/>
        </w:rPr>
        <w:t>Упутством</w:t>
      </w:r>
      <w:r w:rsidRPr="0081082A">
        <w:rPr>
          <w:rFonts w:ascii="Times New Roman" w:hAnsi="Times New Roman"/>
          <w:sz w:val="24"/>
          <w:lang w:val="sr-Cyrl-RS"/>
        </w:rPr>
        <w:t xml:space="preserve"> </w:t>
      </w:r>
      <w:r w:rsidR="0006580D" w:rsidRPr="0081082A">
        <w:rPr>
          <w:rFonts w:ascii="Times New Roman" w:hAnsi="Times New Roman"/>
          <w:sz w:val="24"/>
          <w:lang w:val="sr-Cyrl-RS"/>
        </w:rPr>
        <w:t xml:space="preserve">за израду програмског буџета </w:t>
      </w:r>
      <w:r w:rsidRPr="0081082A">
        <w:rPr>
          <w:rFonts w:ascii="Times New Roman" w:hAnsi="Times New Roman"/>
          <w:sz w:val="24"/>
          <w:lang w:val="sr-Cyrl-RS"/>
        </w:rPr>
        <w:t xml:space="preserve">повећао се са 42,6% у 2015. години </w:t>
      </w:r>
      <w:r w:rsidR="008F04C4" w:rsidRPr="0081082A">
        <w:rPr>
          <w:rFonts w:ascii="Times New Roman" w:hAnsi="Times New Roman"/>
          <w:sz w:val="24"/>
          <w:lang w:val="sr-Cyrl-RS"/>
        </w:rPr>
        <w:t xml:space="preserve">на 81% </w:t>
      </w:r>
      <w:r w:rsidR="00731FB9" w:rsidRPr="0081082A">
        <w:rPr>
          <w:rFonts w:ascii="Times New Roman" w:hAnsi="Times New Roman"/>
          <w:sz w:val="24"/>
          <w:lang w:val="sr-Cyrl-RS"/>
        </w:rPr>
        <w:t>у</w:t>
      </w:r>
      <w:r w:rsidR="008F04C4" w:rsidRPr="0081082A">
        <w:rPr>
          <w:rFonts w:ascii="Times New Roman" w:hAnsi="Times New Roman"/>
          <w:sz w:val="24"/>
          <w:lang w:val="sr-Cyrl-RS"/>
        </w:rPr>
        <w:t xml:space="preserve"> 2020. годин</w:t>
      </w:r>
      <w:r w:rsidR="00731FB9" w:rsidRPr="0081082A">
        <w:rPr>
          <w:rFonts w:ascii="Times New Roman" w:hAnsi="Times New Roman"/>
          <w:sz w:val="24"/>
          <w:lang w:val="sr-Cyrl-RS"/>
        </w:rPr>
        <w:t>и</w:t>
      </w:r>
      <w:r w:rsidRPr="0081082A">
        <w:rPr>
          <w:rStyle w:val="FootnoteReference"/>
          <w:rFonts w:ascii="Times New Roman" w:hAnsi="Times New Roman"/>
          <w:sz w:val="24"/>
          <w:lang w:val="sr-Cyrl-RS"/>
        </w:rPr>
        <w:footnoteReference w:id="30"/>
      </w:r>
      <w:r w:rsidRPr="0081082A">
        <w:rPr>
          <w:rFonts w:ascii="Times New Roman" w:hAnsi="Times New Roman"/>
          <w:sz w:val="24"/>
          <w:lang w:val="sr-Cyrl-RS"/>
        </w:rPr>
        <w:t xml:space="preserve">. </w:t>
      </w:r>
    </w:p>
    <w:p w:rsidR="00721398" w:rsidRPr="0081082A" w:rsidRDefault="00721398" w:rsidP="00FF7AA9">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Напредак у процесу буџетирања је</w:t>
      </w:r>
      <w:r w:rsidR="002C50C8" w:rsidRPr="0081082A">
        <w:rPr>
          <w:rFonts w:ascii="Times New Roman" w:hAnsi="Times New Roman" w:cs="Times New Roman"/>
          <w:sz w:val="24"/>
          <w:lang w:val="sr-Cyrl-RS"/>
        </w:rPr>
        <w:t>,</w:t>
      </w:r>
      <w:r w:rsidRPr="0081082A">
        <w:rPr>
          <w:rFonts w:ascii="Times New Roman" w:hAnsi="Times New Roman"/>
          <w:sz w:val="24"/>
          <w:lang w:val="sr-Cyrl-RS"/>
        </w:rPr>
        <w:t xml:space="preserve"> поред континуираног обучавања корисника, постигнут захваљујући унапређењу </w:t>
      </w:r>
      <w:r w:rsidR="002C50C8" w:rsidRPr="0081082A">
        <w:rPr>
          <w:rFonts w:ascii="Times New Roman" w:hAnsi="Times New Roman" w:cs="Times New Roman"/>
          <w:sz w:val="24"/>
          <w:lang w:val="sr-Cyrl-RS"/>
        </w:rPr>
        <w:t>Упутства</w:t>
      </w:r>
      <w:r w:rsidR="002C50C8" w:rsidRPr="0081082A">
        <w:rPr>
          <w:rStyle w:val="FootnoteReference"/>
          <w:rFonts w:ascii="Times New Roman" w:hAnsi="Times New Roman" w:cs="Times New Roman"/>
          <w:sz w:val="24"/>
          <w:lang w:val="sr-Cyrl-RS"/>
        </w:rPr>
        <w:footnoteReference w:id="31"/>
      </w:r>
      <w:r w:rsidR="0006580D" w:rsidRPr="0081082A">
        <w:rPr>
          <w:rFonts w:ascii="Times New Roman" w:hAnsi="Times New Roman"/>
          <w:sz w:val="24"/>
          <w:lang w:val="sr-Cyrl-RS"/>
        </w:rPr>
        <w:t xml:space="preserve"> за израду програмског буџета</w:t>
      </w:r>
      <w:r w:rsidRPr="0081082A">
        <w:rPr>
          <w:rFonts w:ascii="Times New Roman" w:hAnsi="Times New Roman"/>
          <w:sz w:val="24"/>
          <w:lang w:val="sr-Cyrl-RS"/>
        </w:rPr>
        <w:t xml:space="preserve">, унапређењу програмских структура и програмских информација. </w:t>
      </w:r>
      <w:r w:rsidRPr="0081082A">
        <w:rPr>
          <w:rFonts w:ascii="Times New Roman" w:hAnsi="Times New Roman" w:cs="Times New Roman"/>
          <w:sz w:val="24"/>
          <w:lang w:val="sr-Cyrl-RS"/>
        </w:rPr>
        <w:t>Обука за државне службенике о припреми буџета и извештавању о учинку програма редовно се спроводи као део програма стручног усавршавања државних службеника</w:t>
      </w:r>
      <w:r w:rsidR="002C50C8" w:rsidRPr="0081082A">
        <w:rPr>
          <w:rStyle w:val="FootnoteReference"/>
          <w:rFonts w:ascii="Times New Roman" w:hAnsi="Times New Roman" w:cs="Times New Roman"/>
          <w:sz w:val="24"/>
          <w:lang w:val="sr-Cyrl-RS"/>
        </w:rPr>
        <w:footnoteReference w:id="32"/>
      </w:r>
      <w:r w:rsidR="002C50C8" w:rsidRPr="0081082A">
        <w:rPr>
          <w:rFonts w:ascii="Times New Roman" w:hAnsi="Times New Roman" w:cs="Times New Roman"/>
          <w:sz w:val="24"/>
          <w:lang w:val="sr-Cyrl-RS"/>
        </w:rPr>
        <w:t xml:space="preserve"> НАЈУ.</w:t>
      </w:r>
      <w:r w:rsidR="00286CA6" w:rsidRPr="0081082A">
        <w:rPr>
          <w:rFonts w:ascii="Times New Roman" w:hAnsi="Times New Roman" w:cs="Times New Roman"/>
          <w:sz w:val="24"/>
          <w:lang w:val="sr-Cyrl-RS"/>
        </w:rPr>
        <w:t xml:space="preserve"> Инструктивне обуке су организоване и за запослене у локалним самоуправама </w:t>
      </w:r>
      <w:r w:rsidR="00731FB9" w:rsidRPr="0081082A">
        <w:rPr>
          <w:rFonts w:ascii="Times New Roman" w:hAnsi="Times New Roman" w:cs="Times New Roman"/>
          <w:sz w:val="24"/>
          <w:lang w:val="sr-Cyrl-RS"/>
        </w:rPr>
        <w:t xml:space="preserve">у </w:t>
      </w:r>
      <w:r w:rsidR="00286CA6" w:rsidRPr="0081082A">
        <w:rPr>
          <w:rFonts w:ascii="Times New Roman" w:hAnsi="Times New Roman" w:cs="Times New Roman"/>
          <w:sz w:val="24"/>
          <w:lang w:val="sr-Cyrl-RS"/>
        </w:rPr>
        <w:t xml:space="preserve">оквиру ЕУ Програма </w:t>
      </w:r>
      <w:r w:rsidR="00286CA6" w:rsidRPr="0081082A">
        <w:rPr>
          <w:rFonts w:ascii="Times New Roman" w:hAnsi="Times New Roman" w:cs="Times New Roman"/>
          <w:i/>
          <w:iCs/>
          <w:sz w:val="24"/>
          <w:lang w:val="sr-Cyrl-RS"/>
        </w:rPr>
        <w:t>Exchange 5</w:t>
      </w:r>
      <w:r w:rsidR="00286CA6" w:rsidRPr="0081082A">
        <w:rPr>
          <w:rFonts w:ascii="Times New Roman" w:hAnsi="Times New Roman" w:cs="Times New Roman"/>
          <w:sz w:val="24"/>
          <w:lang w:val="sr-Cyrl-RS"/>
        </w:rPr>
        <w:t xml:space="preserve"> у сарадњи Министарства финансија и СКГО, и то по 12 регионалних </w:t>
      </w:r>
      <w:r w:rsidR="00286CA6" w:rsidRPr="0081082A">
        <w:rPr>
          <w:rFonts w:ascii="Times New Roman" w:hAnsi="Times New Roman" w:cs="Times New Roman"/>
          <w:sz w:val="24"/>
          <w:lang w:val="sr-Cyrl-RS"/>
        </w:rPr>
        <w:lastRenderedPageBreak/>
        <w:t xml:space="preserve">једнодневних семинара на годишњем нивоу, тако да је током 2017, 2018. и 2019. године на овим семинарима учествовало у просеку по 750 представника из око 80% свих локалних самоуправа, док је услед пандемијских околности у процесу припреме буџета за 2021. годину у септембру 2020. године одржано </w:t>
      </w:r>
      <w:r w:rsidR="00A34AE0" w:rsidRPr="0081082A">
        <w:rPr>
          <w:rFonts w:ascii="Times New Roman" w:hAnsi="Times New Roman" w:cs="Times New Roman"/>
          <w:sz w:val="24"/>
          <w:lang w:val="sr-Cyrl-RS"/>
        </w:rPr>
        <w:t>четири</w:t>
      </w:r>
      <w:r w:rsidR="00286CA6" w:rsidRPr="0081082A">
        <w:rPr>
          <w:rFonts w:ascii="Times New Roman" w:hAnsi="Times New Roman" w:cs="Times New Roman"/>
          <w:sz w:val="24"/>
          <w:lang w:val="sr-Cyrl-RS"/>
        </w:rPr>
        <w:t xml:space="preserve"> једнодневна вебинара.</w:t>
      </w:r>
      <w:r w:rsidR="002C50C8" w:rsidRPr="0081082A">
        <w:rPr>
          <w:rFonts w:ascii="Times New Roman" w:hAnsi="Times New Roman" w:cs="Times New Roman"/>
          <w:sz w:val="24"/>
          <w:lang w:val="sr-Cyrl-RS"/>
        </w:rPr>
        <w:t xml:space="preserve"> Буџетски</w:t>
      </w:r>
      <w:r w:rsidRPr="0081082A">
        <w:rPr>
          <w:rFonts w:ascii="Times New Roman" w:hAnsi="Times New Roman" w:cs="Times New Roman"/>
          <w:sz w:val="24"/>
          <w:lang w:val="sr-Cyrl-RS"/>
        </w:rPr>
        <w:t xml:space="preserve"> корисници су процес припреме програмског буџета </w:t>
      </w:r>
      <w:r w:rsidR="007D5B2E" w:rsidRPr="0081082A">
        <w:rPr>
          <w:rFonts w:ascii="Times New Roman" w:hAnsi="Times New Roman" w:cs="Times New Roman"/>
          <w:sz w:val="24"/>
          <w:lang w:val="sr-Cyrl-RS"/>
        </w:rPr>
        <w:t>унапредили</w:t>
      </w:r>
      <w:r w:rsidR="00F46113" w:rsidRPr="0081082A">
        <w:rPr>
          <w:rFonts w:ascii="Times New Roman" w:hAnsi="Times New Roman" w:cs="Times New Roman"/>
          <w:sz w:val="24"/>
          <w:lang w:val="sr-Cyrl-RS"/>
        </w:rPr>
        <w:t xml:space="preserve"> </w:t>
      </w:r>
      <w:r w:rsidRPr="0081082A">
        <w:rPr>
          <w:rFonts w:ascii="Times New Roman" w:hAnsi="Times New Roman" w:cs="Times New Roman"/>
          <w:sz w:val="24"/>
          <w:lang w:val="sr-Cyrl-RS"/>
        </w:rPr>
        <w:t xml:space="preserve">од када је уведена обавеза извештавања о учинку програма. Извештавање је утицало на њих да </w:t>
      </w:r>
      <w:r w:rsidR="007D5B2E" w:rsidRPr="0081082A">
        <w:rPr>
          <w:rFonts w:ascii="Times New Roman" w:hAnsi="Times New Roman" w:cs="Times New Roman"/>
          <w:sz w:val="24"/>
          <w:lang w:val="sr-Cyrl-RS"/>
        </w:rPr>
        <w:t xml:space="preserve">боље </w:t>
      </w:r>
      <w:r w:rsidRPr="0081082A">
        <w:rPr>
          <w:rFonts w:ascii="Times New Roman" w:hAnsi="Times New Roman" w:cs="Times New Roman"/>
          <w:sz w:val="24"/>
          <w:lang w:val="sr-Cyrl-RS"/>
        </w:rPr>
        <w:t>дефинишу показатеље о којима ће моћи да извештавају, као и да промене програмску структуру након анализе спроведене током извештајног периода.</w:t>
      </w:r>
      <w:r w:rsidRPr="0081082A">
        <w:rPr>
          <w:rFonts w:ascii="Times New Roman" w:hAnsi="Times New Roman"/>
          <w:sz w:val="24"/>
          <w:lang w:val="sr-Cyrl-RS"/>
        </w:rPr>
        <w:t xml:space="preserve"> </w:t>
      </w:r>
      <w:r w:rsidR="002C50C8" w:rsidRPr="0081082A">
        <w:rPr>
          <w:rFonts w:ascii="Times New Roman" w:hAnsi="Times New Roman" w:cs="Times New Roman"/>
          <w:sz w:val="24"/>
          <w:lang w:val="sr-Cyrl-RS"/>
        </w:rPr>
        <w:t xml:space="preserve">Показатељ веће посвећености буџетских корисника самом процесу вредновања учинака буџетских програма је </w:t>
      </w:r>
      <w:r w:rsidR="002C50C8" w:rsidRPr="0081082A">
        <w:rPr>
          <w:rFonts w:ascii="Times New Roman" w:eastAsia="Calibri" w:hAnsi="Times New Roman" w:cs="Times New Roman"/>
          <w:sz w:val="24"/>
          <w:shd w:val="clear" w:color="auto" w:fill="FFFFFF"/>
          <w:lang w:val="sr-Cyrl-RS"/>
        </w:rPr>
        <w:t>усклађеност буџетских структура са новом обавезом извештавања о учинку програма, која је у 2019. години износила  74%</w:t>
      </w:r>
      <w:r w:rsidR="002C50C8" w:rsidRPr="0081082A">
        <w:rPr>
          <w:rStyle w:val="FootnoteReference"/>
          <w:rFonts w:ascii="Times New Roman" w:eastAsia="Calibri" w:hAnsi="Times New Roman" w:cs="Times New Roman"/>
          <w:sz w:val="24"/>
          <w:shd w:val="clear" w:color="auto" w:fill="FFFFFF"/>
          <w:lang w:val="sr-Cyrl-RS"/>
        </w:rPr>
        <w:footnoteReference w:id="33"/>
      </w:r>
      <w:r w:rsidR="002C50C8" w:rsidRPr="0081082A">
        <w:rPr>
          <w:rFonts w:ascii="Times New Roman" w:eastAsia="Calibri" w:hAnsi="Times New Roman" w:cs="Times New Roman"/>
          <w:sz w:val="24"/>
          <w:shd w:val="clear" w:color="auto" w:fill="FFFFFF"/>
          <w:lang w:val="sr-Cyrl-RS"/>
        </w:rPr>
        <w:t xml:space="preserve"> и превазишла је очекивани ниво од 72%. </w:t>
      </w:r>
    </w:p>
    <w:p w:rsidR="00721398" w:rsidRPr="0081082A" w:rsidRDefault="00721398" w:rsidP="00FF7AA9">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sz w:val="24"/>
          <w:lang w:val="sr-Cyrl-RS"/>
        </w:rPr>
        <w:t>Буџетски информациони систем (</w:t>
      </w:r>
      <w:r w:rsidR="002C50C8" w:rsidRPr="0081082A">
        <w:rPr>
          <w:rFonts w:ascii="Times New Roman" w:hAnsi="Times New Roman"/>
          <w:sz w:val="24"/>
          <w:lang w:val="sr-Cyrl-RS"/>
        </w:rPr>
        <w:t xml:space="preserve">у даљем тексту: </w:t>
      </w:r>
      <w:r w:rsidRPr="0081082A">
        <w:rPr>
          <w:rFonts w:ascii="Times New Roman" w:hAnsi="Times New Roman"/>
          <w:sz w:val="24"/>
          <w:lang w:val="sr-Cyrl-RS"/>
        </w:rPr>
        <w:t xml:space="preserve">БИС) за припрему буџета такође </w:t>
      </w:r>
      <w:r w:rsidR="002C50C8" w:rsidRPr="0081082A">
        <w:rPr>
          <w:rFonts w:ascii="Times New Roman" w:hAnsi="Times New Roman"/>
          <w:sz w:val="24"/>
          <w:lang w:val="sr-Cyrl-RS"/>
        </w:rPr>
        <w:t xml:space="preserve">је </w:t>
      </w:r>
      <w:r w:rsidRPr="0081082A">
        <w:rPr>
          <w:rFonts w:ascii="Times New Roman" w:hAnsi="Times New Roman"/>
          <w:sz w:val="24"/>
          <w:lang w:val="sr-Cyrl-RS"/>
        </w:rPr>
        <w:t xml:space="preserve">уведен ради </w:t>
      </w:r>
      <w:r w:rsidRPr="0081082A">
        <w:rPr>
          <w:rFonts w:ascii="Times New Roman" w:hAnsi="Times New Roman"/>
          <w:sz w:val="24"/>
          <w:shd w:val="clear" w:color="auto" w:fill="FFFFFF"/>
          <w:lang w:val="sr-Cyrl-RS"/>
        </w:rPr>
        <w:t xml:space="preserve">пружања лакшег и ефикаснијег уношења финансијских планова, као и једноставнијег процеса анализе и </w:t>
      </w:r>
      <w:r w:rsidRPr="0081082A">
        <w:rPr>
          <w:rFonts w:ascii="Times New Roman" w:hAnsi="Times New Roman"/>
          <w:sz w:val="24"/>
          <w:lang w:val="sr-Cyrl-RS"/>
        </w:rPr>
        <w:t>обједињавања</w:t>
      </w:r>
      <w:r w:rsidRPr="0081082A">
        <w:rPr>
          <w:rFonts w:ascii="Times New Roman" w:hAnsi="Times New Roman"/>
          <w:sz w:val="24"/>
          <w:shd w:val="clear" w:color="auto" w:fill="FFFFFF"/>
          <w:lang w:val="sr-Cyrl-RS"/>
        </w:rPr>
        <w:t xml:space="preserve"> финансијског плана буџетских корисника. </w:t>
      </w:r>
      <w:r w:rsidR="002C50C8" w:rsidRPr="0081082A">
        <w:rPr>
          <w:rFonts w:ascii="Times New Roman" w:hAnsi="Times New Roman"/>
          <w:sz w:val="24"/>
          <w:shd w:val="clear" w:color="auto" w:fill="FFFFFF"/>
          <w:lang w:val="sr-Cyrl-RS"/>
        </w:rPr>
        <w:t>БИС</w:t>
      </w:r>
      <w:r w:rsidRPr="0081082A">
        <w:rPr>
          <w:rFonts w:ascii="Times New Roman" w:hAnsi="Times New Roman"/>
          <w:sz w:val="24"/>
          <w:shd w:val="clear" w:color="auto" w:fill="FFFFFF"/>
          <w:lang w:val="sr-Cyrl-RS"/>
        </w:rPr>
        <w:t xml:space="preserve"> је континуирано унапређиван, додавањем новог модула за праћење и извештавање о учинку програма. </w:t>
      </w:r>
    </w:p>
    <w:p w:rsidR="00A16B31" w:rsidRPr="0081082A" w:rsidRDefault="00721398" w:rsidP="00A16B31">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sz w:val="24"/>
          <w:shd w:val="clear" w:color="auto" w:fill="FFFFFF"/>
          <w:lang w:val="sr-Cyrl-RS"/>
        </w:rPr>
        <w:t>Поред овога, напредак и транспарентност у процесу припреме буџета огледа</w:t>
      </w:r>
      <w:r w:rsidR="002C50C8" w:rsidRPr="0081082A">
        <w:rPr>
          <w:rFonts w:ascii="Times New Roman" w:hAnsi="Times New Roman"/>
          <w:sz w:val="24"/>
          <w:shd w:val="clear" w:color="auto" w:fill="FFFFFF"/>
          <w:lang w:val="sr-Cyrl-RS"/>
        </w:rPr>
        <w:t xml:space="preserve"> се</w:t>
      </w:r>
      <w:r w:rsidRPr="0081082A">
        <w:rPr>
          <w:rFonts w:ascii="Times New Roman" w:hAnsi="Times New Roman"/>
          <w:sz w:val="24"/>
          <w:shd w:val="clear" w:color="auto" w:fill="FFFFFF"/>
          <w:lang w:val="sr-Cyrl-RS"/>
        </w:rPr>
        <w:t xml:space="preserve"> у припреми и објави Грађанског водича кроз буџет Републике Србије, који јавности пружа информације о </w:t>
      </w:r>
      <w:r w:rsidRPr="0081082A">
        <w:rPr>
          <w:rFonts w:ascii="Times New Roman" w:hAnsi="Times New Roman"/>
          <w:sz w:val="24"/>
          <w:lang w:val="sr-Cyrl-RS"/>
        </w:rPr>
        <w:t>структури</w:t>
      </w:r>
      <w:r w:rsidRPr="0081082A">
        <w:rPr>
          <w:rFonts w:ascii="Times New Roman" w:hAnsi="Times New Roman"/>
          <w:sz w:val="24"/>
          <w:shd w:val="clear" w:color="auto" w:fill="FFFFFF"/>
          <w:lang w:val="sr-Cyrl-RS"/>
        </w:rPr>
        <w:t xml:space="preserve"> буџета, као и начину прикупљања и трошења средстава. Грађански буџет</w:t>
      </w:r>
      <w:r w:rsidR="002C50C8" w:rsidRPr="0081082A">
        <w:rPr>
          <w:rFonts w:ascii="Times New Roman" w:hAnsi="Times New Roman"/>
          <w:sz w:val="24"/>
          <w:shd w:val="clear" w:color="auto" w:fill="FFFFFF"/>
          <w:lang w:val="sr-Cyrl-RS"/>
        </w:rPr>
        <w:t>, од 2015. године, објављује</w:t>
      </w:r>
      <w:r w:rsidRPr="0081082A">
        <w:rPr>
          <w:rFonts w:ascii="Times New Roman" w:hAnsi="Times New Roman"/>
          <w:sz w:val="24"/>
          <w:shd w:val="clear" w:color="auto" w:fill="FFFFFF"/>
          <w:lang w:val="sr-Cyrl-RS"/>
        </w:rPr>
        <w:t xml:space="preserve"> се на годишњем нивоу на званичној </w:t>
      </w:r>
      <w:r w:rsidR="002C50C8" w:rsidRPr="0081082A">
        <w:rPr>
          <w:rFonts w:ascii="Times New Roman" w:hAnsi="Times New Roman"/>
          <w:sz w:val="24"/>
          <w:shd w:val="clear" w:color="auto" w:fill="FFFFFF"/>
          <w:lang w:val="sr-Cyrl-RS"/>
        </w:rPr>
        <w:t xml:space="preserve">интернет </w:t>
      </w:r>
      <w:r w:rsidRPr="0081082A">
        <w:rPr>
          <w:rFonts w:ascii="Times New Roman" w:hAnsi="Times New Roman"/>
          <w:sz w:val="24"/>
          <w:shd w:val="clear" w:color="auto" w:fill="FFFFFF"/>
          <w:lang w:val="sr-Cyrl-RS"/>
        </w:rPr>
        <w:t>страници Министарства финансија</w:t>
      </w:r>
      <w:r w:rsidR="002C50C8" w:rsidRPr="0081082A">
        <w:rPr>
          <w:rFonts w:ascii="Times New Roman" w:hAnsi="Times New Roman"/>
          <w:sz w:val="24"/>
          <w:shd w:val="clear" w:color="auto" w:fill="FFFFFF"/>
          <w:lang w:val="sr-Cyrl-RS"/>
        </w:rPr>
        <w:t>.</w:t>
      </w:r>
      <w:r w:rsidR="002C50C8" w:rsidRPr="0081082A">
        <w:rPr>
          <w:rStyle w:val="FootnoteReference"/>
          <w:rFonts w:ascii="Times New Roman" w:hAnsi="Times New Roman"/>
          <w:sz w:val="24"/>
          <w:shd w:val="clear" w:color="auto" w:fill="FFFFFF"/>
          <w:lang w:val="sr-Cyrl-RS"/>
        </w:rPr>
        <w:footnoteReference w:id="34"/>
      </w:r>
      <w:r w:rsidRPr="0081082A">
        <w:rPr>
          <w:rFonts w:ascii="Times New Roman" w:hAnsi="Times New Roman"/>
          <w:sz w:val="24"/>
          <w:shd w:val="clear" w:color="auto" w:fill="FFFFFF"/>
          <w:lang w:val="sr-Cyrl-RS"/>
        </w:rPr>
        <w:t xml:space="preserve"> Увођење правне обавезе буџетским корисницима </w:t>
      </w:r>
      <w:r w:rsidR="002C50C8" w:rsidRPr="0081082A">
        <w:rPr>
          <w:rFonts w:ascii="Times New Roman" w:hAnsi="Times New Roman"/>
          <w:sz w:val="24"/>
          <w:shd w:val="clear" w:color="auto" w:fill="FFFFFF"/>
          <w:lang w:val="sr-Cyrl-RS"/>
        </w:rPr>
        <w:t>да објав</w:t>
      </w:r>
      <w:r w:rsidR="007D5B2E" w:rsidRPr="0081082A">
        <w:rPr>
          <w:rFonts w:ascii="Times New Roman" w:hAnsi="Times New Roman"/>
          <w:sz w:val="24"/>
          <w:shd w:val="clear" w:color="auto" w:fill="FFFFFF"/>
          <w:lang w:val="sr-Cyrl-RS"/>
        </w:rPr>
        <w:t>љ</w:t>
      </w:r>
      <w:r w:rsidR="002C50C8" w:rsidRPr="0081082A">
        <w:rPr>
          <w:rFonts w:ascii="Times New Roman" w:hAnsi="Times New Roman"/>
          <w:sz w:val="24"/>
          <w:shd w:val="clear" w:color="auto" w:fill="FFFFFF"/>
          <w:lang w:val="sr-Cyrl-RS"/>
        </w:rPr>
        <w:t>ују информације</w:t>
      </w:r>
      <w:r w:rsidRPr="0081082A">
        <w:rPr>
          <w:rFonts w:ascii="Times New Roman" w:hAnsi="Times New Roman"/>
          <w:sz w:val="24"/>
          <w:shd w:val="clear" w:color="auto" w:fill="FFFFFF"/>
          <w:lang w:val="sr-Cyrl-RS"/>
        </w:rPr>
        <w:t xml:space="preserve"> о буџетском програму и </w:t>
      </w:r>
      <w:r w:rsidR="002C50C8" w:rsidRPr="0081082A">
        <w:rPr>
          <w:rFonts w:ascii="Times New Roman" w:hAnsi="Times New Roman"/>
          <w:sz w:val="24"/>
          <w:shd w:val="clear" w:color="auto" w:fill="FFFFFF"/>
          <w:lang w:val="sr-Cyrl-RS"/>
        </w:rPr>
        <w:t>извештаје</w:t>
      </w:r>
      <w:r w:rsidRPr="0081082A">
        <w:rPr>
          <w:rFonts w:ascii="Times New Roman" w:hAnsi="Times New Roman"/>
          <w:sz w:val="24"/>
          <w:shd w:val="clear" w:color="auto" w:fill="FFFFFF"/>
          <w:lang w:val="sr-Cyrl-RS"/>
        </w:rPr>
        <w:t xml:space="preserve"> о учинку, додатно је повећала транспарентност процеса буџетирања. </w:t>
      </w:r>
      <w:r w:rsidR="00546F41" w:rsidRPr="0081082A">
        <w:rPr>
          <w:rFonts w:ascii="Times New Roman" w:hAnsi="Times New Roman"/>
          <w:sz w:val="24"/>
          <w:shd w:val="clear" w:color="auto" w:fill="FFFFFF"/>
          <w:lang w:val="sr-Cyrl-RS"/>
        </w:rPr>
        <w:t>Пракса објављивања Грађанских водичa истовремено је развијана и на локалном нивоу, при чему је у односу на свега 9% локалних самоуправа које су примениле ову праксу у 2018. години, број ЛС које су објавиле ове водиче учетворостручен до 2020. године</w:t>
      </w:r>
      <w:r w:rsidR="00731FB9" w:rsidRPr="0081082A">
        <w:rPr>
          <w:rFonts w:ascii="Times New Roman" w:hAnsi="Times New Roman"/>
          <w:sz w:val="24"/>
          <w:shd w:val="clear" w:color="auto" w:fill="FFFFFF"/>
          <w:lang w:val="sr-Cyrl-RS"/>
        </w:rPr>
        <w:t>,</w:t>
      </w:r>
      <w:r w:rsidR="00546F41" w:rsidRPr="0081082A">
        <w:rPr>
          <w:rFonts w:ascii="Times New Roman" w:hAnsi="Times New Roman"/>
          <w:sz w:val="24"/>
          <w:shd w:val="clear" w:color="auto" w:fill="FFFFFF"/>
          <w:lang w:val="sr-Cyrl-RS"/>
        </w:rPr>
        <w:t xml:space="preserve"> тако да износи 37% свих ЛС</w:t>
      </w:r>
      <w:r w:rsidR="00546F41" w:rsidRPr="0081082A">
        <w:rPr>
          <w:rFonts w:ascii="Times New Roman" w:hAnsi="Times New Roman"/>
          <w:sz w:val="24"/>
          <w:shd w:val="clear" w:color="auto" w:fill="FFFFFF"/>
          <w:vertAlign w:val="superscript"/>
          <w:lang w:val="sr-Cyrl-RS"/>
        </w:rPr>
        <w:footnoteReference w:id="35"/>
      </w:r>
      <w:r w:rsidR="00A34AE0" w:rsidRPr="0081082A">
        <w:rPr>
          <w:rFonts w:ascii="Times New Roman" w:hAnsi="Times New Roman"/>
          <w:sz w:val="24"/>
          <w:shd w:val="clear" w:color="auto" w:fill="FFFFFF"/>
          <w:lang w:val="sr-Cyrl-RS"/>
        </w:rPr>
        <w:t>.</w:t>
      </w:r>
      <w:r w:rsidR="00546F41" w:rsidRPr="0081082A">
        <w:rPr>
          <w:rFonts w:ascii="Times New Roman" w:hAnsi="Times New Roman"/>
          <w:sz w:val="24"/>
          <w:shd w:val="clear" w:color="auto" w:fill="FFFFFF"/>
          <w:lang w:val="sr-Cyrl-RS"/>
        </w:rPr>
        <w:t xml:space="preserve"> </w:t>
      </w:r>
    </w:p>
    <w:p w:rsidR="00721398" w:rsidRPr="0081082A" w:rsidRDefault="00721398" w:rsidP="00A16B31">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sz w:val="24"/>
          <w:shd w:val="clear" w:color="auto" w:fill="FFFFFF"/>
          <w:lang w:val="sr-Cyrl-RS"/>
        </w:rPr>
        <w:t xml:space="preserve">Увођење </w:t>
      </w:r>
      <w:r w:rsidR="0006580D" w:rsidRPr="0081082A">
        <w:rPr>
          <w:rFonts w:ascii="Times New Roman" w:hAnsi="Times New Roman"/>
          <w:sz w:val="24"/>
          <w:shd w:val="clear" w:color="auto" w:fill="FFFFFF"/>
          <w:lang w:val="sr-Cyrl-RS"/>
        </w:rPr>
        <w:t>РОБ</w:t>
      </w:r>
      <w:r w:rsidRPr="0081082A">
        <w:rPr>
          <w:rFonts w:ascii="Times New Roman" w:hAnsi="Times New Roman"/>
          <w:sz w:val="24"/>
          <w:shd w:val="clear" w:color="auto" w:fill="FFFFFF"/>
          <w:lang w:val="sr-Cyrl-RS"/>
        </w:rPr>
        <w:t xml:space="preserve"> додатно је допринело транспарентности и ефективности припреме буџета. </w:t>
      </w:r>
      <w:r w:rsidR="002C50C8" w:rsidRPr="0081082A">
        <w:rPr>
          <w:rFonts w:ascii="Times New Roman" w:eastAsia="Calibri" w:hAnsi="Times New Roman" w:cs="Times New Roman"/>
          <w:sz w:val="24"/>
          <w:shd w:val="clear" w:color="auto" w:fill="FFFFFF"/>
          <w:lang w:val="sr-Cyrl-RS"/>
        </w:rPr>
        <w:t>У питању је процена буџета заснована на родној перспективи</w:t>
      </w:r>
      <w:r w:rsidRPr="0081082A">
        <w:rPr>
          <w:rFonts w:ascii="Times New Roman" w:hAnsi="Times New Roman"/>
          <w:sz w:val="24"/>
          <w:shd w:val="clear" w:color="auto" w:fill="FFFFFF"/>
          <w:lang w:val="sr-Cyrl-RS"/>
        </w:rPr>
        <w:t xml:space="preserve"> на свим нивоима буџетског процеса и уз реструктурирање прихода и расхода ради промовисања родне равноправности. Од 2016. </w:t>
      </w:r>
      <w:r w:rsidR="002C50C8" w:rsidRPr="0081082A">
        <w:rPr>
          <w:rFonts w:ascii="Times New Roman" w:eastAsia="Calibri" w:hAnsi="Times New Roman" w:cs="Times New Roman"/>
          <w:sz w:val="24"/>
          <w:shd w:val="clear" w:color="auto" w:fill="FFFFFF"/>
          <w:lang w:val="sr-Cyrl-RS"/>
        </w:rPr>
        <w:t>године, увођењем родно осетљивих показатеља,</w:t>
      </w:r>
      <w:r w:rsidRPr="0081082A">
        <w:rPr>
          <w:rFonts w:ascii="Times New Roman" w:hAnsi="Times New Roman"/>
          <w:sz w:val="24"/>
          <w:shd w:val="clear" w:color="auto" w:fill="FFFFFF"/>
          <w:lang w:val="sr-Cyrl-RS"/>
        </w:rPr>
        <w:t xml:space="preserve"> у складу са годишњим планом</w:t>
      </w:r>
      <w:r w:rsidRPr="0081082A">
        <w:rPr>
          <w:rStyle w:val="FootnoteReference"/>
          <w:rFonts w:ascii="Times New Roman" w:hAnsi="Times New Roman"/>
          <w:sz w:val="24"/>
          <w:shd w:val="clear" w:color="auto" w:fill="FFFFFF"/>
          <w:lang w:val="sr-Cyrl-RS"/>
        </w:rPr>
        <w:footnoteReference w:id="36"/>
      </w:r>
      <w:r w:rsidR="002C50C8" w:rsidRPr="0081082A">
        <w:rPr>
          <w:rFonts w:ascii="Times New Roman" w:eastAsia="Calibri" w:hAnsi="Times New Roman" w:cs="Times New Roman"/>
          <w:sz w:val="24"/>
          <w:shd w:val="clear" w:color="auto" w:fill="FFFFFF"/>
          <w:lang w:val="sr-Cyrl-RS"/>
        </w:rPr>
        <w:t>, постепено је увођено РОБ</w:t>
      </w:r>
      <w:r w:rsidRPr="0081082A">
        <w:rPr>
          <w:rFonts w:ascii="Times New Roman" w:hAnsi="Times New Roman"/>
          <w:sz w:val="24"/>
          <w:shd w:val="clear" w:color="auto" w:fill="FFFFFF"/>
          <w:lang w:val="sr-Cyrl-RS"/>
        </w:rPr>
        <w:t xml:space="preserve">. </w:t>
      </w:r>
    </w:p>
    <w:p w:rsidR="00074EF7" w:rsidRPr="0081082A" w:rsidRDefault="00074EF7" w:rsidP="00074EF7">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sz w:val="24"/>
          <w:lang w:val="sr-Cyrl-RS"/>
        </w:rPr>
        <w:t xml:space="preserve">Уз адекватно буџетирање јавних расхода, средњорочно планирање представља један од кључних елемената </w:t>
      </w:r>
      <w:r w:rsidRPr="0081082A">
        <w:rPr>
          <w:rFonts w:ascii="Times New Roman" w:hAnsi="Times New Roman" w:cs="Times New Roman"/>
          <w:sz w:val="24"/>
          <w:lang w:val="sr-Cyrl-RS"/>
        </w:rPr>
        <w:t xml:space="preserve">планског </w:t>
      </w:r>
      <w:r w:rsidRPr="0081082A">
        <w:rPr>
          <w:rFonts w:ascii="Times New Roman" w:hAnsi="Times New Roman"/>
          <w:sz w:val="24"/>
          <w:lang w:val="sr-Cyrl-RS"/>
        </w:rPr>
        <w:t>система</w:t>
      </w:r>
      <w:r w:rsidRPr="0081082A">
        <w:rPr>
          <w:rFonts w:ascii="Times New Roman" w:hAnsi="Times New Roman" w:cs="Times New Roman"/>
          <w:sz w:val="24"/>
          <w:lang w:val="sr-Cyrl-RS"/>
        </w:rPr>
        <w:t xml:space="preserve"> и</w:t>
      </w:r>
      <w:r w:rsidRPr="0081082A">
        <w:rPr>
          <w:rFonts w:ascii="Times New Roman" w:hAnsi="Times New Roman"/>
          <w:sz w:val="24"/>
          <w:lang w:val="sr-Cyrl-RS"/>
        </w:rPr>
        <w:t xml:space="preserve"> управљања јавним политикама </w:t>
      </w:r>
      <w:r w:rsidRPr="0081082A">
        <w:rPr>
          <w:rFonts w:ascii="Times New Roman" w:hAnsi="Times New Roman" w:cs="Times New Roman"/>
          <w:sz w:val="24"/>
          <w:lang w:val="sr-Cyrl-RS"/>
        </w:rPr>
        <w:t>у Р</w:t>
      </w:r>
      <w:r w:rsidR="00D539B3" w:rsidRPr="0081082A">
        <w:rPr>
          <w:rFonts w:ascii="Times New Roman" w:hAnsi="Times New Roman" w:cs="Times New Roman"/>
          <w:sz w:val="24"/>
          <w:lang w:val="sr-Cyrl-RS"/>
        </w:rPr>
        <w:t xml:space="preserve">епублици </w:t>
      </w:r>
      <w:r w:rsidRPr="0081082A">
        <w:rPr>
          <w:rFonts w:ascii="Times New Roman" w:hAnsi="Times New Roman" w:cs="Times New Roman"/>
          <w:sz w:val="24"/>
          <w:lang w:val="sr-Cyrl-RS"/>
        </w:rPr>
        <w:t>С</w:t>
      </w:r>
      <w:r w:rsidR="00D539B3" w:rsidRPr="0081082A">
        <w:rPr>
          <w:rFonts w:ascii="Times New Roman" w:hAnsi="Times New Roman" w:cs="Times New Roman"/>
          <w:sz w:val="24"/>
          <w:lang w:val="sr-Cyrl-RS"/>
        </w:rPr>
        <w:t>рбији</w:t>
      </w:r>
      <w:r w:rsidRPr="0081082A">
        <w:rPr>
          <w:rFonts w:ascii="Times New Roman" w:hAnsi="Times New Roman" w:cs="Times New Roman"/>
          <w:sz w:val="24"/>
          <w:lang w:val="sr-Cyrl-RS"/>
        </w:rPr>
        <w:t>.</w:t>
      </w:r>
      <w:r w:rsidRPr="0081082A">
        <w:rPr>
          <w:rFonts w:ascii="Times New Roman" w:hAnsi="Times New Roman"/>
          <w:sz w:val="24"/>
          <w:lang w:val="sr-Cyrl-RS"/>
        </w:rPr>
        <w:t xml:space="preserve"> У циљу јачања правног и институционалног оквира у овој области, </w:t>
      </w:r>
      <w:r w:rsidRPr="0081082A">
        <w:rPr>
          <w:rFonts w:ascii="Times New Roman" w:hAnsi="Times New Roman" w:cs="Times New Roman"/>
          <w:sz w:val="24"/>
          <w:lang w:val="sr-Cyrl-RS"/>
        </w:rPr>
        <w:t xml:space="preserve">у претходном периоду је усвојен </w:t>
      </w:r>
      <w:r w:rsidRPr="0081082A">
        <w:rPr>
          <w:rFonts w:ascii="Times New Roman" w:hAnsi="Times New Roman"/>
          <w:sz w:val="24"/>
          <w:lang w:val="sr-Cyrl-RS"/>
        </w:rPr>
        <w:t>Закон о планском систему</w:t>
      </w:r>
      <w:r w:rsidRPr="0081082A">
        <w:rPr>
          <w:rFonts w:ascii="Times New Roman" w:hAnsi="Times New Roman" w:cs="Times New Roman"/>
          <w:sz w:val="24"/>
          <w:lang w:val="sr-Cyrl-RS"/>
        </w:rPr>
        <w:t xml:space="preserve"> </w:t>
      </w:r>
      <w:r w:rsidR="002A61BC" w:rsidRPr="0081082A">
        <w:rPr>
          <w:rFonts w:ascii="Times New Roman" w:hAnsi="Times New Roman" w:cs="Times New Roman"/>
          <w:sz w:val="24"/>
          <w:szCs w:val="24"/>
          <w:lang w:val="sr-Cyrl-RS"/>
        </w:rPr>
        <w:t xml:space="preserve"> Републике Србије </w:t>
      </w:r>
      <w:r w:rsidRPr="0081082A">
        <w:rPr>
          <w:rStyle w:val="FootnoteReference"/>
          <w:rFonts w:ascii="Times New Roman" w:hAnsi="Times New Roman"/>
          <w:sz w:val="24"/>
          <w:lang w:val="sr-Cyrl-RS"/>
        </w:rPr>
        <w:footnoteReference w:id="37"/>
      </w:r>
      <w:r w:rsidRPr="0081082A">
        <w:rPr>
          <w:rFonts w:ascii="Times New Roman" w:hAnsi="Times New Roman"/>
          <w:sz w:val="24"/>
          <w:lang w:val="sr-Cyrl-RS"/>
        </w:rPr>
        <w:t xml:space="preserve">. </w:t>
      </w:r>
      <w:r w:rsidRPr="0081082A">
        <w:rPr>
          <w:rFonts w:ascii="Times New Roman" w:eastAsia="Calibri" w:hAnsi="Times New Roman" w:cs="Times New Roman"/>
          <w:bCs/>
          <w:sz w:val="24"/>
          <w:shd w:val="clear" w:color="auto" w:fill="FFFFFF"/>
          <w:lang w:val="sr-Cyrl-RS"/>
        </w:rPr>
        <w:t>Овај закон</w:t>
      </w:r>
      <w:r w:rsidRPr="0081082A">
        <w:rPr>
          <w:rFonts w:ascii="Times New Roman" w:hAnsi="Times New Roman"/>
          <w:sz w:val="24"/>
          <w:shd w:val="clear" w:color="auto" w:fill="FFFFFF"/>
          <w:lang w:val="sr-Cyrl-RS"/>
        </w:rPr>
        <w:t xml:space="preserve"> уређује </w:t>
      </w:r>
      <w:r w:rsidRPr="0081082A">
        <w:rPr>
          <w:rFonts w:ascii="Times New Roman" w:eastAsia="Calibri" w:hAnsi="Times New Roman" w:cs="Times New Roman"/>
          <w:bCs/>
          <w:sz w:val="24"/>
          <w:shd w:val="clear" w:color="auto" w:fill="FFFFFF"/>
          <w:lang w:val="sr-Cyrl-RS"/>
        </w:rPr>
        <w:t xml:space="preserve">плански систем и све његове елементе, укључујући и </w:t>
      </w:r>
      <w:r w:rsidRPr="0081082A">
        <w:rPr>
          <w:rFonts w:ascii="Times New Roman" w:hAnsi="Times New Roman"/>
          <w:sz w:val="24"/>
          <w:shd w:val="clear" w:color="auto" w:fill="FFFFFF"/>
          <w:lang w:val="sr-Cyrl-RS"/>
        </w:rPr>
        <w:t xml:space="preserve">управљање </w:t>
      </w:r>
      <w:r w:rsidRPr="0081082A">
        <w:rPr>
          <w:rFonts w:ascii="Times New Roman" w:hAnsi="Times New Roman"/>
          <w:sz w:val="24"/>
          <w:shd w:val="clear" w:color="auto" w:fill="FFFFFF"/>
          <w:lang w:val="sr-Cyrl-RS"/>
        </w:rPr>
        <w:lastRenderedPageBreak/>
        <w:t xml:space="preserve">системом јавних политика и средњорочно планирање, врсте и </w:t>
      </w:r>
      <w:r w:rsidRPr="0081082A">
        <w:rPr>
          <w:rFonts w:ascii="Times New Roman" w:eastAsia="Calibri" w:hAnsi="Times New Roman" w:cs="Times New Roman"/>
          <w:bCs/>
          <w:sz w:val="24"/>
          <w:shd w:val="clear" w:color="auto" w:fill="FFFFFF"/>
          <w:lang w:val="sr-Cyrl-RS"/>
        </w:rPr>
        <w:t>садржину</w:t>
      </w:r>
      <w:r w:rsidRPr="0081082A">
        <w:rPr>
          <w:rFonts w:ascii="Times New Roman" w:hAnsi="Times New Roman"/>
          <w:sz w:val="24"/>
          <w:shd w:val="clear" w:color="auto" w:fill="FFFFFF"/>
          <w:lang w:val="sr-Cyrl-RS"/>
        </w:rPr>
        <w:t xml:space="preserve"> планских докумената које, у складу са својим надлежностима, предлажу, усвајају и спроводе учесници у планском систему</w:t>
      </w:r>
      <w:r w:rsidRPr="0081082A">
        <w:rPr>
          <w:rFonts w:ascii="Times New Roman" w:eastAsia="Calibri" w:hAnsi="Times New Roman" w:cs="Times New Roman"/>
          <w:bCs/>
          <w:sz w:val="24"/>
          <w:shd w:val="clear" w:color="auto" w:fill="FFFFFF"/>
          <w:lang w:val="sr-Cyrl-RS"/>
        </w:rPr>
        <w:t xml:space="preserve"> на републичком и локалном нивоу власти. Закон о планском систему </w:t>
      </w:r>
      <w:r w:rsidR="002A61BC" w:rsidRPr="0081082A">
        <w:rPr>
          <w:rFonts w:ascii="Times New Roman" w:hAnsi="Times New Roman" w:cs="Times New Roman"/>
          <w:sz w:val="24"/>
          <w:szCs w:val="24"/>
          <w:lang w:val="sr-Cyrl-RS"/>
        </w:rPr>
        <w:t>Републике Србије</w:t>
      </w:r>
      <w:r w:rsidRPr="0081082A">
        <w:rPr>
          <w:rFonts w:ascii="Times New Roman" w:eastAsia="Calibri" w:hAnsi="Times New Roman" w:cs="Times New Roman"/>
          <w:bCs/>
          <w:sz w:val="24"/>
          <w:shd w:val="clear" w:color="auto" w:fill="FFFFFF"/>
          <w:lang w:val="sr-Cyrl-RS"/>
        </w:rPr>
        <w:t xml:space="preserve"> је уредио и обавезу усклађивања </w:t>
      </w:r>
      <w:r w:rsidRPr="0081082A">
        <w:rPr>
          <w:rFonts w:ascii="Times New Roman" w:hAnsi="Times New Roman"/>
          <w:sz w:val="24"/>
          <w:shd w:val="clear" w:color="auto" w:fill="FFFFFF"/>
          <w:lang w:val="sr-Cyrl-RS"/>
        </w:rPr>
        <w:t xml:space="preserve">планских докумената, што је у случају </w:t>
      </w:r>
      <w:r w:rsidRPr="0081082A">
        <w:rPr>
          <w:rFonts w:ascii="Times New Roman" w:eastAsia="Calibri" w:hAnsi="Times New Roman" w:cs="Times New Roman"/>
          <w:bCs/>
          <w:sz w:val="24"/>
          <w:shd w:val="clear" w:color="auto" w:fill="FFFFFF"/>
          <w:lang w:val="sr-Cyrl-RS"/>
        </w:rPr>
        <w:t xml:space="preserve">ПРУЈФ 2021-2025 </w:t>
      </w:r>
      <w:r w:rsidRPr="0081082A">
        <w:rPr>
          <w:rFonts w:ascii="Times New Roman" w:hAnsi="Times New Roman"/>
          <w:sz w:val="24"/>
          <w:shd w:val="clear" w:color="auto" w:fill="FFFFFF"/>
          <w:lang w:val="sr-Cyrl-RS"/>
        </w:rPr>
        <w:t xml:space="preserve">обезбеђено кроз интегрисање појединих планских докумената у сам </w:t>
      </w:r>
      <w:r w:rsidRPr="0081082A">
        <w:rPr>
          <w:rFonts w:ascii="Times New Roman" w:eastAsia="Calibri" w:hAnsi="Times New Roman" w:cs="Times New Roman"/>
          <w:bCs/>
          <w:sz w:val="24"/>
          <w:shd w:val="clear" w:color="auto" w:fill="FFFFFF"/>
          <w:lang w:val="sr-Cyrl-RS"/>
        </w:rPr>
        <w:t>ПРУЈФ 2021-2025</w:t>
      </w:r>
      <w:r w:rsidRPr="0081082A">
        <w:rPr>
          <w:rFonts w:ascii="Times New Roman" w:hAnsi="Times New Roman"/>
          <w:sz w:val="24"/>
          <w:shd w:val="clear" w:color="auto" w:fill="FFFFFF"/>
          <w:lang w:val="sr-Cyrl-RS"/>
        </w:rPr>
        <w:t xml:space="preserve">, док се поједина задржавају јер представљају оперативне планове који по садржају и форми не могу бити интегрисани у Програм. </w:t>
      </w:r>
      <w:r w:rsidRPr="0081082A">
        <w:rPr>
          <w:rFonts w:ascii="Times New Roman" w:eastAsia="Calibri" w:hAnsi="Times New Roman" w:cs="Times New Roman"/>
          <w:bCs/>
          <w:sz w:val="24"/>
          <w:shd w:val="clear" w:color="auto" w:fill="FFFFFF"/>
          <w:lang w:val="sr-Cyrl-RS"/>
        </w:rPr>
        <w:t>Са друге стране</w:t>
      </w:r>
      <w:r w:rsidRPr="0081082A">
        <w:rPr>
          <w:rFonts w:ascii="Times New Roman" w:hAnsi="Times New Roman"/>
          <w:sz w:val="24"/>
          <w:shd w:val="clear" w:color="auto" w:fill="FFFFFF"/>
          <w:lang w:val="sr-Cyrl-RS"/>
        </w:rPr>
        <w:t xml:space="preserve">, ПРУЈФ повезан </w:t>
      </w:r>
      <w:r w:rsidR="00582A0D" w:rsidRPr="0081082A">
        <w:rPr>
          <w:rFonts w:ascii="Times New Roman" w:hAnsi="Times New Roman"/>
          <w:sz w:val="24"/>
          <w:shd w:val="clear" w:color="auto" w:fill="FFFFFF"/>
          <w:lang w:val="sr-Cyrl-RS"/>
        </w:rPr>
        <w:t xml:space="preserve">је </w:t>
      </w:r>
      <w:r w:rsidRPr="0081082A">
        <w:rPr>
          <w:rFonts w:ascii="Times New Roman" w:hAnsi="Times New Roman"/>
          <w:sz w:val="24"/>
          <w:shd w:val="clear" w:color="auto" w:fill="FFFFFF"/>
          <w:lang w:val="sr-Cyrl-RS"/>
        </w:rPr>
        <w:t xml:space="preserve">са </w:t>
      </w:r>
      <w:r w:rsidRPr="0081082A">
        <w:rPr>
          <w:rFonts w:ascii="Times New Roman" w:eastAsia="Calibri" w:hAnsi="Times New Roman" w:cs="Times New Roman"/>
          <w:bCs/>
          <w:sz w:val="24"/>
          <w:shd w:val="clear" w:color="auto" w:fill="FFFFFF"/>
          <w:lang w:val="sr-Cyrl-RS"/>
        </w:rPr>
        <w:t xml:space="preserve">хијерархијски вишим документом јавне политике, односно </w:t>
      </w:r>
      <w:r w:rsidRPr="0081082A">
        <w:rPr>
          <w:rFonts w:ascii="Times New Roman" w:hAnsi="Times New Roman"/>
          <w:sz w:val="24"/>
          <w:shd w:val="clear" w:color="auto" w:fill="FFFFFF"/>
          <w:lang w:val="sr-Cyrl-RS"/>
        </w:rPr>
        <w:t xml:space="preserve">кровном Стратегијом </w:t>
      </w:r>
      <w:r w:rsidRPr="0081082A">
        <w:rPr>
          <w:rFonts w:ascii="Times New Roman" w:eastAsia="Calibri" w:hAnsi="Times New Roman" w:cs="Times New Roman"/>
          <w:bCs/>
          <w:sz w:val="24"/>
          <w:shd w:val="clear" w:color="auto" w:fill="FFFFFF"/>
          <w:lang w:val="sr-Cyrl-RS"/>
        </w:rPr>
        <w:t>реформе јавне управе 2021-2030</w:t>
      </w:r>
      <w:r w:rsidRPr="0081082A">
        <w:rPr>
          <w:rFonts w:ascii="Times New Roman" w:hAnsi="Times New Roman"/>
          <w:sz w:val="24"/>
          <w:shd w:val="clear" w:color="auto" w:fill="FFFFFF"/>
          <w:lang w:val="sr-Cyrl-RS"/>
        </w:rPr>
        <w:t xml:space="preserve">. </w:t>
      </w:r>
    </w:p>
    <w:p w:rsidR="002C50C8" w:rsidRPr="0081082A" w:rsidRDefault="0027241D" w:rsidP="00FF7AA9">
      <w:pPr>
        <w:spacing w:after="0" w:line="240" w:lineRule="auto"/>
        <w:ind w:firstLine="708"/>
        <w:jc w:val="both"/>
        <w:rPr>
          <w:rFonts w:ascii="Times New Roman" w:eastAsia="Calibri" w:hAnsi="Times New Roman" w:cs="Times New Roman"/>
          <w:b/>
          <w:bCs/>
          <w:sz w:val="22"/>
          <w:szCs w:val="18"/>
          <w:shd w:val="clear" w:color="auto" w:fill="FFFFFF"/>
          <w:lang w:val="sr-Cyrl-RS"/>
        </w:rPr>
      </w:pPr>
      <w:r w:rsidRPr="0081082A">
        <w:rPr>
          <w:rFonts w:ascii="Times New Roman" w:eastAsia="Calibri" w:hAnsi="Times New Roman" w:cs="Times New Roman"/>
          <w:b/>
          <w:bCs/>
          <w:sz w:val="22"/>
          <w:szCs w:val="18"/>
          <w:shd w:val="clear" w:color="auto" w:fill="FFFFFF"/>
          <w:lang w:val="sr-Cyrl-RS"/>
        </w:rPr>
        <w:t>Слика 4</w:t>
      </w:r>
      <w:r w:rsidR="002C50C8" w:rsidRPr="0081082A">
        <w:rPr>
          <w:rFonts w:ascii="Times New Roman" w:eastAsia="Calibri" w:hAnsi="Times New Roman" w:cs="Times New Roman"/>
          <w:b/>
          <w:bCs/>
          <w:sz w:val="22"/>
          <w:szCs w:val="18"/>
          <w:shd w:val="clear" w:color="auto" w:fill="FFFFFF"/>
          <w:lang w:val="sr-Cyrl-RS"/>
        </w:rPr>
        <w:t>: Број корисника буџета који су увели РОБ</w:t>
      </w:r>
    </w:p>
    <w:p w:rsidR="002C50C8" w:rsidRPr="0081082A" w:rsidRDefault="002C50C8" w:rsidP="00FF7AA9">
      <w:pPr>
        <w:spacing w:after="0" w:line="240" w:lineRule="auto"/>
        <w:jc w:val="both"/>
        <w:rPr>
          <w:rFonts w:ascii="Times New Roman" w:eastAsia="Calibri" w:hAnsi="Times New Roman" w:cs="Times New Roman"/>
          <w:sz w:val="24"/>
          <w:shd w:val="clear" w:color="auto" w:fill="FFFFFF"/>
          <w:lang w:val="sr-Cyrl-RS"/>
        </w:rPr>
      </w:pPr>
      <w:r w:rsidRPr="0081082A">
        <w:rPr>
          <w:rFonts w:ascii="Times New Roman" w:eastAsia="Calibri" w:hAnsi="Times New Roman" w:cs="Times New Roman"/>
          <w:noProof/>
          <w:sz w:val="24"/>
          <w:shd w:val="clear" w:color="auto" w:fill="FFFFFF"/>
        </w:rPr>
        <w:drawing>
          <wp:inline distT="0" distB="0" distL="0" distR="0" wp14:anchorId="29242087" wp14:editId="6A00B03C">
            <wp:extent cx="5372100" cy="2305050"/>
            <wp:effectExtent l="0" t="19050" r="57150" b="19050"/>
            <wp:docPr id="15" name="Di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2C50C8" w:rsidRPr="0081082A" w:rsidRDefault="002C50C8" w:rsidP="00FF7AA9">
      <w:pPr>
        <w:spacing w:after="0" w:line="240" w:lineRule="auto"/>
        <w:ind w:firstLine="708"/>
        <w:jc w:val="both"/>
        <w:rPr>
          <w:rFonts w:ascii="Times New Roman" w:eastAsia="Calibri" w:hAnsi="Times New Roman" w:cs="Times New Roman"/>
          <w:sz w:val="24"/>
          <w:shd w:val="clear" w:color="auto" w:fill="FFFFFF"/>
          <w:lang w:val="sr-Cyrl-RS"/>
        </w:rPr>
      </w:pPr>
    </w:p>
    <w:p w:rsidR="002C50C8" w:rsidRPr="0081082A" w:rsidRDefault="002C50C8" w:rsidP="00FF7AA9">
      <w:pPr>
        <w:spacing w:after="0" w:line="240" w:lineRule="auto"/>
        <w:ind w:firstLine="708"/>
        <w:jc w:val="both"/>
        <w:rPr>
          <w:rFonts w:ascii="Times New Roman" w:eastAsia="Calibri" w:hAnsi="Times New Roman" w:cs="Times New Roman"/>
          <w:bCs/>
          <w:sz w:val="24"/>
          <w:shd w:val="clear" w:color="auto" w:fill="FFFFFF"/>
          <w:lang w:val="sr-Cyrl-RS"/>
        </w:rPr>
      </w:pPr>
      <w:r w:rsidRPr="0081082A">
        <w:rPr>
          <w:rFonts w:ascii="Times New Roman" w:eastAsia="Calibri" w:hAnsi="Times New Roman" w:cs="Times New Roman"/>
          <w:bCs/>
          <w:sz w:val="24"/>
          <w:shd w:val="clear" w:color="auto" w:fill="FFFFFF"/>
          <w:lang w:val="sr-Cyrl-RS"/>
        </w:rPr>
        <w:t>Значај</w:t>
      </w:r>
      <w:r w:rsidR="00721398" w:rsidRPr="0081082A">
        <w:rPr>
          <w:rFonts w:ascii="Times New Roman" w:hAnsi="Times New Roman"/>
          <w:sz w:val="24"/>
          <w:shd w:val="clear" w:color="auto" w:fill="FFFFFF"/>
          <w:lang w:val="sr-Cyrl-RS"/>
        </w:rPr>
        <w:t xml:space="preserve"> Закона о планском систему </w:t>
      </w:r>
      <w:r w:rsidRPr="0081082A">
        <w:rPr>
          <w:rFonts w:ascii="Times New Roman" w:eastAsia="Calibri" w:hAnsi="Times New Roman" w:cs="Times New Roman"/>
          <w:bCs/>
          <w:sz w:val="24"/>
          <w:shd w:val="clear" w:color="auto" w:fill="FFFFFF"/>
          <w:lang w:val="sr-Cyrl-RS"/>
        </w:rPr>
        <w:t>Р</w:t>
      </w:r>
      <w:r w:rsidR="00A403BC" w:rsidRPr="0081082A">
        <w:rPr>
          <w:rFonts w:ascii="Times New Roman" w:eastAsia="Calibri" w:hAnsi="Times New Roman" w:cs="Times New Roman"/>
          <w:bCs/>
          <w:sz w:val="24"/>
          <w:shd w:val="clear" w:color="auto" w:fill="FFFFFF"/>
          <w:lang w:val="sr-Cyrl-RS"/>
        </w:rPr>
        <w:t xml:space="preserve">епублике </w:t>
      </w:r>
      <w:r w:rsidRPr="0081082A">
        <w:rPr>
          <w:rFonts w:ascii="Times New Roman" w:eastAsia="Calibri" w:hAnsi="Times New Roman" w:cs="Times New Roman"/>
          <w:bCs/>
          <w:sz w:val="24"/>
          <w:shd w:val="clear" w:color="auto" w:fill="FFFFFF"/>
          <w:lang w:val="sr-Cyrl-RS"/>
        </w:rPr>
        <w:t>С</w:t>
      </w:r>
      <w:r w:rsidR="00A403BC" w:rsidRPr="0081082A">
        <w:rPr>
          <w:rFonts w:ascii="Times New Roman" w:eastAsia="Calibri" w:hAnsi="Times New Roman" w:cs="Times New Roman"/>
          <w:bCs/>
          <w:sz w:val="24"/>
          <w:shd w:val="clear" w:color="auto" w:fill="FFFFFF"/>
          <w:lang w:val="sr-Cyrl-RS"/>
        </w:rPr>
        <w:t>рбије</w:t>
      </w:r>
      <w:r w:rsidRPr="0081082A">
        <w:rPr>
          <w:rFonts w:ascii="Times New Roman" w:eastAsia="Calibri" w:hAnsi="Times New Roman" w:cs="Times New Roman"/>
          <w:bCs/>
          <w:sz w:val="24"/>
          <w:shd w:val="clear" w:color="auto" w:fill="FFFFFF"/>
          <w:lang w:val="sr-Cyrl-RS"/>
        </w:rPr>
        <w:t xml:space="preserve"> </w:t>
      </w:r>
      <w:r w:rsidR="00721398" w:rsidRPr="0081082A">
        <w:rPr>
          <w:rFonts w:ascii="Times New Roman" w:hAnsi="Times New Roman"/>
          <w:sz w:val="24"/>
          <w:shd w:val="clear" w:color="auto" w:fill="FFFFFF"/>
          <w:lang w:val="sr-Cyrl-RS"/>
        </w:rPr>
        <w:t xml:space="preserve">огледа се и у </w:t>
      </w:r>
      <w:r w:rsidRPr="0081082A">
        <w:rPr>
          <w:rFonts w:ascii="Times New Roman" w:eastAsia="Calibri" w:hAnsi="Times New Roman" w:cs="Times New Roman"/>
          <w:bCs/>
          <w:sz w:val="24"/>
          <w:shd w:val="clear" w:color="auto" w:fill="FFFFFF"/>
          <w:lang w:val="sr-Cyrl-RS"/>
        </w:rPr>
        <w:t xml:space="preserve">успостављању обавезе </w:t>
      </w:r>
      <w:r w:rsidR="00721398" w:rsidRPr="0081082A">
        <w:rPr>
          <w:rFonts w:ascii="Times New Roman" w:hAnsi="Times New Roman"/>
          <w:sz w:val="24"/>
          <w:shd w:val="clear" w:color="auto" w:fill="FFFFFF"/>
          <w:lang w:val="sr-Cyrl-RS"/>
        </w:rPr>
        <w:t xml:space="preserve">спровођења </w:t>
      </w:r>
      <w:r w:rsidRPr="0081082A">
        <w:rPr>
          <w:rFonts w:ascii="Times New Roman" w:eastAsia="Calibri" w:hAnsi="Times New Roman" w:cs="Times New Roman"/>
          <w:bCs/>
          <w:sz w:val="24"/>
          <w:shd w:val="clear" w:color="auto" w:fill="FFFFFF"/>
          <w:lang w:val="sr-Cyrl-RS"/>
        </w:rPr>
        <w:t xml:space="preserve">анализе ефеката прописа и </w:t>
      </w:r>
      <w:r w:rsidR="00721398" w:rsidRPr="0081082A">
        <w:rPr>
          <w:rFonts w:ascii="Times New Roman" w:hAnsi="Times New Roman"/>
          <w:sz w:val="24"/>
          <w:shd w:val="clear" w:color="auto" w:fill="FFFFFF"/>
          <w:lang w:val="sr-Cyrl-RS"/>
        </w:rPr>
        <w:t>јавних политика</w:t>
      </w:r>
      <w:r w:rsidRPr="0081082A">
        <w:rPr>
          <w:rFonts w:ascii="Times New Roman" w:eastAsia="Calibri" w:hAnsi="Times New Roman" w:cs="Times New Roman"/>
          <w:bCs/>
          <w:sz w:val="24"/>
          <w:shd w:val="clear" w:color="auto" w:fill="FFFFFF"/>
          <w:lang w:val="sr-Cyrl-RS"/>
        </w:rPr>
        <w:t>, праћења, вредновања</w:t>
      </w:r>
      <w:r w:rsidR="00721398" w:rsidRPr="0081082A">
        <w:rPr>
          <w:rFonts w:ascii="Times New Roman" w:hAnsi="Times New Roman"/>
          <w:sz w:val="24"/>
          <w:shd w:val="clear" w:color="auto" w:fill="FFFFFF"/>
          <w:lang w:val="sr-Cyrl-RS"/>
        </w:rPr>
        <w:t xml:space="preserve"> и извештавања о спровођењу планских докумената</w:t>
      </w:r>
      <w:r w:rsidRPr="0081082A">
        <w:rPr>
          <w:rFonts w:ascii="Times New Roman" w:eastAsia="Calibri" w:hAnsi="Times New Roman" w:cs="Times New Roman"/>
          <w:bCs/>
          <w:sz w:val="24"/>
          <w:shd w:val="clear" w:color="auto" w:fill="FFFFFF"/>
          <w:lang w:val="sr-Cyrl-RS"/>
        </w:rPr>
        <w:t xml:space="preserve"> и постигнутим учинцима. У циљу детаљнијег регулисања наведеног</w:t>
      </w:r>
      <w:r w:rsidR="00721398" w:rsidRPr="0081082A">
        <w:rPr>
          <w:rFonts w:ascii="Times New Roman" w:hAnsi="Times New Roman"/>
          <w:sz w:val="24"/>
          <w:shd w:val="clear" w:color="auto" w:fill="FFFFFF"/>
          <w:lang w:val="sr-Cyrl-RS"/>
        </w:rPr>
        <w:t xml:space="preserve">, Влада  </w:t>
      </w:r>
      <w:r w:rsidR="00A403BC" w:rsidRPr="0081082A">
        <w:rPr>
          <w:rFonts w:ascii="Times New Roman" w:hAnsi="Times New Roman"/>
          <w:sz w:val="24"/>
          <w:shd w:val="clear" w:color="auto" w:fill="FFFFFF"/>
          <w:lang w:val="sr-Cyrl-RS"/>
        </w:rPr>
        <w:t xml:space="preserve">је </w:t>
      </w:r>
      <w:r w:rsidR="00721398" w:rsidRPr="0081082A">
        <w:rPr>
          <w:rFonts w:ascii="Times New Roman" w:hAnsi="Times New Roman"/>
          <w:sz w:val="24"/>
          <w:shd w:val="clear" w:color="auto" w:fill="FFFFFF"/>
          <w:lang w:val="sr-Cyrl-RS"/>
        </w:rPr>
        <w:t>усвојила</w:t>
      </w:r>
      <w:r w:rsidRPr="0081082A">
        <w:rPr>
          <w:rFonts w:ascii="Times New Roman" w:eastAsia="Calibri" w:hAnsi="Times New Roman" w:cs="Times New Roman"/>
          <w:bCs/>
          <w:sz w:val="24"/>
          <w:shd w:val="clear" w:color="auto" w:fill="FFFFFF"/>
          <w:lang w:val="sr-Cyrl-RS"/>
        </w:rPr>
        <w:t xml:space="preserve"> и две пратеће уредбе -</w:t>
      </w:r>
      <w:r w:rsidR="00721398" w:rsidRPr="0081082A">
        <w:rPr>
          <w:rFonts w:ascii="Times New Roman" w:hAnsi="Times New Roman"/>
          <w:sz w:val="24"/>
          <w:shd w:val="clear" w:color="auto" w:fill="FFFFFF"/>
          <w:lang w:val="sr-Cyrl-RS"/>
        </w:rPr>
        <w:t xml:space="preserve"> Уредбу о методологији управљања јавним политикама, анализи ефеката јавних политика и прописа и садржају појединачних докумената јавних политика</w:t>
      </w:r>
      <w:r w:rsidRPr="0081082A">
        <w:rPr>
          <w:rStyle w:val="FootnoteReference"/>
          <w:rFonts w:ascii="Times New Roman" w:eastAsia="Calibri" w:hAnsi="Times New Roman" w:cs="Times New Roman"/>
          <w:bCs/>
          <w:sz w:val="24"/>
          <w:shd w:val="clear" w:color="auto" w:fill="FFFFFF"/>
          <w:lang w:val="sr-Cyrl-RS"/>
        </w:rPr>
        <w:footnoteReference w:id="38"/>
      </w:r>
      <w:r w:rsidRPr="0081082A">
        <w:rPr>
          <w:rFonts w:ascii="Times New Roman" w:eastAsia="Calibri" w:hAnsi="Times New Roman" w:cs="Times New Roman"/>
          <w:bCs/>
          <w:sz w:val="24"/>
          <w:shd w:val="clear" w:color="auto" w:fill="FFFFFF"/>
          <w:lang w:val="sr-Cyrl-RS"/>
        </w:rPr>
        <w:t xml:space="preserve"> и Уредбу о методологији за израду средњорочних планова</w:t>
      </w:r>
      <w:r w:rsidRPr="0081082A">
        <w:rPr>
          <w:rStyle w:val="FootnoteReference"/>
          <w:rFonts w:ascii="Times New Roman" w:eastAsia="Calibri" w:hAnsi="Times New Roman" w:cs="Times New Roman"/>
          <w:bCs/>
          <w:sz w:val="24"/>
          <w:shd w:val="clear" w:color="auto" w:fill="FFFFFF"/>
          <w:lang w:val="sr-Cyrl-RS"/>
        </w:rPr>
        <w:footnoteReference w:id="39"/>
      </w:r>
      <w:r w:rsidRPr="0081082A">
        <w:rPr>
          <w:rFonts w:ascii="Times New Roman" w:eastAsia="Calibri" w:hAnsi="Times New Roman" w:cs="Times New Roman"/>
          <w:bCs/>
          <w:sz w:val="24"/>
          <w:shd w:val="clear" w:color="auto" w:fill="FFFFFF"/>
          <w:lang w:val="sr-Cyrl-RS"/>
        </w:rPr>
        <w:t>, што представља и правни</w:t>
      </w:r>
      <w:r w:rsidR="00721398" w:rsidRPr="0081082A">
        <w:rPr>
          <w:rFonts w:ascii="Times New Roman" w:hAnsi="Times New Roman"/>
          <w:color w:val="2E74B5" w:themeColor="accent1" w:themeShade="BF"/>
          <w:sz w:val="24"/>
          <w:szCs w:val="16"/>
          <w:shd w:val="clear" w:color="auto" w:fill="FFFFFF"/>
          <w:lang w:val="sr-Cyrl-RS"/>
        </w:rPr>
        <w:t xml:space="preserve"> </w:t>
      </w:r>
      <w:r w:rsidR="00721398" w:rsidRPr="0081082A">
        <w:rPr>
          <w:rFonts w:ascii="Times New Roman" w:hAnsi="Times New Roman"/>
          <w:sz w:val="24"/>
          <w:szCs w:val="16"/>
          <w:shd w:val="clear" w:color="auto" w:fill="FFFFFF"/>
          <w:lang w:val="sr-Cyrl-RS"/>
        </w:rPr>
        <w:t>оквир за средњорочно планирање</w:t>
      </w:r>
      <w:r w:rsidRPr="0081082A">
        <w:rPr>
          <w:rFonts w:ascii="Times New Roman" w:eastAsia="Calibri" w:hAnsi="Times New Roman" w:cs="Times New Roman"/>
          <w:sz w:val="24"/>
          <w:shd w:val="clear" w:color="auto" w:fill="FFFFFF"/>
          <w:lang w:val="sr-Cyrl-RS"/>
        </w:rPr>
        <w:t xml:space="preserve">. </w:t>
      </w:r>
      <w:r w:rsidR="00A403BC" w:rsidRPr="0081082A">
        <w:rPr>
          <w:rFonts w:ascii="Times New Roman" w:eastAsia="Calibri" w:hAnsi="Times New Roman" w:cs="Times New Roman"/>
          <w:sz w:val="24"/>
          <w:szCs w:val="24"/>
          <w:shd w:val="clear" w:color="auto" w:fill="FFFFFF"/>
          <w:lang w:val="sr-Cyrl-RS"/>
        </w:rPr>
        <w:t xml:space="preserve">Обвезници </w:t>
      </w:r>
      <w:r w:rsidRPr="0081082A">
        <w:rPr>
          <w:rFonts w:ascii="Times New Roman" w:eastAsia="Calibri" w:hAnsi="Times New Roman" w:cs="Times New Roman"/>
          <w:sz w:val="24"/>
          <w:szCs w:val="24"/>
          <w:shd w:val="clear" w:color="auto" w:fill="FFFFFF"/>
          <w:lang w:val="sr-Cyrl-RS"/>
        </w:rPr>
        <w:t>средњорочног планирања треба да израђују своје средњорочне планове исказујући у њима</w:t>
      </w:r>
      <w:r w:rsidR="00721398" w:rsidRPr="0081082A">
        <w:rPr>
          <w:rFonts w:ascii="Times New Roman" w:eastAsia="Calibri" w:hAnsi="Times New Roman" w:cs="Times New Roman"/>
          <w:bCs/>
          <w:sz w:val="24"/>
          <w:szCs w:val="24"/>
          <w:shd w:val="clear" w:color="auto" w:fill="FFFFFF"/>
          <w:lang w:val="sr-Cyrl-RS"/>
        </w:rPr>
        <w:t xml:space="preserve"> све преузете обавезе из докумената јавних политика, </w:t>
      </w:r>
      <w:r w:rsidRPr="0081082A">
        <w:rPr>
          <w:rFonts w:ascii="Times New Roman" w:eastAsia="Calibri" w:hAnsi="Times New Roman" w:cs="Times New Roman"/>
          <w:bCs/>
          <w:sz w:val="24"/>
          <w:szCs w:val="24"/>
          <w:shd w:val="clear" w:color="auto" w:fill="FFFFFF"/>
          <w:lang w:val="sr-Cyrl-RS"/>
        </w:rPr>
        <w:t>приоритета дефинисаних од стране Владе у Акционом плану</w:t>
      </w:r>
      <w:r w:rsidR="00721398" w:rsidRPr="0081082A">
        <w:rPr>
          <w:rFonts w:ascii="Times New Roman" w:eastAsia="Calibri" w:hAnsi="Times New Roman" w:cs="Times New Roman"/>
          <w:bCs/>
          <w:sz w:val="24"/>
          <w:szCs w:val="24"/>
          <w:shd w:val="clear" w:color="auto" w:fill="FFFFFF"/>
          <w:lang w:val="sr-Cyrl-RS"/>
        </w:rPr>
        <w:t xml:space="preserve"> за спровођење Програма Владе, Националног програма за усвајање правних тековина ЕУ</w:t>
      </w:r>
      <w:r w:rsidR="007D5B2E" w:rsidRPr="0081082A">
        <w:rPr>
          <w:rFonts w:ascii="Times New Roman" w:eastAsia="Calibri" w:hAnsi="Times New Roman" w:cs="Times New Roman"/>
          <w:bCs/>
          <w:sz w:val="24"/>
          <w:szCs w:val="24"/>
          <w:shd w:val="clear" w:color="auto" w:fill="FFFFFF"/>
          <w:lang w:val="sr-Cyrl-RS"/>
        </w:rPr>
        <w:t xml:space="preserve"> (НПАА)</w:t>
      </w:r>
      <w:r w:rsidR="00721398" w:rsidRPr="0081082A">
        <w:rPr>
          <w:rFonts w:ascii="Times New Roman" w:eastAsia="Calibri" w:hAnsi="Times New Roman" w:cs="Times New Roman"/>
          <w:bCs/>
          <w:sz w:val="24"/>
          <w:szCs w:val="24"/>
          <w:shd w:val="clear" w:color="auto" w:fill="FFFFFF"/>
          <w:lang w:val="sr-Cyrl-RS"/>
        </w:rPr>
        <w:t xml:space="preserve"> и плана развоја институције </w:t>
      </w:r>
      <w:r w:rsidRPr="0081082A">
        <w:rPr>
          <w:rFonts w:ascii="Times New Roman" w:eastAsia="Calibri" w:hAnsi="Times New Roman" w:cs="Times New Roman"/>
          <w:bCs/>
          <w:sz w:val="24"/>
          <w:szCs w:val="24"/>
          <w:shd w:val="clear" w:color="auto" w:fill="FFFFFF"/>
          <w:lang w:val="sr-Cyrl-RS"/>
        </w:rPr>
        <w:t xml:space="preserve">у наредне три године, узимајући у обзир расположиве капацитете и ресурсе, као и промене у односу на време када су поменути документи јавних политика донети. Очекује се да ће средњорочни планови у наредном периоду постати основни управљачки документ сваке од институција јавног сектора који ће омогућити да се планиране </w:t>
      </w:r>
      <w:r w:rsidRPr="0081082A">
        <w:rPr>
          <w:rFonts w:ascii="Times New Roman" w:eastAsia="Calibri" w:hAnsi="Times New Roman" w:cs="Times New Roman"/>
          <w:bCs/>
          <w:sz w:val="24"/>
          <w:shd w:val="clear" w:color="auto" w:fill="FFFFFF"/>
          <w:lang w:val="sr-Cyrl-RS"/>
        </w:rPr>
        <w:t>јавне</w:t>
      </w:r>
      <w:r w:rsidRPr="0081082A">
        <w:rPr>
          <w:rFonts w:ascii="Times New Roman" w:eastAsia="Calibri" w:hAnsi="Times New Roman" w:cs="Times New Roman"/>
          <w:bCs/>
          <w:sz w:val="24"/>
          <w:szCs w:val="24"/>
          <w:shd w:val="clear" w:color="auto" w:fill="FFFFFF"/>
          <w:lang w:val="sr-Cyrl-RS"/>
        </w:rPr>
        <w:t xml:space="preserve"> политике спроводе у пуној мери. </w:t>
      </w:r>
      <w:r w:rsidR="00DA5791" w:rsidRPr="0081082A">
        <w:rPr>
          <w:rFonts w:ascii="Times New Roman" w:eastAsia="Calibri" w:hAnsi="Times New Roman" w:cs="Times New Roman"/>
          <w:bCs/>
          <w:sz w:val="24"/>
          <w:szCs w:val="24"/>
          <w:shd w:val="clear" w:color="auto" w:fill="FFFFFF"/>
          <w:lang w:val="sr-Cyrl-RS"/>
        </w:rPr>
        <w:t xml:space="preserve">Уведена </w:t>
      </w:r>
      <w:r w:rsidRPr="0081082A">
        <w:rPr>
          <w:rFonts w:ascii="Times New Roman" w:eastAsia="Calibri" w:hAnsi="Times New Roman" w:cs="Times New Roman"/>
          <w:bCs/>
          <w:sz w:val="24"/>
          <w:szCs w:val="24"/>
          <w:shd w:val="clear" w:color="auto" w:fill="FFFFFF"/>
          <w:lang w:val="sr-Cyrl-RS"/>
        </w:rPr>
        <w:t>обавез</w:t>
      </w:r>
      <w:r w:rsidR="00DA5791" w:rsidRPr="0081082A">
        <w:rPr>
          <w:rFonts w:ascii="Times New Roman" w:eastAsia="Calibri" w:hAnsi="Times New Roman" w:cs="Times New Roman"/>
          <w:bCs/>
          <w:sz w:val="24"/>
          <w:szCs w:val="24"/>
          <w:shd w:val="clear" w:color="auto" w:fill="FFFFFF"/>
          <w:lang w:val="sr-Cyrl-RS"/>
        </w:rPr>
        <w:t>а</w:t>
      </w:r>
      <w:r w:rsidRPr="0081082A">
        <w:rPr>
          <w:rFonts w:ascii="Times New Roman" w:eastAsia="Calibri" w:hAnsi="Times New Roman" w:cs="Times New Roman"/>
          <w:bCs/>
          <w:sz w:val="24"/>
          <w:szCs w:val="24"/>
          <w:shd w:val="clear" w:color="auto" w:fill="FFFFFF"/>
          <w:lang w:val="sr-Cyrl-RS"/>
        </w:rPr>
        <w:t xml:space="preserve"> израде средњорочних планова ће значајно </w:t>
      </w:r>
      <w:r w:rsidRPr="0081082A">
        <w:rPr>
          <w:rFonts w:ascii="Times New Roman" w:eastAsia="Calibri" w:hAnsi="Times New Roman" w:cs="Times New Roman"/>
          <w:bCs/>
          <w:sz w:val="24"/>
          <w:szCs w:val="24"/>
          <w:shd w:val="clear" w:color="auto" w:fill="FFFFFF"/>
          <w:lang w:val="sr-Cyrl-RS"/>
        </w:rPr>
        <w:lastRenderedPageBreak/>
        <w:t xml:space="preserve">унапредити програмско буџетирање. </w:t>
      </w:r>
      <w:r w:rsidR="00A403BC" w:rsidRPr="0081082A">
        <w:rPr>
          <w:rFonts w:ascii="Times New Roman" w:eastAsia="Calibri" w:hAnsi="Times New Roman" w:cs="Times New Roman"/>
          <w:bCs/>
          <w:sz w:val="24"/>
          <w:szCs w:val="24"/>
          <w:shd w:val="clear" w:color="auto" w:fill="FFFFFF"/>
          <w:lang w:val="sr-Cyrl-RS"/>
        </w:rPr>
        <w:t xml:space="preserve">У оквиру подршке обвезницима средњорочног планирања, израђен је </w:t>
      </w:r>
      <w:r w:rsidR="00721398" w:rsidRPr="0081082A">
        <w:rPr>
          <w:rFonts w:ascii="Times New Roman" w:hAnsi="Times New Roman"/>
          <w:sz w:val="24"/>
          <w:shd w:val="clear" w:color="auto" w:fill="FFFFFF"/>
          <w:lang w:val="sr-Cyrl-RS"/>
        </w:rPr>
        <w:t>Приручник за израду средњорочног плана</w:t>
      </w:r>
      <w:r w:rsidRPr="0081082A">
        <w:rPr>
          <w:rStyle w:val="FootnoteReference"/>
          <w:rFonts w:ascii="Times New Roman" w:eastAsia="Calibri" w:hAnsi="Times New Roman" w:cs="Times New Roman"/>
          <w:bCs/>
          <w:sz w:val="24"/>
          <w:shd w:val="clear" w:color="auto" w:fill="FFFFFF"/>
          <w:lang w:val="sr-Cyrl-RS"/>
        </w:rPr>
        <w:footnoteReference w:id="40"/>
      </w:r>
      <w:r w:rsidRPr="0081082A">
        <w:rPr>
          <w:rFonts w:ascii="Times New Roman" w:eastAsia="Calibri" w:hAnsi="Times New Roman" w:cs="Times New Roman"/>
          <w:bCs/>
          <w:sz w:val="24"/>
          <w:shd w:val="clear" w:color="auto" w:fill="FFFFFF"/>
          <w:lang w:val="sr-Cyrl-RS"/>
        </w:rPr>
        <w:t xml:space="preserve">. </w:t>
      </w:r>
    </w:p>
    <w:p w:rsidR="00721398" w:rsidRPr="0081082A" w:rsidRDefault="00DA5791" w:rsidP="00FF7AA9">
      <w:pPr>
        <w:pStyle w:val="ListParagraph"/>
        <w:spacing w:before="100" w:after="0" w:line="240" w:lineRule="auto"/>
        <w:ind w:left="0" w:firstLine="708"/>
        <w:jc w:val="both"/>
        <w:rPr>
          <w:rFonts w:ascii="Times New Roman" w:eastAsia="Calibri" w:hAnsi="Times New Roman" w:cs="Times New Roman"/>
          <w:bCs/>
          <w:sz w:val="24"/>
          <w:szCs w:val="24"/>
          <w:shd w:val="clear" w:color="auto" w:fill="FFFFFF"/>
          <w:lang w:val="sr-Cyrl-RS"/>
        </w:rPr>
      </w:pPr>
      <w:r w:rsidRPr="0081082A">
        <w:rPr>
          <w:rFonts w:ascii="Times New Roman" w:eastAsiaTheme="minorEastAsia" w:hAnsi="Times New Roman"/>
          <w:sz w:val="24"/>
          <w:shd w:val="clear" w:color="auto" w:fill="FFFFFF"/>
          <w:lang w:val="sr-Cyrl-RS"/>
        </w:rPr>
        <w:t>Средњорочне планове за период од 2020. до 2022. године, у склад</w:t>
      </w:r>
      <w:r w:rsidR="00733358">
        <w:rPr>
          <w:rFonts w:ascii="Times New Roman" w:eastAsiaTheme="minorEastAsia" w:hAnsi="Times New Roman"/>
          <w:sz w:val="24"/>
          <w:shd w:val="clear" w:color="auto" w:fill="FFFFFF"/>
          <w:lang w:val="sr-Cyrl-RS"/>
        </w:rPr>
        <w:t>у са Законом о планском систему</w:t>
      </w:r>
      <w:r w:rsidR="002A61BC" w:rsidRPr="0081082A">
        <w:rPr>
          <w:rFonts w:ascii="Times New Roman" w:hAnsi="Times New Roman" w:cs="Times New Roman"/>
          <w:sz w:val="24"/>
          <w:szCs w:val="24"/>
          <w:lang w:val="sr-Cyrl-RS"/>
        </w:rPr>
        <w:t xml:space="preserve"> Републике Србије</w:t>
      </w:r>
      <w:r w:rsidRPr="0081082A">
        <w:rPr>
          <w:rFonts w:ascii="Times New Roman" w:eastAsiaTheme="minorEastAsia" w:hAnsi="Times New Roman"/>
          <w:sz w:val="24"/>
          <w:shd w:val="clear" w:color="auto" w:fill="FFFFFF"/>
          <w:lang w:val="sr-Cyrl-RS"/>
        </w:rPr>
        <w:t xml:space="preserve"> и новом методологијом,</w:t>
      </w:r>
      <w:r w:rsidRPr="0081082A">
        <w:rPr>
          <w:rFonts w:ascii="Times New Roman" w:eastAsia="Calibri" w:hAnsi="Times New Roman" w:cs="Times New Roman"/>
          <w:bCs/>
          <w:sz w:val="24"/>
          <w:shd w:val="clear" w:color="auto" w:fill="FFFFFF"/>
          <w:lang w:val="sr-Cyrl-RS"/>
        </w:rPr>
        <w:t xml:space="preserve"> </w:t>
      </w:r>
      <w:r w:rsidRPr="0081082A">
        <w:rPr>
          <w:rFonts w:ascii="Times New Roman" w:eastAsiaTheme="minorEastAsia" w:hAnsi="Times New Roman"/>
          <w:sz w:val="24"/>
          <w:shd w:val="clear" w:color="auto" w:fill="FFFFFF"/>
          <w:lang w:val="sr-Cyrl-RS"/>
        </w:rPr>
        <w:t xml:space="preserve">израдили су </w:t>
      </w:r>
      <w:r w:rsidRPr="0081082A">
        <w:rPr>
          <w:rFonts w:ascii="Times New Roman" w:eastAsia="Calibri" w:hAnsi="Times New Roman" w:cs="Times New Roman"/>
          <w:bCs/>
          <w:sz w:val="24"/>
          <w:shd w:val="clear" w:color="auto" w:fill="FFFFFF"/>
          <w:lang w:val="sr-Cyrl-RS"/>
        </w:rPr>
        <w:t>Министарство здравља</w:t>
      </w:r>
      <w:r w:rsidRPr="0081082A">
        <w:rPr>
          <w:rStyle w:val="FootnoteReference"/>
          <w:rFonts w:ascii="Times New Roman" w:eastAsia="Calibri" w:hAnsi="Times New Roman" w:cs="Times New Roman"/>
          <w:bCs/>
          <w:sz w:val="24"/>
          <w:shd w:val="clear" w:color="auto" w:fill="FFFFFF"/>
          <w:lang w:val="sr-Cyrl-RS"/>
        </w:rPr>
        <w:footnoteReference w:id="41"/>
      </w:r>
      <w:r w:rsidRPr="0081082A">
        <w:rPr>
          <w:rFonts w:ascii="Times New Roman" w:eastAsia="Calibri" w:hAnsi="Times New Roman" w:cs="Times New Roman"/>
          <w:bCs/>
          <w:sz w:val="24"/>
          <w:shd w:val="clear" w:color="auto" w:fill="FFFFFF"/>
          <w:lang w:val="sr-Cyrl-RS"/>
        </w:rPr>
        <w:t>, Републички секретаријат за јавне политике (у даљем тексту: РСЈП)</w:t>
      </w:r>
      <w:r w:rsidRPr="0081082A">
        <w:rPr>
          <w:rStyle w:val="FootnoteReference"/>
          <w:rFonts w:ascii="Times New Roman" w:eastAsia="Calibri" w:hAnsi="Times New Roman" w:cs="Times New Roman"/>
          <w:bCs/>
          <w:sz w:val="24"/>
          <w:shd w:val="clear" w:color="auto" w:fill="FFFFFF"/>
          <w:lang w:val="sr-Cyrl-RS"/>
        </w:rPr>
        <w:footnoteReference w:id="42"/>
      </w:r>
      <w:r w:rsidRPr="0081082A">
        <w:rPr>
          <w:rFonts w:ascii="Times New Roman" w:eastAsia="Calibri" w:hAnsi="Times New Roman" w:cs="Times New Roman"/>
          <w:bCs/>
          <w:sz w:val="24"/>
          <w:shd w:val="clear" w:color="auto" w:fill="FFFFFF"/>
          <w:lang w:val="sr-Cyrl-RS"/>
        </w:rPr>
        <w:t>, Министарство државне управе и локалне самоуправе</w:t>
      </w:r>
      <w:r w:rsidRPr="0081082A">
        <w:rPr>
          <w:rStyle w:val="FootnoteReference"/>
          <w:rFonts w:ascii="Times New Roman" w:eastAsia="Calibri" w:hAnsi="Times New Roman" w:cs="Times New Roman"/>
          <w:bCs/>
          <w:sz w:val="24"/>
          <w:shd w:val="clear" w:color="auto" w:fill="FFFFFF"/>
          <w:lang w:val="sr-Cyrl-RS"/>
        </w:rPr>
        <w:footnoteReference w:id="43"/>
      </w:r>
      <w:r w:rsidRPr="0081082A">
        <w:rPr>
          <w:rFonts w:ascii="Times New Roman" w:eastAsia="Calibri" w:hAnsi="Times New Roman" w:cs="Times New Roman"/>
          <w:bCs/>
          <w:sz w:val="24"/>
          <w:shd w:val="clear" w:color="auto" w:fill="FFFFFF"/>
          <w:lang w:val="sr-Cyrl-RS"/>
        </w:rPr>
        <w:t xml:space="preserve"> и</w:t>
      </w:r>
      <w:r w:rsidRPr="0081082A">
        <w:rPr>
          <w:rFonts w:ascii="Times New Roman" w:eastAsiaTheme="minorEastAsia" w:hAnsi="Times New Roman"/>
          <w:sz w:val="24"/>
          <w:shd w:val="clear" w:color="auto" w:fill="FFFFFF"/>
          <w:lang w:val="sr-Cyrl-RS"/>
        </w:rPr>
        <w:t xml:space="preserve"> </w:t>
      </w:r>
      <w:r w:rsidRPr="0081082A">
        <w:rPr>
          <w:rFonts w:ascii="Times New Roman" w:eastAsia="Calibri" w:hAnsi="Times New Roman" w:cs="Times New Roman"/>
          <w:bCs/>
          <w:sz w:val="24"/>
          <w:shd w:val="clear" w:color="auto" w:fill="FFFFFF"/>
          <w:lang w:val="sr-Cyrl-RS"/>
        </w:rPr>
        <w:t>Министарство одбране</w:t>
      </w:r>
      <w:r w:rsidRPr="0081082A">
        <w:rPr>
          <w:rStyle w:val="FootnoteReference"/>
          <w:rFonts w:ascii="Times New Roman" w:eastAsia="Calibri" w:hAnsi="Times New Roman" w:cs="Times New Roman"/>
          <w:bCs/>
          <w:sz w:val="24"/>
          <w:shd w:val="clear" w:color="auto" w:fill="FFFFFF"/>
          <w:lang w:val="sr-Cyrl-RS"/>
        </w:rPr>
        <w:footnoteReference w:id="44"/>
      </w:r>
      <w:r w:rsidRPr="0081082A">
        <w:rPr>
          <w:rFonts w:ascii="Times New Roman" w:eastAsia="Calibri" w:hAnsi="Times New Roman" w:cs="Times New Roman"/>
          <w:bCs/>
          <w:sz w:val="24"/>
          <w:shd w:val="clear" w:color="auto" w:fill="FFFFFF"/>
          <w:lang w:val="sr-Cyrl-RS"/>
        </w:rPr>
        <w:t xml:space="preserve"> као</w:t>
      </w:r>
      <w:r w:rsidRPr="0081082A">
        <w:rPr>
          <w:rFonts w:ascii="Times New Roman" w:eastAsiaTheme="minorEastAsia" w:hAnsi="Times New Roman"/>
          <w:sz w:val="24"/>
          <w:shd w:val="clear" w:color="auto" w:fill="FFFFFF"/>
          <w:lang w:val="sr-Cyrl-RS"/>
        </w:rPr>
        <w:t xml:space="preserve"> обвезници средњорочног планирања  на централном нивоу власти.</w:t>
      </w:r>
    </w:p>
    <w:p w:rsidR="00DA5791" w:rsidRPr="0081082A" w:rsidRDefault="00A403BC" w:rsidP="00FF7AA9">
      <w:pPr>
        <w:spacing w:after="0" w:line="240" w:lineRule="auto"/>
        <w:ind w:firstLine="708"/>
        <w:jc w:val="both"/>
        <w:rPr>
          <w:rFonts w:ascii="Times New Roman" w:eastAsia="Calibri" w:hAnsi="Times New Roman" w:cs="Times New Roman"/>
          <w:bCs/>
          <w:sz w:val="24"/>
          <w:szCs w:val="24"/>
          <w:shd w:val="clear" w:color="auto" w:fill="FFFFFF"/>
          <w:lang w:val="sr-Cyrl-RS"/>
        </w:rPr>
      </w:pPr>
      <w:r w:rsidRPr="0081082A">
        <w:rPr>
          <w:rFonts w:ascii="Times New Roman" w:eastAsia="Calibri" w:hAnsi="Times New Roman" w:cs="Times New Roman"/>
          <w:bCs/>
          <w:sz w:val="24"/>
          <w:szCs w:val="24"/>
          <w:shd w:val="clear" w:color="auto" w:fill="FFFFFF"/>
          <w:lang w:val="sr-Cyrl-RS"/>
        </w:rPr>
        <w:t>Током 2020. године, РСЈП је наставио пружање методолошке подршке обвезницима средњорочног планирања кроз подршку нових пет обвезника средњорочног планирања. За период од 2021. до 2023. године усвојено је седам средњорочних планова: Министарства финансија, Министарства државне управе и локалне самоуправе, Министарств</w:t>
      </w:r>
      <w:r w:rsidR="00164F8F" w:rsidRPr="0081082A">
        <w:rPr>
          <w:rFonts w:ascii="Times New Roman" w:eastAsia="Calibri" w:hAnsi="Times New Roman" w:cs="Times New Roman"/>
          <w:bCs/>
          <w:sz w:val="24"/>
          <w:szCs w:val="24"/>
          <w:shd w:val="clear" w:color="auto" w:fill="FFFFFF"/>
          <w:lang w:val="sr-Cyrl-RS"/>
        </w:rPr>
        <w:t>а</w:t>
      </w:r>
      <w:r w:rsidRPr="0081082A">
        <w:rPr>
          <w:rFonts w:ascii="Times New Roman" w:eastAsia="Calibri" w:hAnsi="Times New Roman" w:cs="Times New Roman"/>
          <w:bCs/>
          <w:sz w:val="24"/>
          <w:szCs w:val="24"/>
          <w:shd w:val="clear" w:color="auto" w:fill="FFFFFF"/>
          <w:lang w:val="sr-Cyrl-RS"/>
        </w:rPr>
        <w:t xml:space="preserve"> одбране, Републичког секретаријата за јавне политике, Републичког геодетског завода, Националн</w:t>
      </w:r>
      <w:r w:rsidR="00164F8F" w:rsidRPr="0081082A">
        <w:rPr>
          <w:rFonts w:ascii="Times New Roman" w:eastAsia="Calibri" w:hAnsi="Times New Roman" w:cs="Times New Roman"/>
          <w:bCs/>
          <w:sz w:val="24"/>
          <w:szCs w:val="24"/>
          <w:shd w:val="clear" w:color="auto" w:fill="FFFFFF"/>
          <w:lang w:val="sr-Cyrl-RS"/>
        </w:rPr>
        <w:t>е</w:t>
      </w:r>
      <w:r w:rsidRPr="0081082A">
        <w:rPr>
          <w:rFonts w:ascii="Times New Roman" w:eastAsia="Calibri" w:hAnsi="Times New Roman" w:cs="Times New Roman"/>
          <w:bCs/>
          <w:sz w:val="24"/>
          <w:szCs w:val="24"/>
          <w:shd w:val="clear" w:color="auto" w:fill="FFFFFF"/>
          <w:lang w:val="sr-Cyrl-RS"/>
        </w:rPr>
        <w:t xml:space="preserve"> служб</w:t>
      </w:r>
      <w:r w:rsidR="00164F8F" w:rsidRPr="0081082A">
        <w:rPr>
          <w:rFonts w:ascii="Times New Roman" w:eastAsia="Calibri" w:hAnsi="Times New Roman" w:cs="Times New Roman"/>
          <w:bCs/>
          <w:sz w:val="24"/>
          <w:szCs w:val="24"/>
          <w:shd w:val="clear" w:color="auto" w:fill="FFFFFF"/>
          <w:lang w:val="sr-Cyrl-RS"/>
        </w:rPr>
        <w:t>е</w:t>
      </w:r>
      <w:r w:rsidRPr="0081082A">
        <w:rPr>
          <w:rFonts w:ascii="Times New Roman" w:eastAsia="Calibri" w:hAnsi="Times New Roman" w:cs="Times New Roman"/>
          <w:bCs/>
          <w:sz w:val="24"/>
          <w:szCs w:val="24"/>
          <w:shd w:val="clear" w:color="auto" w:fill="FFFFFF"/>
          <w:lang w:val="sr-Cyrl-RS"/>
        </w:rPr>
        <w:t xml:space="preserve"> за запошљавање, Геолошког завода Србије. Израда првих средњорочних планова за ЈЛС као обвезнике средњорочног планирања</w:t>
      </w:r>
      <w:r w:rsidR="00164F8F" w:rsidRPr="0081082A">
        <w:rPr>
          <w:rFonts w:ascii="Times New Roman" w:eastAsia="Calibri" w:hAnsi="Times New Roman" w:cs="Times New Roman"/>
          <w:bCs/>
          <w:sz w:val="24"/>
          <w:szCs w:val="24"/>
          <w:shd w:val="clear" w:color="auto" w:fill="FFFFFF"/>
          <w:lang w:val="sr-Cyrl-RS"/>
        </w:rPr>
        <w:t>,</w:t>
      </w:r>
      <w:r w:rsidRPr="0081082A">
        <w:rPr>
          <w:rFonts w:ascii="Times New Roman" w:eastAsia="Calibri" w:hAnsi="Times New Roman" w:cs="Times New Roman"/>
          <w:bCs/>
          <w:sz w:val="24"/>
          <w:szCs w:val="24"/>
          <w:shd w:val="clear" w:color="auto" w:fill="FFFFFF"/>
          <w:lang w:val="sr-Cyrl-RS"/>
        </w:rPr>
        <w:t xml:space="preserve"> у складу са Законом о планском систему Републике Србије започета крајем 2020. године у оквиру пројекта који се финансира из бесповратних средстава словачке развојне помоћи (</w:t>
      </w:r>
      <w:r w:rsidRPr="0081082A">
        <w:rPr>
          <w:rFonts w:ascii="Times New Roman" w:eastAsia="Calibri" w:hAnsi="Times New Roman" w:cs="Times New Roman"/>
          <w:bCs/>
          <w:i/>
          <w:sz w:val="24"/>
          <w:szCs w:val="24"/>
          <w:shd w:val="clear" w:color="auto" w:fill="FFFFFF"/>
          <w:lang w:val="sr-Cyrl-RS"/>
        </w:rPr>
        <w:t>SlovakAid</w:t>
      </w:r>
      <w:r w:rsidRPr="0081082A">
        <w:rPr>
          <w:rFonts w:ascii="Times New Roman" w:eastAsia="Calibri" w:hAnsi="Times New Roman" w:cs="Times New Roman"/>
          <w:bCs/>
          <w:sz w:val="24"/>
          <w:szCs w:val="24"/>
          <w:shd w:val="clear" w:color="auto" w:fill="FFFFFF"/>
          <w:lang w:val="sr-Cyrl-RS"/>
        </w:rPr>
        <w:t>), а спроводи посредством УНДП у сарадњи са РСЈП и</w:t>
      </w:r>
      <w:r w:rsidR="002F3834" w:rsidRPr="0081082A">
        <w:rPr>
          <w:rFonts w:ascii="Times New Roman" w:eastAsia="Calibri" w:hAnsi="Times New Roman" w:cs="Times New Roman"/>
          <w:bCs/>
          <w:sz w:val="24"/>
          <w:szCs w:val="24"/>
          <w:shd w:val="clear" w:color="auto" w:fill="FFFFFF"/>
          <w:lang w:val="sr-Cyrl-RS"/>
        </w:rPr>
        <w:t xml:space="preserve"> и СКГО</w:t>
      </w:r>
      <w:r w:rsidR="002F3834" w:rsidRPr="0081082A">
        <w:rPr>
          <w:rFonts w:ascii="Times New Roman" w:eastAsia="Calibri" w:hAnsi="Times New Roman" w:cs="Times New Roman"/>
          <w:bCs/>
          <w:sz w:val="24"/>
          <w:szCs w:val="24"/>
          <w:shd w:val="clear" w:color="auto" w:fill="FFFFFF"/>
          <w:vertAlign w:val="superscript"/>
          <w:lang w:val="sr-Cyrl-RS"/>
        </w:rPr>
        <w:footnoteReference w:id="45"/>
      </w:r>
      <w:r w:rsidR="002F3834" w:rsidRPr="0081082A">
        <w:rPr>
          <w:rFonts w:ascii="Times New Roman" w:eastAsia="Calibri" w:hAnsi="Times New Roman" w:cs="Times New Roman"/>
          <w:bCs/>
          <w:sz w:val="24"/>
          <w:szCs w:val="24"/>
          <w:shd w:val="clear" w:color="auto" w:fill="FFFFFF"/>
          <w:lang w:val="sr-Cyrl-RS"/>
        </w:rPr>
        <w:t>.</w:t>
      </w:r>
    </w:p>
    <w:p w:rsidR="00721398" w:rsidRPr="0081082A" w:rsidRDefault="00DA5791" w:rsidP="00FF7AA9">
      <w:pPr>
        <w:pStyle w:val="ListParagraph"/>
        <w:spacing w:before="100" w:after="0" w:line="240" w:lineRule="auto"/>
        <w:ind w:left="0"/>
        <w:jc w:val="both"/>
        <w:rPr>
          <w:rFonts w:ascii="Times New Roman" w:eastAsia="Calibri" w:hAnsi="Times New Roman" w:cs="Times New Roman"/>
          <w:bCs/>
          <w:sz w:val="24"/>
          <w:szCs w:val="24"/>
          <w:shd w:val="clear" w:color="auto" w:fill="FFFFFF"/>
          <w:lang w:val="sr-Cyrl-RS"/>
        </w:rPr>
      </w:pPr>
      <w:r w:rsidRPr="0081082A">
        <w:rPr>
          <w:rFonts w:ascii="Times New Roman" w:eastAsia="Calibri" w:hAnsi="Times New Roman" w:cs="Times New Roman"/>
          <w:bCs/>
          <w:sz w:val="24"/>
          <w:szCs w:val="24"/>
          <w:shd w:val="clear" w:color="auto" w:fill="FFFFFF"/>
          <w:lang w:val="sr-Cyrl-RS"/>
        </w:rPr>
        <w:tab/>
        <w:t xml:space="preserve">Такође, у циљу јачања капацитета органа државне управе, РСЈП је у сарадњи са </w:t>
      </w:r>
      <w:r w:rsidR="0006580D" w:rsidRPr="0081082A">
        <w:rPr>
          <w:rFonts w:ascii="Times New Roman" w:eastAsia="Calibri" w:hAnsi="Times New Roman" w:cs="Times New Roman"/>
          <w:bCs/>
          <w:sz w:val="24"/>
          <w:szCs w:val="24"/>
          <w:shd w:val="clear" w:color="auto" w:fill="FFFFFF"/>
          <w:lang w:val="sr-Cyrl-RS"/>
        </w:rPr>
        <w:t>НАЈУ</w:t>
      </w:r>
      <w:r w:rsidRPr="0081082A">
        <w:rPr>
          <w:rFonts w:ascii="Times New Roman" w:eastAsia="Calibri" w:hAnsi="Times New Roman" w:cs="Times New Roman"/>
          <w:bCs/>
          <w:sz w:val="24"/>
          <w:szCs w:val="24"/>
          <w:shd w:val="clear" w:color="auto" w:fill="FFFFFF"/>
          <w:lang w:val="sr-Cyrl-RS"/>
        </w:rPr>
        <w:t xml:space="preserve"> током 2020. године одржао три обуке посвећене средњорочном планирању под називом: „Обука предавача и ментора у области јавних политика - модул 4, Средњорочно планирање</w:t>
      </w:r>
      <w:r w:rsidR="007E728E" w:rsidRPr="0081082A">
        <w:rPr>
          <w:rFonts w:ascii="Times New Roman" w:eastAsia="Calibri" w:hAnsi="Times New Roman" w:cs="Times New Roman"/>
          <w:bCs/>
          <w:sz w:val="24"/>
          <w:szCs w:val="24"/>
          <w:shd w:val="clear" w:color="auto" w:fill="FFFFFF"/>
          <w:lang w:val="sr-Cyrl-RS"/>
        </w:rPr>
        <w:t>”</w:t>
      </w:r>
      <w:r w:rsidRPr="0081082A">
        <w:rPr>
          <w:rFonts w:ascii="Times New Roman" w:eastAsia="Calibri" w:hAnsi="Times New Roman" w:cs="Times New Roman"/>
          <w:bCs/>
          <w:sz w:val="24"/>
          <w:szCs w:val="24"/>
          <w:shd w:val="clear" w:color="auto" w:fill="FFFFFF"/>
          <w:lang w:val="sr-Cyrl-RS"/>
        </w:rPr>
        <w:t>, кроз које је обучено 16 будућих предавача.</w:t>
      </w:r>
    </w:p>
    <w:p w:rsidR="00DA5791" w:rsidRPr="0081082A" w:rsidRDefault="00DA5791" w:rsidP="00FF7AA9">
      <w:pPr>
        <w:spacing w:after="0" w:line="240" w:lineRule="auto"/>
        <w:ind w:firstLine="708"/>
        <w:jc w:val="both"/>
        <w:rPr>
          <w:rFonts w:ascii="Times New Roman" w:hAnsi="Times New Roman"/>
          <w:sz w:val="24"/>
          <w:lang w:val="sr-Cyrl-RS"/>
        </w:rPr>
      </w:pPr>
      <w:r w:rsidRPr="0081082A">
        <w:rPr>
          <w:rFonts w:ascii="Times New Roman" w:eastAsia="Calibri" w:hAnsi="Times New Roman" w:cs="Times New Roman"/>
          <w:bCs/>
          <w:sz w:val="24"/>
          <w:szCs w:val="24"/>
          <w:shd w:val="clear" w:color="auto" w:fill="FFFFFF"/>
          <w:lang w:val="sr-Cyrl-RS"/>
        </w:rPr>
        <w:t>Средњорочни планови се уносе у Јединствени информациони систем за</w:t>
      </w:r>
      <w:r w:rsidRPr="0081082A">
        <w:rPr>
          <w:rFonts w:ascii="Times New Roman" w:hAnsi="Times New Roman"/>
          <w:sz w:val="24"/>
          <w:lang w:val="sr-Cyrl-RS"/>
        </w:rPr>
        <w:t xml:space="preserve"> планирање, </w:t>
      </w:r>
      <w:r w:rsidRPr="0081082A">
        <w:rPr>
          <w:rFonts w:ascii="Times New Roman" w:eastAsia="Calibri" w:hAnsi="Times New Roman" w:cs="Times New Roman"/>
          <w:bCs/>
          <w:sz w:val="24"/>
          <w:szCs w:val="24"/>
          <w:shd w:val="clear" w:color="auto" w:fill="FFFFFF"/>
          <w:lang w:val="sr-Cyrl-RS"/>
        </w:rPr>
        <w:t>праћење</w:t>
      </w:r>
      <w:r w:rsidRPr="0081082A">
        <w:rPr>
          <w:rFonts w:ascii="Times New Roman" w:hAnsi="Times New Roman"/>
          <w:sz w:val="24"/>
          <w:lang w:val="sr-Cyrl-RS"/>
        </w:rPr>
        <w:t xml:space="preserve"> спровођења</w:t>
      </w:r>
      <w:r w:rsidRPr="0081082A">
        <w:rPr>
          <w:rFonts w:ascii="Times New Roman" w:hAnsi="Times New Roman" w:cs="Times New Roman"/>
          <w:sz w:val="24"/>
          <w:szCs w:val="24"/>
          <w:lang w:val="sr-Cyrl-RS"/>
        </w:rPr>
        <w:t>,</w:t>
      </w:r>
      <w:r w:rsidRPr="0081082A">
        <w:rPr>
          <w:rFonts w:ascii="Times New Roman" w:hAnsi="Times New Roman"/>
          <w:sz w:val="24"/>
          <w:lang w:val="sr-Cyrl-RS"/>
        </w:rPr>
        <w:t xml:space="preserve"> координацију јавних политика и извештавање (у даљем тексту: ЈИС), а путем ЈИС-а се и годишње извештава о напретку</w:t>
      </w:r>
      <w:r w:rsidR="00F673E7">
        <w:rPr>
          <w:rFonts w:ascii="Times New Roman" w:hAnsi="Times New Roman"/>
          <w:sz w:val="24"/>
          <w:lang w:val="sr-Cyrl-RS"/>
        </w:rPr>
        <w:t xml:space="preserve"> у спровођењу средњорочних плано</w:t>
      </w:r>
      <w:r w:rsidRPr="0081082A">
        <w:rPr>
          <w:rFonts w:ascii="Times New Roman" w:hAnsi="Times New Roman"/>
          <w:sz w:val="24"/>
          <w:lang w:val="sr-Cyrl-RS"/>
        </w:rPr>
        <w:t>ва</w:t>
      </w:r>
      <w:r w:rsidR="00A403BC" w:rsidRPr="0081082A">
        <w:rPr>
          <w:rFonts w:ascii="Times New Roman" w:hAnsi="Times New Roman"/>
          <w:sz w:val="24"/>
          <w:lang w:val="sr-Cyrl-RS"/>
        </w:rPr>
        <w:t>.</w:t>
      </w:r>
      <w:r w:rsidRPr="0081082A">
        <w:rPr>
          <w:rFonts w:ascii="Times New Roman" w:hAnsi="Times New Roman"/>
          <w:sz w:val="24"/>
          <w:lang w:val="sr-Cyrl-RS"/>
        </w:rPr>
        <w:t xml:space="preserve"> </w:t>
      </w:r>
    </w:p>
    <w:p w:rsidR="00DA5791" w:rsidRPr="0081082A" w:rsidRDefault="00DA5791" w:rsidP="00EC4CC2">
      <w:pPr>
        <w:spacing w:after="0" w:line="240" w:lineRule="auto"/>
        <w:ind w:firstLine="708"/>
        <w:jc w:val="both"/>
        <w:rPr>
          <w:rFonts w:eastAsia="Calibri"/>
          <w:shd w:val="clear" w:color="auto" w:fill="FFFFFF"/>
          <w:lang w:val="sr-Cyrl-RS"/>
        </w:rPr>
      </w:pPr>
      <w:r w:rsidRPr="0081082A">
        <w:rPr>
          <w:rFonts w:ascii="Times New Roman" w:hAnsi="Times New Roman"/>
          <w:sz w:val="24"/>
          <w:lang w:val="sr-Cyrl-RS"/>
        </w:rPr>
        <w:t>Кроз ЈИС је обезбеђена веза мера и активности плани</w:t>
      </w:r>
      <w:r w:rsidR="00546724">
        <w:rPr>
          <w:rFonts w:ascii="Times New Roman" w:hAnsi="Times New Roman"/>
          <w:sz w:val="24"/>
          <w:lang w:val="sr-Cyrl-RS"/>
        </w:rPr>
        <w:t>раних у документима јавних пол</w:t>
      </w:r>
      <w:r w:rsidRPr="0081082A">
        <w:rPr>
          <w:rFonts w:ascii="Times New Roman" w:hAnsi="Times New Roman"/>
          <w:sz w:val="24"/>
          <w:lang w:val="sr-Cyrl-RS"/>
        </w:rPr>
        <w:t>ит</w:t>
      </w:r>
      <w:r w:rsidR="00546724">
        <w:rPr>
          <w:rFonts w:ascii="Times New Roman" w:hAnsi="Times New Roman"/>
          <w:sz w:val="24"/>
          <w:lang w:val="sr-Cyrl-RS"/>
        </w:rPr>
        <w:t>и</w:t>
      </w:r>
      <w:r w:rsidRPr="0081082A">
        <w:rPr>
          <w:rFonts w:ascii="Times New Roman" w:hAnsi="Times New Roman"/>
          <w:sz w:val="24"/>
          <w:lang w:val="sr-Cyrl-RS"/>
        </w:rPr>
        <w:t>ка и средњорочним плановима са програмима, програмским активностима и пројектима у програмском буџету. За сада није успостављена директна веза ЈИС-а и БИС-а, па не постоји могућност аутоматског ажурирања података о буџету у ЈИС-у</w:t>
      </w:r>
      <w:r w:rsidR="009349EF" w:rsidRPr="0081082A">
        <w:rPr>
          <w:rFonts w:ascii="Times New Roman" w:hAnsi="Times New Roman"/>
          <w:sz w:val="24"/>
          <w:lang w:val="sr-Cyrl-RS"/>
        </w:rPr>
        <w:t xml:space="preserve">, већ се она, </w:t>
      </w:r>
      <w:r w:rsidRPr="0081082A">
        <w:rPr>
          <w:rFonts w:ascii="Times New Roman" w:hAnsi="Times New Roman"/>
          <w:sz w:val="24"/>
          <w:lang w:val="sr-Cyrl-RS"/>
        </w:rPr>
        <w:t xml:space="preserve"> за сада</w:t>
      </w:r>
      <w:r w:rsidR="009349EF" w:rsidRPr="0081082A">
        <w:rPr>
          <w:rFonts w:ascii="Times New Roman" w:hAnsi="Times New Roman"/>
          <w:sz w:val="24"/>
          <w:lang w:val="sr-Cyrl-RS"/>
        </w:rPr>
        <w:t>,</w:t>
      </w:r>
      <w:r w:rsidRPr="0081082A">
        <w:rPr>
          <w:rFonts w:ascii="Times New Roman" w:hAnsi="Times New Roman"/>
          <w:sz w:val="24"/>
          <w:lang w:val="sr-Cyrl-RS"/>
        </w:rPr>
        <w:t xml:space="preserve"> остварује тако што се приликом усвајања сваког новог буџета он </w:t>
      </w:r>
      <w:r w:rsidR="007D5B2E" w:rsidRPr="0081082A">
        <w:rPr>
          <w:rFonts w:ascii="Times New Roman" w:hAnsi="Times New Roman"/>
          <w:sz w:val="24"/>
          <w:lang w:val="sr-Cyrl-RS"/>
        </w:rPr>
        <w:t xml:space="preserve">посебно </w:t>
      </w:r>
      <w:r w:rsidRPr="0081082A">
        <w:rPr>
          <w:rFonts w:ascii="Times New Roman" w:hAnsi="Times New Roman"/>
          <w:sz w:val="24"/>
          <w:lang w:val="sr-Cyrl-RS"/>
        </w:rPr>
        <w:t>учитава у ЈИС.</w:t>
      </w:r>
      <w:r w:rsidR="00A403BC" w:rsidRPr="0081082A">
        <w:rPr>
          <w:rFonts w:ascii="Times New Roman" w:hAnsi="Times New Roman"/>
          <w:sz w:val="24"/>
          <w:lang w:val="sr-Cyrl-RS"/>
        </w:rPr>
        <w:t xml:space="preserve"> </w:t>
      </w:r>
      <w:r w:rsidR="004A3315" w:rsidRPr="0081082A">
        <w:rPr>
          <w:rFonts w:ascii="Times New Roman" w:hAnsi="Times New Roman"/>
          <w:sz w:val="24"/>
          <w:lang w:val="sr-Cyrl-RS"/>
        </w:rPr>
        <w:t>До сада је мали број органа који су обвезници средњорочног планирања усвојио своје средњорочне планове. Препрека за веће коришћење ЈИС-а за израду средњорочних планова</w:t>
      </w:r>
      <w:r w:rsidR="00212023" w:rsidRPr="0081082A">
        <w:rPr>
          <w:rFonts w:ascii="Times New Roman" w:hAnsi="Times New Roman"/>
          <w:sz w:val="24"/>
          <w:lang w:val="sr-Cyrl-RS"/>
        </w:rPr>
        <w:t xml:space="preserve"> </w:t>
      </w:r>
      <w:r w:rsidR="004A3315" w:rsidRPr="0081082A">
        <w:rPr>
          <w:rFonts w:ascii="Times New Roman" w:hAnsi="Times New Roman"/>
          <w:sz w:val="24"/>
          <w:lang w:val="sr-Cyrl-RS"/>
        </w:rPr>
        <w:t xml:space="preserve">је што још увек у многим </w:t>
      </w:r>
      <w:r w:rsidR="004A3315" w:rsidRPr="0081082A">
        <w:rPr>
          <w:rFonts w:ascii="Times New Roman" w:hAnsi="Times New Roman"/>
          <w:sz w:val="24"/>
          <w:lang w:val="sr-Cyrl-RS"/>
        </w:rPr>
        <w:lastRenderedPageBreak/>
        <w:t xml:space="preserve">областима планирања плански оквир није оптимизован. </w:t>
      </w:r>
      <w:r w:rsidR="00A403BC" w:rsidRPr="0081082A">
        <w:rPr>
          <w:rFonts w:ascii="Times New Roman" w:hAnsi="Times New Roman"/>
          <w:sz w:val="24"/>
          <w:lang w:val="sr-Cyrl-RS"/>
        </w:rPr>
        <w:t>Д</w:t>
      </w:r>
      <w:r w:rsidR="004A3315" w:rsidRPr="0081082A">
        <w:rPr>
          <w:rFonts w:ascii="Times New Roman" w:hAnsi="Times New Roman"/>
          <w:sz w:val="24"/>
          <w:lang w:val="sr-Cyrl-RS"/>
        </w:rPr>
        <w:t xml:space="preserve">окумента јавних политика, која су </w:t>
      </w:r>
      <w:r w:rsidR="00A403BC" w:rsidRPr="0081082A">
        <w:rPr>
          <w:rFonts w:ascii="Times New Roman" w:hAnsi="Times New Roman"/>
          <w:sz w:val="24"/>
          <w:lang w:val="sr-Cyrl-RS"/>
        </w:rPr>
        <w:t xml:space="preserve">у </w:t>
      </w:r>
      <w:r w:rsidR="004A3315" w:rsidRPr="0081082A">
        <w:rPr>
          <w:rFonts w:ascii="Times New Roman" w:hAnsi="Times New Roman"/>
          <w:sz w:val="24"/>
          <w:lang w:val="sr-Cyrl-RS"/>
        </w:rPr>
        <w:t>већин</w:t>
      </w:r>
      <w:r w:rsidR="00A403BC" w:rsidRPr="0081082A">
        <w:rPr>
          <w:rFonts w:ascii="Times New Roman" w:hAnsi="Times New Roman"/>
          <w:sz w:val="24"/>
          <w:lang w:val="sr-Cyrl-RS"/>
        </w:rPr>
        <w:t>и</w:t>
      </w:r>
      <w:r w:rsidR="004A3315" w:rsidRPr="0081082A">
        <w:rPr>
          <w:rFonts w:ascii="Times New Roman" w:hAnsi="Times New Roman"/>
          <w:sz w:val="24"/>
          <w:lang w:val="sr-Cyrl-RS"/>
        </w:rPr>
        <w:t xml:space="preserve"> важила до 2020. године, ни</w:t>
      </w:r>
      <w:r w:rsidR="00A403BC" w:rsidRPr="0081082A">
        <w:rPr>
          <w:rFonts w:ascii="Times New Roman" w:hAnsi="Times New Roman"/>
          <w:sz w:val="24"/>
          <w:lang w:val="sr-Cyrl-RS"/>
        </w:rPr>
        <w:t>су</w:t>
      </w:r>
      <w:r w:rsidR="004A3315" w:rsidRPr="0081082A">
        <w:rPr>
          <w:rFonts w:ascii="Times New Roman" w:hAnsi="Times New Roman"/>
          <w:sz w:val="24"/>
          <w:lang w:val="sr-Cyrl-RS"/>
        </w:rPr>
        <w:t xml:space="preserve"> </w:t>
      </w:r>
      <w:r w:rsidR="00A403BC" w:rsidRPr="0081082A">
        <w:rPr>
          <w:rFonts w:ascii="Times New Roman" w:hAnsi="Times New Roman"/>
          <w:sz w:val="24"/>
          <w:lang w:val="sr-Cyrl-RS"/>
        </w:rPr>
        <w:t xml:space="preserve">била </w:t>
      </w:r>
      <w:r w:rsidR="004A3315" w:rsidRPr="0081082A">
        <w:rPr>
          <w:rFonts w:ascii="Times New Roman" w:hAnsi="Times New Roman"/>
          <w:sz w:val="24"/>
          <w:lang w:val="sr-Cyrl-RS"/>
        </w:rPr>
        <w:t>израђен</w:t>
      </w:r>
      <w:r w:rsidR="00A403BC" w:rsidRPr="0081082A">
        <w:rPr>
          <w:rFonts w:ascii="Times New Roman" w:hAnsi="Times New Roman"/>
          <w:sz w:val="24"/>
          <w:lang w:val="sr-Cyrl-RS"/>
        </w:rPr>
        <w:t>а</w:t>
      </w:r>
      <w:r w:rsidR="004A3315" w:rsidRPr="0081082A">
        <w:rPr>
          <w:rFonts w:ascii="Times New Roman" w:hAnsi="Times New Roman"/>
          <w:sz w:val="24"/>
          <w:lang w:val="sr-Cyrl-RS"/>
        </w:rPr>
        <w:t xml:space="preserve"> у складу са Законом о планском систему</w:t>
      </w:r>
      <w:r w:rsidR="002A61BC" w:rsidRPr="0081082A">
        <w:rPr>
          <w:rFonts w:ascii="Times New Roman" w:hAnsi="Times New Roman"/>
          <w:sz w:val="24"/>
          <w:lang w:val="sr-Cyrl-RS"/>
        </w:rPr>
        <w:t xml:space="preserve"> </w:t>
      </w:r>
      <w:r w:rsidR="002A61BC" w:rsidRPr="0081082A">
        <w:rPr>
          <w:rFonts w:ascii="Times New Roman" w:hAnsi="Times New Roman" w:cs="Times New Roman"/>
          <w:sz w:val="24"/>
          <w:szCs w:val="24"/>
          <w:lang w:val="sr-Cyrl-RS"/>
        </w:rPr>
        <w:t>Републике Србије</w:t>
      </w:r>
      <w:r w:rsidR="004A3315" w:rsidRPr="0081082A">
        <w:rPr>
          <w:rFonts w:ascii="Times New Roman" w:hAnsi="Times New Roman"/>
          <w:sz w:val="24"/>
          <w:lang w:val="sr-Cyrl-RS"/>
        </w:rPr>
        <w:t xml:space="preserve">, а нова документа </w:t>
      </w:r>
      <w:r w:rsidR="00A403BC" w:rsidRPr="0081082A">
        <w:rPr>
          <w:rFonts w:ascii="Times New Roman" w:hAnsi="Times New Roman"/>
          <w:sz w:val="24"/>
          <w:lang w:val="sr-Cyrl-RS"/>
        </w:rPr>
        <w:t>се постепено усвајају.</w:t>
      </w:r>
    </w:p>
    <w:p w:rsidR="00721398" w:rsidRPr="0081082A" w:rsidRDefault="002C50C8" w:rsidP="00FF7AA9">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sz w:val="24"/>
          <w:shd w:val="clear" w:color="auto" w:fill="FFFFFF"/>
          <w:lang w:val="sr-Cyrl-RS"/>
        </w:rPr>
        <w:t>П</w:t>
      </w:r>
      <w:r w:rsidRPr="0081082A">
        <w:rPr>
          <w:rFonts w:ascii="Times New Roman" w:eastAsia="Calibri" w:hAnsi="Times New Roman" w:cs="Times New Roman"/>
          <w:bCs/>
          <w:sz w:val="24"/>
          <w:szCs w:val="24"/>
          <w:shd w:val="clear" w:color="auto" w:fill="FFFFFF"/>
          <w:lang w:val="sr-Cyrl-RS"/>
        </w:rPr>
        <w:t>роцена финансијских ефеката закона, другог прописа или другог акта на буџет, односно финансијске планове организација за обавезно социјално осигурање</w:t>
      </w:r>
      <w:r w:rsidRPr="0081082A">
        <w:rPr>
          <w:rStyle w:val="FootnoteReference"/>
          <w:rFonts w:ascii="Times New Roman" w:eastAsia="Calibri" w:hAnsi="Times New Roman" w:cs="Times New Roman"/>
          <w:bCs/>
          <w:sz w:val="24"/>
          <w:szCs w:val="24"/>
          <w:shd w:val="clear" w:color="auto" w:fill="FFFFFF"/>
          <w:lang w:val="sr-Cyrl-RS"/>
        </w:rPr>
        <w:footnoteReference w:id="46"/>
      </w:r>
      <w:r w:rsidRPr="0081082A">
        <w:rPr>
          <w:rFonts w:ascii="Times New Roman" w:eastAsia="Calibri" w:hAnsi="Times New Roman" w:cs="Times New Roman"/>
          <w:bCs/>
          <w:sz w:val="24"/>
          <w:szCs w:val="24"/>
          <w:shd w:val="clear" w:color="auto" w:fill="FFFFFF"/>
          <w:lang w:val="sr-Cyrl-RS"/>
        </w:rPr>
        <w:t xml:space="preserve"> представља изузетно битан сегмент процеса анализе ефеката</w:t>
      </w:r>
      <w:r w:rsidR="00E51588" w:rsidRPr="0081082A">
        <w:rPr>
          <w:rFonts w:ascii="Times New Roman" w:eastAsia="Calibri" w:hAnsi="Times New Roman" w:cs="Times New Roman"/>
          <w:bCs/>
          <w:sz w:val="24"/>
          <w:szCs w:val="24"/>
          <w:shd w:val="clear" w:color="auto" w:fill="FFFFFF"/>
          <w:lang w:val="sr-Cyrl-RS"/>
        </w:rPr>
        <w:t>,</w:t>
      </w:r>
      <w:r w:rsidRPr="0081082A">
        <w:rPr>
          <w:rFonts w:ascii="Times New Roman" w:eastAsia="Calibri" w:hAnsi="Times New Roman" w:cs="Times New Roman"/>
          <w:bCs/>
          <w:sz w:val="24"/>
          <w:szCs w:val="24"/>
          <w:shd w:val="clear" w:color="auto" w:fill="FFFFFF"/>
          <w:lang w:val="sr-Cyrl-RS"/>
        </w:rPr>
        <w:t xml:space="preserve"> и то нарочито</w:t>
      </w:r>
      <w:r w:rsidR="00721398" w:rsidRPr="0081082A">
        <w:rPr>
          <w:rFonts w:ascii="Times New Roman" w:hAnsi="Times New Roman"/>
          <w:sz w:val="24"/>
          <w:shd w:val="clear" w:color="auto" w:fill="FFFFFF"/>
          <w:lang w:val="sr-Cyrl-RS"/>
        </w:rPr>
        <w:t xml:space="preserve"> приликом </w:t>
      </w:r>
      <w:r w:rsidRPr="0081082A">
        <w:rPr>
          <w:rFonts w:ascii="Times New Roman" w:eastAsia="Calibri" w:hAnsi="Times New Roman" w:cs="Times New Roman"/>
          <w:bCs/>
          <w:sz w:val="24"/>
          <w:szCs w:val="24"/>
          <w:shd w:val="clear" w:color="auto" w:fill="FFFFFF"/>
          <w:lang w:val="sr-Cyrl-RS"/>
        </w:rPr>
        <w:t xml:space="preserve">израде прописа и </w:t>
      </w:r>
      <w:r w:rsidR="00721398" w:rsidRPr="0081082A">
        <w:rPr>
          <w:rFonts w:ascii="Times New Roman" w:hAnsi="Times New Roman"/>
          <w:sz w:val="24"/>
          <w:shd w:val="clear" w:color="auto" w:fill="FFFFFF"/>
          <w:lang w:val="sr-Cyrl-RS"/>
        </w:rPr>
        <w:t xml:space="preserve">докумената јавних политика </w:t>
      </w:r>
      <w:r w:rsidRPr="0081082A">
        <w:rPr>
          <w:rFonts w:ascii="Times New Roman" w:eastAsia="Calibri" w:hAnsi="Times New Roman" w:cs="Times New Roman"/>
          <w:bCs/>
          <w:sz w:val="24"/>
          <w:szCs w:val="24"/>
          <w:shd w:val="clear" w:color="auto" w:fill="FFFFFF"/>
          <w:lang w:val="sr-Cyrl-RS"/>
        </w:rPr>
        <w:t xml:space="preserve">какви су стратегије и програми. У оквиру анализе финансијских ефеката, од изузетне је важности на адекватан начин проценити трошкове које ће предложене мере и активности у нацртима, односно предлозима прописа и предлозима докумената јавних политика проузроковати заинтересованим странама и циљним групама, јер управо од </w:t>
      </w:r>
      <w:r w:rsidR="00193807" w:rsidRPr="0081082A">
        <w:rPr>
          <w:rFonts w:ascii="Times New Roman" w:eastAsia="Calibri" w:hAnsi="Times New Roman" w:cs="Times New Roman"/>
          <w:bCs/>
          <w:sz w:val="24"/>
          <w:szCs w:val="24"/>
          <w:shd w:val="clear" w:color="auto" w:fill="FFFFFF"/>
          <w:lang w:val="sr-Cyrl-RS"/>
        </w:rPr>
        <w:t>тога</w:t>
      </w:r>
      <w:r w:rsidRPr="0081082A">
        <w:rPr>
          <w:rFonts w:ascii="Times New Roman" w:eastAsia="Calibri" w:hAnsi="Times New Roman" w:cs="Times New Roman"/>
          <w:bCs/>
          <w:sz w:val="24"/>
          <w:szCs w:val="24"/>
          <w:shd w:val="clear" w:color="auto" w:fill="FFFFFF"/>
          <w:lang w:val="sr-Cyrl-RS"/>
        </w:rPr>
        <w:t xml:space="preserve"> зависи и коначан избор мера и активности.</w:t>
      </w:r>
      <w:r w:rsidR="00721398" w:rsidRPr="0081082A">
        <w:rPr>
          <w:rFonts w:ascii="Times New Roman" w:hAnsi="Times New Roman"/>
          <w:sz w:val="24"/>
          <w:shd w:val="clear" w:color="auto" w:fill="FFFFFF"/>
          <w:lang w:val="sr-Cyrl-RS"/>
        </w:rPr>
        <w:t xml:space="preserve"> Процена финансијских ефеката аката на буџет из године у годину </w:t>
      </w:r>
      <w:r w:rsidRPr="0081082A">
        <w:rPr>
          <w:rFonts w:ascii="Times New Roman" w:eastAsia="Calibri" w:hAnsi="Times New Roman" w:cs="Times New Roman"/>
          <w:bCs/>
          <w:sz w:val="24"/>
          <w:szCs w:val="24"/>
          <w:shd w:val="clear" w:color="auto" w:fill="FFFFFF"/>
          <w:lang w:val="sr-Cyrl-RS"/>
        </w:rPr>
        <w:t>је унапређивана</w:t>
      </w:r>
      <w:r w:rsidR="00721398" w:rsidRPr="0081082A">
        <w:rPr>
          <w:rFonts w:ascii="Times New Roman" w:hAnsi="Times New Roman"/>
          <w:sz w:val="24"/>
          <w:shd w:val="clear" w:color="auto" w:fill="FFFFFF"/>
          <w:lang w:val="sr-Cyrl-RS"/>
        </w:rPr>
        <w:t>, упоредо са напретком у средњорочном буџетирању, али је било неопходно донети јединствену методологију за процену стандардних трошкова за израду планских докумената</w:t>
      </w:r>
      <w:r w:rsidR="00A403BC" w:rsidRPr="0081082A">
        <w:rPr>
          <w:rFonts w:ascii="Times New Roman" w:hAnsi="Times New Roman"/>
          <w:sz w:val="24"/>
          <w:shd w:val="clear" w:color="auto" w:fill="FFFFFF"/>
          <w:lang w:val="sr-Cyrl-RS"/>
        </w:rPr>
        <w:t xml:space="preserve">. Методологија је представљена у </w:t>
      </w:r>
      <w:r w:rsidR="00721398" w:rsidRPr="0081082A">
        <w:rPr>
          <w:rFonts w:ascii="Times New Roman" w:hAnsi="Times New Roman"/>
          <w:sz w:val="24"/>
          <w:shd w:val="clear" w:color="auto" w:fill="FFFFFF"/>
          <w:lang w:val="sr-Cyrl-RS"/>
        </w:rPr>
        <w:t>Приручник</w:t>
      </w:r>
      <w:r w:rsidR="00A403BC" w:rsidRPr="0081082A">
        <w:rPr>
          <w:rFonts w:ascii="Times New Roman" w:hAnsi="Times New Roman"/>
          <w:sz w:val="24"/>
          <w:shd w:val="clear" w:color="auto" w:fill="FFFFFF"/>
          <w:lang w:val="sr-Cyrl-RS"/>
        </w:rPr>
        <w:t>у</w:t>
      </w:r>
      <w:r w:rsidR="00721398" w:rsidRPr="0081082A">
        <w:rPr>
          <w:rFonts w:ascii="Times New Roman" w:hAnsi="Times New Roman"/>
          <w:sz w:val="24"/>
          <w:shd w:val="clear" w:color="auto" w:fill="FFFFFF"/>
          <w:lang w:val="sr-Cyrl-RS"/>
        </w:rPr>
        <w:t xml:space="preserve"> за утврђивање трошкова јавних политика и прописа</w:t>
      </w:r>
      <w:r w:rsidR="00721398" w:rsidRPr="0081082A">
        <w:rPr>
          <w:rStyle w:val="FootnoteReference"/>
          <w:rFonts w:ascii="Times New Roman" w:hAnsi="Times New Roman"/>
          <w:sz w:val="24"/>
          <w:shd w:val="clear" w:color="auto" w:fill="FFFFFF"/>
          <w:lang w:val="sr-Cyrl-RS"/>
        </w:rPr>
        <w:footnoteReference w:id="47"/>
      </w:r>
      <w:r w:rsidRPr="0081082A">
        <w:rPr>
          <w:rFonts w:ascii="Times New Roman" w:eastAsia="Calibri" w:hAnsi="Times New Roman" w:cs="Times New Roman"/>
          <w:bCs/>
          <w:sz w:val="24"/>
          <w:szCs w:val="24"/>
          <w:shd w:val="clear" w:color="auto" w:fill="FFFFFF"/>
          <w:lang w:val="sr-Cyrl-RS"/>
        </w:rPr>
        <w:t xml:space="preserve"> чију је израду иницирао РСЈП у сарадњи са Министарством финансија,</w:t>
      </w:r>
      <w:r w:rsidR="00193807" w:rsidRPr="0081082A">
        <w:rPr>
          <w:rFonts w:ascii="Times New Roman" w:eastAsia="Calibri" w:hAnsi="Times New Roman" w:cs="Times New Roman"/>
          <w:bCs/>
          <w:sz w:val="24"/>
          <w:szCs w:val="24"/>
          <w:shd w:val="clear" w:color="auto" w:fill="FFFFFF"/>
          <w:lang w:val="sr-Cyrl-RS"/>
        </w:rPr>
        <w:t xml:space="preserve"> </w:t>
      </w:r>
      <w:r w:rsidR="00A403BC" w:rsidRPr="0081082A">
        <w:rPr>
          <w:rFonts w:ascii="Times New Roman" w:eastAsia="Calibri" w:hAnsi="Times New Roman" w:cs="Times New Roman"/>
          <w:bCs/>
          <w:sz w:val="24"/>
          <w:szCs w:val="24"/>
          <w:shd w:val="clear" w:color="auto" w:fill="FFFFFF"/>
          <w:lang w:val="sr-Cyrl-RS"/>
        </w:rPr>
        <w:t xml:space="preserve">а приручник је објављен у </w:t>
      </w:r>
      <w:r w:rsidRPr="0081082A">
        <w:rPr>
          <w:rFonts w:ascii="Times New Roman" w:eastAsia="Calibri" w:hAnsi="Times New Roman" w:cs="Times New Roman"/>
          <w:bCs/>
          <w:sz w:val="24"/>
          <w:szCs w:val="24"/>
          <w:shd w:val="clear" w:color="auto" w:fill="FFFFFF"/>
          <w:lang w:val="sr-Cyrl-RS"/>
        </w:rPr>
        <w:t>јулу 2020. године</w:t>
      </w:r>
      <w:r w:rsidR="00721398" w:rsidRPr="0081082A">
        <w:rPr>
          <w:rFonts w:ascii="Times New Roman" w:hAnsi="Times New Roman"/>
          <w:sz w:val="24"/>
          <w:shd w:val="clear" w:color="auto" w:fill="FFFFFF"/>
          <w:lang w:val="sr-Cyrl-RS"/>
        </w:rPr>
        <w:t>.</w:t>
      </w:r>
    </w:p>
    <w:p w:rsidR="000D3735" w:rsidRPr="0081082A" w:rsidRDefault="002C50C8" w:rsidP="00FF7AA9">
      <w:pPr>
        <w:spacing w:after="0" w:line="240" w:lineRule="auto"/>
        <w:ind w:firstLine="708"/>
        <w:jc w:val="both"/>
        <w:rPr>
          <w:rFonts w:ascii="Times New Roman" w:eastAsia="Calibri" w:hAnsi="Times New Roman" w:cs="Times New Roman"/>
          <w:bCs/>
          <w:sz w:val="24"/>
          <w:szCs w:val="24"/>
          <w:shd w:val="clear" w:color="auto" w:fill="FFFFFF"/>
          <w:lang w:val="sr-Cyrl-RS"/>
        </w:rPr>
      </w:pPr>
      <w:r w:rsidRPr="0081082A">
        <w:rPr>
          <w:rFonts w:ascii="Times New Roman" w:eastAsia="Calibri" w:hAnsi="Times New Roman" w:cs="Times New Roman"/>
          <w:bCs/>
          <w:sz w:val="24"/>
          <w:szCs w:val="24"/>
          <w:shd w:val="clear" w:color="auto" w:fill="FFFFFF"/>
          <w:lang w:val="sr-Cyrl-RS"/>
        </w:rPr>
        <w:t>Ефикасније и делотворније управљање</w:t>
      </w:r>
      <w:r w:rsidR="00721398" w:rsidRPr="0081082A">
        <w:rPr>
          <w:rFonts w:ascii="Times New Roman" w:eastAsiaTheme="minorHAnsi" w:hAnsi="Times New Roman"/>
          <w:sz w:val="24"/>
          <w:szCs w:val="22"/>
          <w:shd w:val="clear" w:color="auto" w:fill="FFFFFF"/>
          <w:lang w:val="sr-Cyrl-RS"/>
        </w:rPr>
        <w:t xml:space="preserve"> капиталним инвестицијама и реализација капиталних пројеката представља један од најважнијих стратешких циљева Владе</w:t>
      </w:r>
      <w:r w:rsidRPr="0081082A">
        <w:rPr>
          <w:rFonts w:ascii="Times New Roman" w:eastAsia="Calibri" w:hAnsi="Times New Roman" w:cs="Times New Roman"/>
          <w:bCs/>
          <w:sz w:val="24"/>
          <w:szCs w:val="24"/>
          <w:shd w:val="clear" w:color="auto" w:fill="FFFFFF"/>
          <w:lang w:val="sr-Cyrl-RS"/>
        </w:rPr>
        <w:t>, због чега је</w:t>
      </w:r>
      <w:r w:rsidR="00721398" w:rsidRPr="0081082A">
        <w:rPr>
          <w:rFonts w:ascii="Times New Roman" w:eastAsiaTheme="minorHAnsi" w:hAnsi="Times New Roman"/>
          <w:sz w:val="24"/>
          <w:szCs w:val="22"/>
          <w:shd w:val="clear" w:color="auto" w:fill="FFFFFF"/>
          <w:lang w:val="sr-Cyrl-RS"/>
        </w:rPr>
        <w:t xml:space="preserve"> овом процесу последњих година </w:t>
      </w:r>
      <w:r w:rsidRPr="0081082A">
        <w:rPr>
          <w:rFonts w:ascii="Times New Roman" w:eastAsia="Calibri" w:hAnsi="Times New Roman" w:cs="Times New Roman"/>
          <w:bCs/>
          <w:sz w:val="24"/>
          <w:szCs w:val="24"/>
          <w:shd w:val="clear" w:color="auto" w:fill="FFFFFF"/>
          <w:lang w:val="sr-Cyrl-RS"/>
        </w:rPr>
        <w:t>посвећена</w:t>
      </w:r>
      <w:r w:rsidR="00721398" w:rsidRPr="0081082A">
        <w:rPr>
          <w:rFonts w:ascii="Times New Roman" w:eastAsiaTheme="minorHAnsi" w:hAnsi="Times New Roman"/>
          <w:sz w:val="24"/>
          <w:szCs w:val="22"/>
          <w:shd w:val="clear" w:color="auto" w:fill="FFFFFF"/>
          <w:lang w:val="sr-Cyrl-RS"/>
        </w:rPr>
        <w:t xml:space="preserve"> велика пажња</w:t>
      </w:r>
      <w:r w:rsidRPr="0081082A">
        <w:rPr>
          <w:rFonts w:ascii="Times New Roman" w:eastAsia="Calibri" w:hAnsi="Times New Roman" w:cs="Times New Roman"/>
          <w:bCs/>
          <w:sz w:val="24"/>
          <w:szCs w:val="24"/>
          <w:shd w:val="clear" w:color="auto" w:fill="FFFFFF"/>
          <w:lang w:val="sr-Cyrl-RS"/>
        </w:rPr>
        <w:t>. Најпре је усвојена</w:t>
      </w:r>
      <w:r w:rsidR="00721398" w:rsidRPr="0081082A">
        <w:rPr>
          <w:rFonts w:ascii="Times New Roman" w:eastAsiaTheme="minorHAnsi" w:hAnsi="Times New Roman"/>
          <w:sz w:val="24"/>
          <w:szCs w:val="22"/>
          <w:shd w:val="clear" w:color="auto" w:fill="FFFFFF"/>
          <w:lang w:val="sr-Cyrl-RS"/>
        </w:rPr>
        <w:t xml:space="preserve"> Уредба о садржини, начину припреме и оцене, као и праћењу спровођења и извештавању о реализацији капиталних пројеката</w:t>
      </w:r>
      <w:r w:rsidRPr="0081082A">
        <w:rPr>
          <w:rStyle w:val="FootnoteReference"/>
          <w:rFonts w:ascii="Times New Roman" w:eastAsia="Calibri" w:hAnsi="Times New Roman" w:cs="Times New Roman"/>
          <w:bCs/>
          <w:sz w:val="24"/>
          <w:szCs w:val="24"/>
          <w:shd w:val="clear" w:color="auto" w:fill="FFFFFF"/>
          <w:lang w:val="sr-Cyrl-RS"/>
        </w:rPr>
        <w:footnoteReference w:id="48"/>
      </w:r>
      <w:r w:rsidRPr="0081082A">
        <w:rPr>
          <w:rFonts w:ascii="Times New Roman" w:eastAsia="Calibri" w:hAnsi="Times New Roman" w:cs="Times New Roman"/>
          <w:bCs/>
          <w:sz w:val="24"/>
          <w:szCs w:val="24"/>
          <w:shd w:val="clear" w:color="auto" w:fill="FFFFFF"/>
          <w:lang w:val="sr-Cyrl-RS"/>
        </w:rPr>
        <w:t xml:space="preserve">, </w:t>
      </w:r>
      <w:r w:rsidR="00721398" w:rsidRPr="0081082A">
        <w:rPr>
          <w:rFonts w:ascii="Times New Roman" w:eastAsiaTheme="minorHAnsi" w:hAnsi="Times New Roman"/>
          <w:sz w:val="24"/>
          <w:szCs w:val="22"/>
          <w:shd w:val="clear" w:color="auto" w:fill="FFFFFF"/>
          <w:lang w:val="sr-Cyrl-RS"/>
        </w:rPr>
        <w:t>кој</w:t>
      </w:r>
      <w:r w:rsidR="00721398" w:rsidRPr="0081082A">
        <w:rPr>
          <w:rFonts w:ascii="Times New Roman" w:eastAsia="Calibri" w:hAnsi="Times New Roman" w:cs="Times New Roman"/>
          <w:bCs/>
          <w:sz w:val="24"/>
          <w:szCs w:val="24"/>
          <w:shd w:val="clear" w:color="auto" w:fill="FFFFFF"/>
          <w:lang w:val="sr-Cyrl-RS"/>
        </w:rPr>
        <w:t>a</w:t>
      </w:r>
      <w:r w:rsidR="00721398" w:rsidRPr="0081082A">
        <w:rPr>
          <w:rFonts w:ascii="Times New Roman" w:eastAsiaTheme="minorHAnsi" w:hAnsi="Times New Roman"/>
          <w:sz w:val="24"/>
          <w:szCs w:val="22"/>
          <w:shd w:val="clear" w:color="auto" w:fill="FFFFFF"/>
          <w:lang w:val="sr-Cyrl-RS"/>
        </w:rPr>
        <w:t xml:space="preserve"> регулише садржину капиталних пројеката и вредновање њихових позитивних и негативних ефеката, 2017. године</w:t>
      </w:r>
      <w:r w:rsidR="008D500F" w:rsidRPr="0081082A">
        <w:rPr>
          <w:rFonts w:ascii="Times New Roman" w:eastAsiaTheme="minorHAnsi" w:hAnsi="Times New Roman"/>
          <w:sz w:val="24"/>
          <w:szCs w:val="22"/>
          <w:shd w:val="clear" w:color="auto" w:fill="FFFFFF"/>
          <w:lang w:val="sr-Cyrl-RS"/>
        </w:rPr>
        <w:t>,</w:t>
      </w:r>
      <w:r w:rsidR="00721398" w:rsidRPr="0081082A">
        <w:rPr>
          <w:rFonts w:ascii="Times New Roman" w:eastAsiaTheme="minorHAnsi" w:hAnsi="Times New Roman"/>
          <w:sz w:val="24"/>
          <w:szCs w:val="22"/>
          <w:shd w:val="clear" w:color="auto" w:fill="FFFFFF"/>
          <w:lang w:val="sr-Cyrl-RS"/>
        </w:rPr>
        <w:t xml:space="preserve"> и почела је са применом </w:t>
      </w:r>
      <w:r w:rsidRPr="0081082A">
        <w:rPr>
          <w:rFonts w:ascii="Times New Roman" w:eastAsia="Calibri" w:hAnsi="Times New Roman" w:cs="Times New Roman"/>
          <w:bCs/>
          <w:sz w:val="24"/>
          <w:szCs w:val="24"/>
          <w:shd w:val="clear" w:color="auto" w:fill="FFFFFF"/>
          <w:lang w:val="sr-Cyrl-RS"/>
        </w:rPr>
        <w:t>почетком</w:t>
      </w:r>
      <w:r w:rsidR="00721398" w:rsidRPr="0081082A">
        <w:rPr>
          <w:rFonts w:ascii="Times New Roman" w:eastAsiaTheme="minorHAnsi" w:hAnsi="Times New Roman"/>
          <w:sz w:val="24"/>
          <w:szCs w:val="22"/>
          <w:shd w:val="clear" w:color="auto" w:fill="FFFFFF"/>
          <w:lang w:val="sr-Cyrl-RS"/>
        </w:rPr>
        <w:t xml:space="preserve"> 2018. године</w:t>
      </w:r>
      <w:r w:rsidRPr="0081082A">
        <w:rPr>
          <w:rFonts w:ascii="Times New Roman" w:eastAsia="Calibri" w:hAnsi="Times New Roman" w:cs="Times New Roman"/>
          <w:bCs/>
          <w:sz w:val="24"/>
          <w:szCs w:val="24"/>
          <w:shd w:val="clear" w:color="auto" w:fill="FFFFFF"/>
          <w:lang w:val="sr-Cyrl-RS"/>
        </w:rPr>
        <w:t>, а затим је усвојен</w:t>
      </w:r>
      <w:r w:rsidR="00721398" w:rsidRPr="0081082A">
        <w:rPr>
          <w:rFonts w:ascii="Times New Roman" w:eastAsiaTheme="minorHAnsi" w:hAnsi="Times New Roman"/>
          <w:sz w:val="24"/>
          <w:szCs w:val="22"/>
          <w:shd w:val="clear" w:color="auto" w:fill="FFFFFF"/>
          <w:lang w:val="sr-Cyrl-RS"/>
        </w:rPr>
        <w:t xml:space="preserve"> и </w:t>
      </w:r>
      <w:r w:rsidRPr="0081082A">
        <w:rPr>
          <w:rFonts w:ascii="Times New Roman" w:eastAsia="Calibri" w:hAnsi="Times New Roman" w:cs="Times New Roman"/>
          <w:bCs/>
          <w:sz w:val="24"/>
          <w:szCs w:val="24"/>
          <w:shd w:val="clear" w:color="auto" w:fill="FFFFFF"/>
          <w:lang w:val="sr-Cyrl-RS"/>
        </w:rPr>
        <w:t>пратећи Правилник</w:t>
      </w:r>
      <w:r w:rsidR="00721398" w:rsidRPr="0081082A">
        <w:rPr>
          <w:rFonts w:ascii="Times New Roman" w:eastAsiaTheme="minorHAnsi" w:hAnsi="Times New Roman"/>
          <w:sz w:val="24"/>
          <w:szCs w:val="22"/>
          <w:shd w:val="clear" w:color="auto" w:fill="FFFFFF"/>
          <w:lang w:val="sr-Cyrl-RS"/>
        </w:rPr>
        <w:t xml:space="preserve"> </w:t>
      </w:r>
      <w:r w:rsidR="00721398" w:rsidRPr="0081082A">
        <w:rPr>
          <w:rFonts w:ascii="Times New Roman" w:eastAsia="Calibri" w:hAnsi="Times New Roman" w:cs="Times New Roman"/>
          <w:bCs/>
          <w:sz w:val="24"/>
          <w:szCs w:val="24"/>
          <w:shd w:val="clear" w:color="auto" w:fill="FFFFFF"/>
          <w:lang w:val="sr-Cyrl-RS"/>
        </w:rPr>
        <w:t>о садржини, роковима и поступку достављања инвестиционе документације за капиталне пројекте</w:t>
      </w:r>
      <w:r w:rsidRPr="0081082A">
        <w:rPr>
          <w:rStyle w:val="FootnoteReference"/>
          <w:rFonts w:ascii="Times New Roman" w:eastAsia="Calibri" w:hAnsi="Times New Roman" w:cs="Times New Roman"/>
          <w:bCs/>
          <w:sz w:val="24"/>
          <w:szCs w:val="24"/>
          <w:shd w:val="clear" w:color="auto" w:fill="FFFFFF"/>
          <w:lang w:val="sr-Cyrl-RS"/>
        </w:rPr>
        <w:footnoteReference w:id="49"/>
      </w:r>
      <w:r w:rsidRPr="0081082A">
        <w:rPr>
          <w:rFonts w:ascii="Times New Roman" w:eastAsia="Calibri" w:hAnsi="Times New Roman" w:cs="Times New Roman"/>
          <w:bCs/>
          <w:sz w:val="24"/>
          <w:szCs w:val="24"/>
          <w:shd w:val="clear" w:color="auto" w:fill="FFFFFF"/>
          <w:lang w:val="sr-Cyrl-RS"/>
        </w:rPr>
        <w:t xml:space="preserve">. </w:t>
      </w:r>
    </w:p>
    <w:p w:rsidR="000D3735" w:rsidRPr="0081082A" w:rsidRDefault="000D3735" w:rsidP="00FC2D8E">
      <w:pPr>
        <w:spacing w:after="0" w:line="240" w:lineRule="auto"/>
        <w:ind w:firstLine="708"/>
        <w:jc w:val="both"/>
        <w:rPr>
          <w:rFonts w:ascii="Times New Roman" w:eastAsia="Calibri" w:hAnsi="Times New Roman" w:cs="Times New Roman"/>
          <w:bCs/>
          <w:sz w:val="24"/>
          <w:szCs w:val="24"/>
          <w:shd w:val="clear" w:color="auto" w:fill="FFFFFF"/>
          <w:lang w:val="sr-Cyrl-RS"/>
        </w:rPr>
      </w:pPr>
      <w:r w:rsidRPr="0081082A">
        <w:rPr>
          <w:rFonts w:ascii="Times New Roman" w:eastAsia="Calibri" w:hAnsi="Times New Roman" w:cs="Times New Roman"/>
          <w:bCs/>
          <w:sz w:val="24"/>
          <w:szCs w:val="24"/>
          <w:shd w:val="clear" w:color="auto" w:fill="FFFFFF"/>
          <w:lang w:val="sr-Cyrl-RS"/>
        </w:rPr>
        <w:t>Како наведени правни оквир није заживео у пракси,</w:t>
      </w:r>
      <w:r w:rsidRPr="0081082A">
        <w:rPr>
          <w:rFonts w:ascii="Times New Roman" w:hAnsi="Times New Roman"/>
          <w:sz w:val="24"/>
          <w:shd w:val="clear" w:color="auto" w:fill="FFFFFF"/>
          <w:lang w:val="sr-Cyrl-RS"/>
        </w:rPr>
        <w:t xml:space="preserve"> у јулу 2019. године усвојена је нова Уредба о управљању капиталним пројектима</w:t>
      </w:r>
      <w:r w:rsidRPr="0081082A">
        <w:rPr>
          <w:rStyle w:val="FootnoteReference"/>
          <w:rFonts w:ascii="Times New Roman" w:hAnsi="Times New Roman"/>
          <w:sz w:val="24"/>
          <w:shd w:val="clear" w:color="auto" w:fill="FFFFFF"/>
          <w:lang w:val="sr-Cyrl-RS"/>
        </w:rPr>
        <w:footnoteReference w:id="50"/>
      </w:r>
      <w:r w:rsidRPr="0081082A">
        <w:rPr>
          <w:rFonts w:ascii="Times New Roman" w:eastAsia="Calibri" w:hAnsi="Times New Roman" w:cs="Times New Roman"/>
          <w:bCs/>
          <w:sz w:val="24"/>
          <w:szCs w:val="24"/>
          <w:shd w:val="clear" w:color="auto" w:fill="FFFFFF"/>
          <w:lang w:val="sr-Cyrl-RS"/>
        </w:rPr>
        <w:t>.</w:t>
      </w:r>
      <w:r w:rsidRPr="0081082A">
        <w:rPr>
          <w:rFonts w:ascii="Times New Roman" w:hAnsi="Times New Roman"/>
          <w:sz w:val="24"/>
          <w:shd w:val="clear" w:color="auto" w:fill="FFFFFF"/>
          <w:lang w:val="sr-Cyrl-RS"/>
        </w:rPr>
        <w:t xml:space="preserve"> Њеним усвајањем, као и усвајањем пратећих правилника</w:t>
      </w:r>
      <w:r w:rsidRPr="0081082A">
        <w:rPr>
          <w:rStyle w:val="FootnoteReference"/>
          <w:rFonts w:ascii="Times New Roman" w:hAnsi="Times New Roman"/>
          <w:sz w:val="24"/>
          <w:shd w:val="clear" w:color="auto" w:fill="FFFFFF"/>
          <w:lang w:val="sr-Cyrl-RS"/>
        </w:rPr>
        <w:footnoteReference w:id="51"/>
      </w:r>
      <w:r w:rsidRPr="0081082A">
        <w:rPr>
          <w:rFonts w:ascii="Times New Roman" w:hAnsi="Times New Roman"/>
          <w:sz w:val="24"/>
          <w:shd w:val="clear" w:color="auto" w:fill="FFFFFF"/>
          <w:lang w:val="sr-Cyrl-RS"/>
        </w:rPr>
        <w:t xml:space="preserve"> у децембру 2019. године, заокружен је правни оквир који регулише процедуру управљања капиталним пројектима у Р</w:t>
      </w:r>
      <w:r w:rsidR="00D539B3" w:rsidRPr="0081082A">
        <w:rPr>
          <w:rFonts w:ascii="Times New Roman" w:hAnsi="Times New Roman"/>
          <w:sz w:val="24"/>
          <w:shd w:val="clear" w:color="auto" w:fill="FFFFFF"/>
          <w:lang w:val="sr-Cyrl-RS"/>
        </w:rPr>
        <w:t xml:space="preserve">епублици </w:t>
      </w:r>
      <w:r w:rsidRPr="0081082A">
        <w:rPr>
          <w:rFonts w:ascii="Times New Roman" w:hAnsi="Times New Roman"/>
          <w:sz w:val="24"/>
          <w:shd w:val="clear" w:color="auto" w:fill="FFFFFF"/>
          <w:lang w:val="sr-Cyrl-RS"/>
        </w:rPr>
        <w:t>С</w:t>
      </w:r>
      <w:r w:rsidR="00D539B3" w:rsidRPr="0081082A">
        <w:rPr>
          <w:rFonts w:ascii="Times New Roman" w:hAnsi="Times New Roman"/>
          <w:sz w:val="24"/>
          <w:shd w:val="clear" w:color="auto" w:fill="FFFFFF"/>
          <w:lang w:val="sr-Cyrl-RS"/>
        </w:rPr>
        <w:t>рбији</w:t>
      </w:r>
      <w:r w:rsidRPr="0081082A">
        <w:rPr>
          <w:rFonts w:ascii="Times New Roman" w:eastAsia="Calibri" w:hAnsi="Times New Roman" w:cs="Times New Roman"/>
          <w:bCs/>
          <w:sz w:val="24"/>
          <w:szCs w:val="24"/>
          <w:shd w:val="clear" w:color="auto" w:fill="FFFFFF"/>
          <w:lang w:val="sr-Cyrl-RS"/>
        </w:rPr>
        <w:t xml:space="preserve">. На тај начин остварен је допринос унапређењу процеса оцене и праћења капиталних пројеката, као предуслов да потребни ресурси буду издвојени за највише </w:t>
      </w:r>
      <w:r w:rsidR="00E71CB2" w:rsidRPr="0081082A">
        <w:rPr>
          <w:rFonts w:ascii="Times New Roman" w:eastAsia="Calibri" w:hAnsi="Times New Roman" w:cs="Times New Roman"/>
          <w:bCs/>
          <w:sz w:val="24"/>
          <w:szCs w:val="24"/>
          <w:shd w:val="clear" w:color="auto" w:fill="FFFFFF"/>
          <w:lang w:val="sr-Cyrl-RS"/>
        </w:rPr>
        <w:t xml:space="preserve">приоритете </w:t>
      </w:r>
      <w:r w:rsidRPr="0081082A">
        <w:rPr>
          <w:rFonts w:ascii="Times New Roman" w:eastAsia="Calibri" w:hAnsi="Times New Roman" w:cs="Times New Roman"/>
          <w:bCs/>
          <w:sz w:val="24"/>
          <w:szCs w:val="24"/>
          <w:shd w:val="clear" w:color="auto" w:fill="FFFFFF"/>
          <w:lang w:val="sr-Cyrl-RS"/>
        </w:rPr>
        <w:t>Владе, ради смањења прекорачења трошкова, краћег временског интервала од идентификовања потреба до постизања</w:t>
      </w:r>
      <w:r w:rsidRPr="0081082A">
        <w:rPr>
          <w:rFonts w:ascii="Times New Roman" w:hAnsi="Times New Roman"/>
          <w:sz w:val="24"/>
          <w:shd w:val="clear" w:color="auto" w:fill="FFFFFF"/>
          <w:lang w:val="sr-Cyrl-RS"/>
        </w:rPr>
        <w:t xml:space="preserve"> резултата</w:t>
      </w:r>
      <w:r w:rsidRPr="0081082A">
        <w:rPr>
          <w:rFonts w:ascii="Times New Roman" w:eastAsia="Calibri" w:hAnsi="Times New Roman" w:cs="Times New Roman"/>
          <w:bCs/>
          <w:sz w:val="24"/>
          <w:szCs w:val="24"/>
          <w:shd w:val="clear" w:color="auto" w:fill="FFFFFF"/>
          <w:lang w:val="sr-Cyrl-RS"/>
        </w:rPr>
        <w:t xml:space="preserve">, обезбеђивања бољих пројектних </w:t>
      </w:r>
      <w:r w:rsidRPr="0081082A">
        <w:rPr>
          <w:rFonts w:ascii="Times New Roman" w:eastAsia="Calibri" w:hAnsi="Times New Roman" w:cs="Times New Roman"/>
          <w:bCs/>
          <w:sz w:val="24"/>
          <w:szCs w:val="24"/>
          <w:shd w:val="clear" w:color="auto" w:fill="FFFFFF"/>
          <w:lang w:val="sr-Cyrl-RS"/>
        </w:rPr>
        <w:lastRenderedPageBreak/>
        <w:t>резултата, смањења броја пројеката у мировању или одложених пројеката, те избегавања реализације оних пројеката где</w:t>
      </w:r>
      <w:r w:rsidRPr="0081082A">
        <w:rPr>
          <w:rFonts w:ascii="Times New Roman" w:hAnsi="Times New Roman"/>
          <w:sz w:val="24"/>
          <w:shd w:val="clear" w:color="auto" w:fill="FFFFFF"/>
          <w:lang w:val="sr-Cyrl-RS"/>
        </w:rPr>
        <w:t xml:space="preserve"> је </w:t>
      </w:r>
      <w:r w:rsidRPr="0081082A">
        <w:rPr>
          <w:rFonts w:ascii="Times New Roman" w:eastAsia="Calibri" w:hAnsi="Times New Roman" w:cs="Times New Roman"/>
          <w:bCs/>
          <w:sz w:val="24"/>
          <w:szCs w:val="24"/>
          <w:shd w:val="clear" w:color="auto" w:fill="FFFFFF"/>
          <w:lang w:val="sr-Cyrl-RS"/>
        </w:rPr>
        <w:t>већи трошак него корист, као и идентификовања  фискалних ризика. Чланом 1. Уредбе прописано је да је иста усвојена  управо у циљу обезбеђивања вредновања свих позитивних и негативних ефеката пројеката и како би се осигурало делотворно и ефикасно управљање јавним средствима.</w:t>
      </w:r>
    </w:p>
    <w:p w:rsidR="00721398" w:rsidRPr="0081082A" w:rsidRDefault="000D3735" w:rsidP="00FF7AA9">
      <w:pPr>
        <w:spacing w:after="0" w:line="240" w:lineRule="auto"/>
        <w:ind w:firstLine="708"/>
        <w:jc w:val="both"/>
        <w:rPr>
          <w:rFonts w:ascii="Times New Roman" w:hAnsi="Times New Roman"/>
          <w:sz w:val="24"/>
          <w:lang w:val="sr-Cyrl-RS"/>
        </w:rPr>
      </w:pPr>
      <w:r w:rsidRPr="0081082A">
        <w:rPr>
          <w:rFonts w:ascii="Times New Roman" w:hAnsi="Times New Roman"/>
          <w:sz w:val="24"/>
          <w:shd w:val="clear" w:color="auto" w:fill="FFFFFF"/>
          <w:lang w:val="sr-Cyrl-RS"/>
        </w:rPr>
        <w:t xml:space="preserve">Сходно усвојеном правном оквиру, формирана је и Комисија за </w:t>
      </w:r>
      <w:r w:rsidR="002C50C8" w:rsidRPr="0081082A">
        <w:rPr>
          <w:rFonts w:ascii="Times New Roman" w:hAnsi="Times New Roman"/>
          <w:sz w:val="24"/>
          <w:shd w:val="clear" w:color="auto" w:fill="FFFFFF"/>
          <w:lang w:val="sr-Cyrl-RS"/>
        </w:rPr>
        <w:t>капиталне инвестиције</w:t>
      </w:r>
      <w:r w:rsidR="00193807" w:rsidRPr="0081082A">
        <w:rPr>
          <w:rFonts w:ascii="Times New Roman" w:hAnsi="Times New Roman"/>
          <w:sz w:val="24"/>
          <w:shd w:val="clear" w:color="auto" w:fill="FFFFFF"/>
          <w:lang w:val="sr-Cyrl-RS"/>
        </w:rPr>
        <w:t>,</w:t>
      </w:r>
      <w:r w:rsidR="00311534" w:rsidRPr="0081082A">
        <w:rPr>
          <w:rFonts w:ascii="Times New Roman" w:hAnsi="Times New Roman"/>
          <w:sz w:val="24"/>
          <w:shd w:val="clear" w:color="auto" w:fill="FFFFFF"/>
          <w:lang w:val="sr-Cyrl-RS"/>
        </w:rPr>
        <w:t xml:space="preserve"> која врши потврду стратешке релевантности капиталних пројеката и усваја листу капиталних пројеката који су успешно оцењени и прошли пре</w:t>
      </w:r>
      <w:r w:rsidR="004C7060">
        <w:rPr>
          <w:rFonts w:ascii="Times New Roman" w:hAnsi="Times New Roman"/>
          <w:sz w:val="24"/>
          <w:shd w:val="clear" w:color="auto" w:fill="FFFFFF"/>
          <w:lang w:val="sr-Cyrl-RS"/>
        </w:rPr>
        <w:t>д</w:t>
      </w:r>
      <w:r w:rsidR="00311534" w:rsidRPr="0081082A">
        <w:rPr>
          <w:rFonts w:ascii="Times New Roman" w:hAnsi="Times New Roman"/>
          <w:sz w:val="24"/>
          <w:shd w:val="clear" w:color="auto" w:fill="FFFFFF"/>
          <w:lang w:val="sr-Cyrl-RS"/>
        </w:rPr>
        <w:t>имплементациону фазу, и која</w:t>
      </w:r>
      <w:r w:rsidR="00311534" w:rsidRPr="0081082A">
        <w:rPr>
          <w:lang w:val="sr-Cyrl-RS"/>
        </w:rPr>
        <w:t xml:space="preserve"> </w:t>
      </w:r>
      <w:r w:rsidR="00311534" w:rsidRPr="0081082A">
        <w:rPr>
          <w:rFonts w:ascii="Times New Roman" w:hAnsi="Times New Roman"/>
          <w:sz w:val="24"/>
          <w:shd w:val="clear" w:color="auto" w:fill="FFFFFF"/>
          <w:lang w:val="sr-Cyrl-RS"/>
        </w:rPr>
        <w:t>разматра питања од значаја за развој инфраструктуре Републике Србије, те промовише систематско планирање инвестиција у инфраструктуру</w:t>
      </w:r>
      <w:r w:rsidR="002C50C8" w:rsidRPr="0081082A">
        <w:rPr>
          <w:rFonts w:ascii="Times New Roman" w:hAnsi="Times New Roman"/>
          <w:sz w:val="24"/>
          <w:shd w:val="clear" w:color="auto" w:fill="FFFFFF"/>
          <w:lang w:val="sr-Cyrl-RS"/>
        </w:rPr>
        <w:t xml:space="preserve">. </w:t>
      </w:r>
      <w:bookmarkStart w:id="12" w:name="_Hlk63248331"/>
      <w:r w:rsidR="002C50C8" w:rsidRPr="0081082A">
        <w:rPr>
          <w:rFonts w:ascii="Times New Roman" w:eastAsia="Calibri" w:hAnsi="Times New Roman" w:cs="Times New Roman"/>
          <w:bCs/>
          <w:sz w:val="24"/>
          <w:szCs w:val="24"/>
          <w:shd w:val="clear" w:color="auto" w:fill="FFFFFF"/>
          <w:lang w:val="sr-Cyrl-RS"/>
        </w:rPr>
        <w:t xml:space="preserve">У претходном периоду одржане су </w:t>
      </w:r>
      <w:r w:rsidR="00196377" w:rsidRPr="0081082A">
        <w:rPr>
          <w:rFonts w:ascii="Times New Roman" w:eastAsia="Calibri" w:hAnsi="Times New Roman" w:cs="Times New Roman"/>
          <w:bCs/>
          <w:sz w:val="24"/>
          <w:szCs w:val="24"/>
          <w:shd w:val="clear" w:color="auto" w:fill="FFFFFF"/>
          <w:lang w:val="sr-Cyrl-RS"/>
        </w:rPr>
        <w:t>четири</w:t>
      </w:r>
      <w:r w:rsidR="002C50C8" w:rsidRPr="0081082A">
        <w:rPr>
          <w:rFonts w:ascii="Times New Roman" w:eastAsia="Calibri" w:hAnsi="Times New Roman" w:cs="Times New Roman"/>
          <w:bCs/>
          <w:sz w:val="24"/>
          <w:szCs w:val="24"/>
          <w:shd w:val="clear" w:color="auto" w:fill="FFFFFF"/>
          <w:lang w:val="sr-Cyrl-RS"/>
        </w:rPr>
        <w:t xml:space="preserve"> седнице.</w:t>
      </w:r>
      <w:bookmarkEnd w:id="12"/>
      <w:r w:rsidR="00721398" w:rsidRPr="0081082A">
        <w:rPr>
          <w:rFonts w:ascii="Times New Roman" w:hAnsi="Times New Roman"/>
          <w:sz w:val="24"/>
          <w:lang w:val="sr-Cyrl-RS"/>
        </w:rPr>
        <w:t xml:space="preserve"> </w:t>
      </w:r>
    </w:p>
    <w:p w:rsidR="00721398" w:rsidRPr="0081082A" w:rsidRDefault="00721398" w:rsidP="00FF7AA9">
      <w:pPr>
        <w:spacing w:after="0" w:line="240" w:lineRule="auto"/>
        <w:ind w:firstLine="708"/>
        <w:jc w:val="both"/>
        <w:rPr>
          <w:rFonts w:ascii="Times New Roman" w:hAnsi="Times New Roman"/>
          <w:sz w:val="24"/>
          <w:lang w:val="sr-Cyrl-RS"/>
        </w:rPr>
      </w:pPr>
      <w:r w:rsidRPr="0081082A">
        <w:rPr>
          <w:rFonts w:ascii="Times New Roman" w:eastAsiaTheme="minorHAnsi" w:hAnsi="Times New Roman"/>
          <w:sz w:val="24"/>
          <w:szCs w:val="22"/>
          <w:shd w:val="clear" w:color="auto" w:fill="FFFFFF"/>
          <w:lang w:val="sr-Cyrl-RS"/>
        </w:rPr>
        <w:t xml:space="preserve">Комисија је усвојила Пословник о раду и донела Одлуку о образовању радног тела за обављање административних и стручних послова - технички задаци за реализацију </w:t>
      </w:r>
      <w:r w:rsidR="002C50C8" w:rsidRPr="0081082A">
        <w:rPr>
          <w:rFonts w:ascii="Times New Roman" w:eastAsia="Calibri" w:hAnsi="Times New Roman" w:cs="Times New Roman"/>
          <w:bCs/>
          <w:sz w:val="24"/>
          <w:szCs w:val="24"/>
          <w:shd w:val="clear" w:color="auto" w:fill="FFFFFF"/>
          <w:lang w:val="sr-Cyrl-RS"/>
        </w:rPr>
        <w:t>Програма</w:t>
      </w:r>
      <w:r w:rsidRPr="0081082A">
        <w:rPr>
          <w:rFonts w:ascii="Times New Roman" w:eastAsiaTheme="minorHAnsi" w:hAnsi="Times New Roman"/>
          <w:sz w:val="24"/>
          <w:szCs w:val="22"/>
          <w:shd w:val="clear" w:color="auto" w:fill="FFFFFF"/>
          <w:lang w:val="sr-Cyrl-RS"/>
        </w:rPr>
        <w:t xml:space="preserve"> инвестиционих пројеката „Србија 2025</w:t>
      </w:r>
      <w:r w:rsidR="007E728E" w:rsidRPr="0081082A">
        <w:rPr>
          <w:rFonts w:ascii="Times New Roman" w:eastAsia="Calibri" w:hAnsi="Times New Roman" w:cs="Times New Roman"/>
          <w:bCs/>
          <w:sz w:val="24"/>
          <w:szCs w:val="24"/>
          <w:shd w:val="clear" w:color="auto" w:fill="FFFFFF"/>
          <w:lang w:val="sr-Cyrl-RS"/>
        </w:rPr>
        <w:t>”</w:t>
      </w:r>
      <w:r w:rsidR="002C50C8" w:rsidRPr="0081082A">
        <w:rPr>
          <w:rFonts w:ascii="Times New Roman" w:eastAsia="Calibri" w:hAnsi="Times New Roman" w:cs="Times New Roman"/>
          <w:bCs/>
          <w:sz w:val="24"/>
          <w:szCs w:val="24"/>
          <w:shd w:val="clear" w:color="auto" w:fill="FFFFFF"/>
          <w:lang w:val="sr-Cyrl-RS"/>
        </w:rPr>
        <w:t>.</w:t>
      </w:r>
      <w:r w:rsidRPr="0081082A">
        <w:rPr>
          <w:rFonts w:ascii="Times New Roman" w:eastAsiaTheme="minorHAnsi" w:hAnsi="Times New Roman"/>
          <w:sz w:val="24"/>
          <w:szCs w:val="22"/>
          <w:shd w:val="clear" w:color="auto" w:fill="FFFFFF"/>
          <w:lang w:val="sr-Cyrl-RS"/>
        </w:rPr>
        <w:t xml:space="preserve"> </w:t>
      </w:r>
    </w:p>
    <w:p w:rsidR="00721398" w:rsidRPr="0081082A" w:rsidRDefault="00721398" w:rsidP="00FF7AA9">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sz w:val="24"/>
          <w:shd w:val="clear" w:color="auto" w:fill="FFFFFF"/>
          <w:lang w:val="sr-Cyrl-RS"/>
        </w:rPr>
        <w:t>На техничком нивоу, 2019. године</w:t>
      </w:r>
      <w:r w:rsidR="002C50C8" w:rsidRPr="0081082A">
        <w:rPr>
          <w:rFonts w:ascii="Times New Roman" w:eastAsia="Calibri" w:hAnsi="Times New Roman" w:cs="Times New Roman"/>
          <w:bCs/>
          <w:sz w:val="24"/>
          <w:shd w:val="clear" w:color="auto" w:fill="FFFFFF"/>
          <w:lang w:val="sr-Cyrl-RS"/>
        </w:rPr>
        <w:t xml:space="preserve"> је</w:t>
      </w:r>
      <w:r w:rsidRPr="0081082A">
        <w:rPr>
          <w:rFonts w:ascii="Times New Roman" w:hAnsi="Times New Roman"/>
          <w:sz w:val="24"/>
          <w:shd w:val="clear" w:color="auto" w:fill="FFFFFF"/>
          <w:lang w:val="sr-Cyrl-RS"/>
        </w:rPr>
        <w:t xml:space="preserve"> актом о Систематизацији радних места Министарства финансија формиран Сектор за праћење фискалних ризика који се</w:t>
      </w:r>
      <w:r w:rsidR="002C50C8" w:rsidRPr="0081082A">
        <w:rPr>
          <w:rFonts w:ascii="Times New Roman" w:eastAsia="Calibri" w:hAnsi="Times New Roman" w:cs="Times New Roman"/>
          <w:bCs/>
          <w:sz w:val="24"/>
          <w:shd w:val="clear" w:color="auto" w:fill="FFFFFF"/>
          <w:lang w:val="sr-Cyrl-RS"/>
        </w:rPr>
        <w:t>,</w:t>
      </w:r>
      <w:r w:rsidRPr="0081082A">
        <w:rPr>
          <w:rFonts w:ascii="Times New Roman" w:hAnsi="Times New Roman"/>
          <w:sz w:val="24"/>
          <w:shd w:val="clear" w:color="auto" w:fill="FFFFFF"/>
          <w:lang w:val="sr-Cyrl-RS"/>
        </w:rPr>
        <w:t xml:space="preserve"> </w:t>
      </w:r>
      <w:r w:rsidRPr="0081082A">
        <w:rPr>
          <w:rFonts w:ascii="Times New Roman" w:eastAsia="Calibri" w:hAnsi="Times New Roman" w:cs="Times New Roman"/>
          <w:bCs/>
          <w:sz w:val="24"/>
          <w:shd w:val="clear" w:color="auto" w:fill="FFFFFF"/>
          <w:lang w:val="sr-Cyrl-RS"/>
        </w:rPr>
        <w:t>између осталог</w:t>
      </w:r>
      <w:r w:rsidR="002C50C8" w:rsidRPr="0081082A">
        <w:rPr>
          <w:rFonts w:ascii="Times New Roman" w:eastAsia="Calibri" w:hAnsi="Times New Roman" w:cs="Times New Roman"/>
          <w:bCs/>
          <w:sz w:val="24"/>
          <w:shd w:val="clear" w:color="auto" w:fill="FFFFFF"/>
          <w:lang w:val="sr-Cyrl-RS"/>
        </w:rPr>
        <w:t>,</w:t>
      </w:r>
      <w:r w:rsidRPr="0081082A">
        <w:rPr>
          <w:rFonts w:ascii="Times New Roman" w:eastAsia="Calibri" w:hAnsi="Times New Roman" w:cs="Times New Roman"/>
          <w:bCs/>
          <w:sz w:val="24"/>
          <w:shd w:val="clear" w:color="auto" w:fill="FFFFFF"/>
          <w:lang w:val="sr-Cyrl-RS"/>
        </w:rPr>
        <w:t xml:space="preserve"> </w:t>
      </w:r>
      <w:r w:rsidRPr="0081082A">
        <w:rPr>
          <w:rFonts w:ascii="Times New Roman" w:hAnsi="Times New Roman"/>
          <w:sz w:val="24"/>
          <w:shd w:val="clear" w:color="auto" w:fill="FFFFFF"/>
          <w:lang w:val="sr-Cyrl-RS"/>
        </w:rPr>
        <w:t xml:space="preserve">бави </w:t>
      </w:r>
      <w:r w:rsidRPr="0081082A">
        <w:rPr>
          <w:rFonts w:ascii="Times New Roman" w:eastAsia="Calibri" w:hAnsi="Times New Roman" w:cs="Times New Roman"/>
          <w:bCs/>
          <w:sz w:val="24"/>
          <w:shd w:val="clear" w:color="auto" w:fill="FFFFFF"/>
          <w:lang w:val="sr-Cyrl-RS"/>
        </w:rPr>
        <w:t xml:space="preserve">и </w:t>
      </w:r>
      <w:r w:rsidRPr="0081082A">
        <w:rPr>
          <w:rFonts w:ascii="Times New Roman" w:hAnsi="Times New Roman"/>
          <w:sz w:val="24"/>
          <w:shd w:val="clear" w:color="auto" w:fill="FFFFFF"/>
          <w:lang w:val="sr-Cyrl-RS"/>
        </w:rPr>
        <w:t xml:space="preserve">управљањем капиталним пројектима и пружа техничку подршку </w:t>
      </w:r>
      <w:r w:rsidR="002C50C8" w:rsidRPr="0081082A">
        <w:rPr>
          <w:rFonts w:ascii="Times New Roman" w:eastAsia="Calibri" w:hAnsi="Times New Roman" w:cs="Times New Roman"/>
          <w:bCs/>
          <w:sz w:val="24"/>
          <w:shd w:val="clear" w:color="auto" w:fill="FFFFFF"/>
          <w:lang w:val="sr-Cyrl-RS"/>
        </w:rPr>
        <w:t>Републичкој комисији</w:t>
      </w:r>
      <w:r w:rsidRPr="0081082A">
        <w:rPr>
          <w:rFonts w:ascii="Times New Roman" w:hAnsi="Times New Roman"/>
          <w:sz w:val="24"/>
          <w:shd w:val="clear" w:color="auto" w:fill="FFFFFF"/>
          <w:lang w:val="sr-Cyrl-RS"/>
        </w:rPr>
        <w:t xml:space="preserve"> за капиталне пројекте. У другој половини 2019. године и првој половини 2020. године, приступило се јачању капацитета јединица за управљање капиталним инвестицијама, како у оквиру Сектора за праћење фискалних ризика Министарства финансија, тако и других линијских министарст</w:t>
      </w:r>
      <w:r w:rsidR="00090CBA" w:rsidRPr="0081082A">
        <w:rPr>
          <w:rFonts w:ascii="Times New Roman" w:hAnsi="Times New Roman"/>
          <w:sz w:val="24"/>
          <w:shd w:val="clear" w:color="auto" w:fill="FFFFFF"/>
          <w:lang w:val="sr-Cyrl-RS"/>
        </w:rPr>
        <w:t>а</w:t>
      </w:r>
      <w:r w:rsidRPr="0081082A">
        <w:rPr>
          <w:rFonts w:ascii="Times New Roman" w:hAnsi="Times New Roman"/>
          <w:sz w:val="24"/>
          <w:shd w:val="clear" w:color="auto" w:fill="FFFFFF"/>
          <w:lang w:val="sr-Cyrl-RS"/>
        </w:rPr>
        <w:t>ва, кроз организова</w:t>
      </w:r>
      <w:r w:rsidR="00FC0CD0" w:rsidRPr="0081082A">
        <w:rPr>
          <w:rFonts w:ascii="Times New Roman" w:hAnsi="Times New Roman"/>
          <w:sz w:val="24"/>
          <w:shd w:val="clear" w:color="auto" w:fill="FFFFFF"/>
          <w:lang w:val="sr-Cyrl-RS"/>
        </w:rPr>
        <w:t>њ</w:t>
      </w:r>
      <w:r w:rsidRPr="0081082A">
        <w:rPr>
          <w:rFonts w:ascii="Times New Roman" w:hAnsi="Times New Roman"/>
          <w:sz w:val="24"/>
          <w:shd w:val="clear" w:color="auto" w:fill="FFFFFF"/>
          <w:lang w:val="sr-Cyrl-RS"/>
        </w:rPr>
        <w:t>е обук</w:t>
      </w:r>
      <w:r w:rsidR="00FC0CD0" w:rsidRPr="0081082A">
        <w:rPr>
          <w:rFonts w:ascii="Times New Roman" w:hAnsi="Times New Roman"/>
          <w:sz w:val="24"/>
          <w:shd w:val="clear" w:color="auto" w:fill="FFFFFF"/>
          <w:lang w:val="sr-Cyrl-RS"/>
        </w:rPr>
        <w:t>а</w:t>
      </w:r>
      <w:r w:rsidRPr="0081082A">
        <w:rPr>
          <w:rFonts w:ascii="Times New Roman" w:hAnsi="Times New Roman"/>
          <w:sz w:val="24"/>
          <w:shd w:val="clear" w:color="auto" w:fill="FFFFFF"/>
          <w:lang w:val="sr-Cyrl-RS"/>
        </w:rPr>
        <w:t xml:space="preserve"> о новој </w:t>
      </w:r>
      <w:r w:rsidR="00FC0CD0" w:rsidRPr="0081082A">
        <w:rPr>
          <w:rFonts w:ascii="Times New Roman" w:eastAsia="Calibri" w:hAnsi="Times New Roman" w:cs="Times New Roman"/>
          <w:bCs/>
          <w:sz w:val="24"/>
          <w:shd w:val="clear" w:color="auto" w:fill="FFFFFF"/>
          <w:lang w:val="sr-Cyrl-RS"/>
        </w:rPr>
        <w:t>м</w:t>
      </w:r>
      <w:r w:rsidR="002C50C8" w:rsidRPr="0081082A">
        <w:rPr>
          <w:rFonts w:ascii="Times New Roman" w:eastAsia="Calibri" w:hAnsi="Times New Roman" w:cs="Times New Roman"/>
          <w:bCs/>
          <w:sz w:val="24"/>
          <w:shd w:val="clear" w:color="auto" w:fill="FFFFFF"/>
          <w:lang w:val="sr-Cyrl-RS"/>
        </w:rPr>
        <w:t>етодологији управљања</w:t>
      </w:r>
      <w:r w:rsidRPr="0081082A">
        <w:rPr>
          <w:rFonts w:ascii="Times New Roman" w:eastAsia="Calibri" w:hAnsi="Times New Roman" w:cs="Times New Roman"/>
          <w:bCs/>
          <w:sz w:val="24"/>
          <w:shd w:val="clear" w:color="auto" w:fill="FFFFFF"/>
          <w:lang w:val="sr-Cyrl-RS"/>
        </w:rPr>
        <w:t xml:space="preserve"> капиталним </w:t>
      </w:r>
      <w:r w:rsidR="002C50C8" w:rsidRPr="0081082A">
        <w:rPr>
          <w:rFonts w:ascii="Times New Roman" w:eastAsia="Calibri" w:hAnsi="Times New Roman" w:cs="Times New Roman"/>
          <w:bCs/>
          <w:sz w:val="24"/>
          <w:shd w:val="clear" w:color="auto" w:fill="FFFFFF"/>
          <w:lang w:val="sr-Cyrl-RS"/>
        </w:rPr>
        <w:t>пројектима</w:t>
      </w:r>
      <w:r w:rsidRPr="0081082A">
        <w:rPr>
          <w:rFonts w:ascii="Times New Roman" w:hAnsi="Times New Roman"/>
          <w:sz w:val="24"/>
          <w:shd w:val="clear" w:color="auto" w:fill="FFFFFF"/>
          <w:lang w:val="sr-Cyrl-RS"/>
        </w:rPr>
        <w:t xml:space="preserve"> и попуњавању систематизованих радних места</w:t>
      </w:r>
      <w:r w:rsidR="002C50C8" w:rsidRPr="0081082A">
        <w:rPr>
          <w:rFonts w:ascii="Times New Roman" w:eastAsia="Calibri" w:hAnsi="Times New Roman" w:cs="Times New Roman"/>
          <w:bCs/>
          <w:sz w:val="24"/>
          <w:shd w:val="clear" w:color="auto" w:fill="FFFFFF"/>
          <w:lang w:val="sr-Cyrl-RS"/>
        </w:rPr>
        <w:t xml:space="preserve"> за послове управљања капиталним пројектима</w:t>
      </w:r>
      <w:r w:rsidRPr="0081082A">
        <w:rPr>
          <w:rFonts w:ascii="Times New Roman" w:hAnsi="Times New Roman"/>
          <w:sz w:val="24"/>
          <w:shd w:val="clear" w:color="auto" w:fill="FFFFFF"/>
          <w:lang w:val="sr-Cyrl-RS"/>
        </w:rPr>
        <w:t>.</w:t>
      </w:r>
    </w:p>
    <w:p w:rsidR="004F2CA3" w:rsidRPr="0081082A" w:rsidRDefault="002C50C8" w:rsidP="00FF7AA9">
      <w:pPr>
        <w:spacing w:after="0" w:line="240" w:lineRule="auto"/>
        <w:ind w:firstLine="708"/>
        <w:jc w:val="both"/>
        <w:rPr>
          <w:rFonts w:ascii="Times New Roman" w:hAnsi="Times New Roman"/>
          <w:sz w:val="24"/>
          <w:shd w:val="clear" w:color="auto" w:fill="FFFFFF"/>
          <w:lang w:val="sr-Cyrl-RS"/>
        </w:rPr>
      </w:pPr>
      <w:r w:rsidRPr="0081082A">
        <w:rPr>
          <w:rFonts w:ascii="Times New Roman" w:eastAsia="Calibri" w:hAnsi="Times New Roman" w:cs="Times New Roman"/>
          <w:bCs/>
          <w:sz w:val="24"/>
          <w:szCs w:val="24"/>
          <w:shd w:val="clear" w:color="auto" w:fill="FFFFFF"/>
          <w:lang w:val="sr-Cyrl-RS"/>
        </w:rPr>
        <w:t>Као резултат спровођења наведених мера и активности, буџетско извршење капиталних инвестиција повећано је са 74</w:t>
      </w:r>
      <w:r w:rsidR="00A34AE0" w:rsidRPr="0081082A">
        <w:rPr>
          <w:rFonts w:ascii="Times New Roman" w:eastAsia="Calibri" w:hAnsi="Times New Roman" w:cs="Times New Roman"/>
          <w:bCs/>
          <w:sz w:val="24"/>
          <w:szCs w:val="24"/>
          <w:shd w:val="clear" w:color="auto" w:fill="FFFFFF"/>
          <w:lang w:val="sr-Cyrl-RS"/>
        </w:rPr>
        <w:t>,</w:t>
      </w:r>
      <w:r w:rsidRPr="0081082A">
        <w:rPr>
          <w:rFonts w:ascii="Times New Roman" w:eastAsia="Calibri" w:hAnsi="Times New Roman" w:cs="Times New Roman"/>
          <w:bCs/>
          <w:sz w:val="24"/>
          <w:szCs w:val="24"/>
          <w:shd w:val="clear" w:color="auto" w:fill="FFFFFF"/>
          <w:lang w:val="sr-Cyrl-RS"/>
        </w:rPr>
        <w:t xml:space="preserve">5% на 85% у 2018. </w:t>
      </w:r>
      <w:r w:rsidR="00721398" w:rsidRPr="0081082A">
        <w:rPr>
          <w:rFonts w:ascii="Times New Roman" w:hAnsi="Times New Roman"/>
          <w:sz w:val="24"/>
          <w:shd w:val="clear" w:color="auto" w:fill="FFFFFF"/>
          <w:lang w:val="sr-Cyrl-RS"/>
        </w:rPr>
        <w:t xml:space="preserve">години, а овај тренд настављен је и у 2019. години када је извршење капиталних </w:t>
      </w:r>
      <w:r w:rsidR="00FC0CD0" w:rsidRPr="0081082A">
        <w:rPr>
          <w:rFonts w:ascii="Times New Roman" w:hAnsi="Times New Roman"/>
          <w:sz w:val="24"/>
          <w:shd w:val="clear" w:color="auto" w:fill="FFFFFF"/>
          <w:lang w:val="sr-Cyrl-RS"/>
        </w:rPr>
        <w:t xml:space="preserve">издатака </w:t>
      </w:r>
      <w:r w:rsidR="00721398" w:rsidRPr="0081082A">
        <w:rPr>
          <w:rFonts w:ascii="Times New Roman" w:hAnsi="Times New Roman"/>
          <w:sz w:val="24"/>
          <w:shd w:val="clear" w:color="auto" w:fill="FFFFFF"/>
          <w:lang w:val="sr-Cyrl-RS"/>
        </w:rPr>
        <w:t>износило 86</w:t>
      </w:r>
      <w:r w:rsidR="00A34AE0" w:rsidRPr="0081082A">
        <w:rPr>
          <w:rFonts w:ascii="Times New Roman" w:hAnsi="Times New Roman"/>
          <w:sz w:val="24"/>
          <w:shd w:val="clear" w:color="auto" w:fill="FFFFFF"/>
          <w:lang w:val="sr-Cyrl-RS"/>
        </w:rPr>
        <w:t>,</w:t>
      </w:r>
      <w:r w:rsidR="00721398" w:rsidRPr="0081082A">
        <w:rPr>
          <w:rFonts w:ascii="Times New Roman" w:hAnsi="Times New Roman"/>
          <w:sz w:val="24"/>
          <w:shd w:val="clear" w:color="auto" w:fill="FFFFFF"/>
          <w:lang w:val="sr-Cyrl-RS"/>
        </w:rPr>
        <w:t>34%</w:t>
      </w:r>
      <w:r w:rsidR="00FC0CD0" w:rsidRPr="0081082A">
        <w:rPr>
          <w:rFonts w:ascii="Times New Roman" w:hAnsi="Times New Roman"/>
          <w:sz w:val="24"/>
          <w:shd w:val="clear" w:color="auto" w:fill="FFFFFF"/>
          <w:lang w:val="sr-Cyrl-RS"/>
        </w:rPr>
        <w:t>, док је у 2020. износило 92</w:t>
      </w:r>
      <w:r w:rsidR="00A34AE0" w:rsidRPr="0081082A">
        <w:rPr>
          <w:rFonts w:ascii="Times New Roman" w:hAnsi="Times New Roman"/>
          <w:sz w:val="24"/>
          <w:shd w:val="clear" w:color="auto" w:fill="FFFFFF"/>
          <w:lang w:val="sr-Cyrl-RS"/>
        </w:rPr>
        <w:t>,</w:t>
      </w:r>
      <w:r w:rsidR="00FC0CD0" w:rsidRPr="0081082A">
        <w:rPr>
          <w:rFonts w:ascii="Times New Roman" w:hAnsi="Times New Roman"/>
          <w:sz w:val="24"/>
          <w:shd w:val="clear" w:color="auto" w:fill="FFFFFF"/>
          <w:lang w:val="sr-Cyrl-RS"/>
        </w:rPr>
        <w:t>45%</w:t>
      </w:r>
      <w:r w:rsidR="00721398" w:rsidRPr="0081082A">
        <w:rPr>
          <w:rFonts w:ascii="Times New Roman" w:hAnsi="Times New Roman"/>
          <w:sz w:val="24"/>
          <w:shd w:val="clear" w:color="auto" w:fill="FFFFFF"/>
          <w:lang w:val="sr-Cyrl-RS"/>
        </w:rPr>
        <w:t>.</w:t>
      </w:r>
      <w:r w:rsidRPr="0081082A">
        <w:rPr>
          <w:rFonts w:ascii="Times New Roman" w:eastAsia="Calibri" w:hAnsi="Times New Roman" w:cs="Times New Roman"/>
          <w:bCs/>
          <w:sz w:val="24"/>
          <w:szCs w:val="24"/>
          <w:shd w:val="clear" w:color="auto" w:fill="FFFFFF"/>
          <w:lang w:val="sr-Cyrl-RS"/>
        </w:rPr>
        <w:t xml:space="preserve"> </w:t>
      </w:r>
    </w:p>
    <w:p w:rsidR="00721398" w:rsidRPr="0081082A" w:rsidRDefault="00721398" w:rsidP="00BB2FCD">
      <w:pPr>
        <w:pStyle w:val="Heading2"/>
        <w:jc w:val="center"/>
        <w:rPr>
          <w:rFonts w:ascii="Times New Roman" w:hAnsi="Times New Roman"/>
          <w:sz w:val="24"/>
          <w:lang w:val="sr-Cyrl-RS"/>
        </w:rPr>
      </w:pPr>
      <w:bookmarkStart w:id="13" w:name="_Toc72488794"/>
      <w:r w:rsidRPr="0081082A">
        <w:rPr>
          <w:rFonts w:ascii="Times New Roman" w:hAnsi="Times New Roman"/>
          <w:sz w:val="24"/>
          <w:lang w:val="sr-Cyrl-RS"/>
        </w:rPr>
        <w:t>Планиране реформске мере у периоду 2021-2025</w:t>
      </w:r>
      <w:bookmarkEnd w:id="13"/>
    </w:p>
    <w:p w:rsidR="00721398" w:rsidRPr="0081082A" w:rsidRDefault="00721398" w:rsidP="00363042">
      <w:pPr>
        <w:spacing w:after="0" w:line="240" w:lineRule="auto"/>
        <w:jc w:val="both"/>
        <w:rPr>
          <w:rFonts w:ascii="Times New Roman" w:hAnsi="Times New Roman" w:cs="Times New Roman"/>
          <w:b/>
          <w:sz w:val="24"/>
          <w:u w:val="single"/>
          <w:lang w:val="sr-Cyrl-RS"/>
        </w:rPr>
      </w:pPr>
      <w:r w:rsidRPr="0081082A">
        <w:rPr>
          <w:rFonts w:ascii="Times New Roman" w:hAnsi="Times New Roman" w:cs="Times New Roman"/>
          <w:b/>
          <w:sz w:val="24"/>
          <w:u w:val="single"/>
          <w:lang w:val="sr-Cyrl-RS"/>
        </w:rPr>
        <w:t>Мера</w:t>
      </w:r>
      <w:r w:rsidR="00040D94" w:rsidRPr="0081082A">
        <w:rPr>
          <w:rFonts w:ascii="Times New Roman" w:hAnsi="Times New Roman" w:cs="Times New Roman"/>
          <w:b/>
          <w:sz w:val="24"/>
          <w:u w:val="single"/>
          <w:lang w:val="sr-Cyrl-RS"/>
        </w:rPr>
        <w:t xml:space="preserve"> 1.1</w:t>
      </w:r>
      <w:r w:rsidR="002C50C8" w:rsidRPr="0081082A">
        <w:rPr>
          <w:rFonts w:ascii="Times New Roman" w:hAnsi="Times New Roman" w:cs="Times New Roman"/>
          <w:b/>
          <w:sz w:val="24"/>
          <w:u w:val="single"/>
          <w:lang w:val="sr-Cyrl-RS"/>
        </w:rPr>
        <w:t xml:space="preserve"> </w:t>
      </w:r>
      <w:r w:rsidRPr="0081082A">
        <w:rPr>
          <w:rFonts w:ascii="Times New Roman" w:hAnsi="Times New Roman" w:cs="Times New Roman"/>
          <w:b/>
          <w:sz w:val="24"/>
          <w:u w:val="single"/>
          <w:lang w:val="sr-Cyrl-RS"/>
        </w:rPr>
        <w:t>- Унапређење програмског буџета</w:t>
      </w:r>
    </w:p>
    <w:p w:rsidR="00263861" w:rsidRPr="0081082A" w:rsidRDefault="00721398" w:rsidP="00363042">
      <w:pPr>
        <w:spacing w:after="0" w:line="240" w:lineRule="auto"/>
        <w:ind w:firstLine="708"/>
        <w:jc w:val="both"/>
        <w:rPr>
          <w:rFonts w:ascii="Times New Roman" w:hAnsi="Times New Roman"/>
          <w:sz w:val="24"/>
          <w:lang w:val="sr-Cyrl-RS"/>
        </w:rPr>
      </w:pPr>
      <w:r w:rsidRPr="0081082A">
        <w:rPr>
          <w:rFonts w:ascii="Times New Roman" w:hAnsi="Times New Roman" w:cs="Times New Roman"/>
          <w:sz w:val="24"/>
          <w:lang w:val="sr-Cyrl-RS"/>
        </w:rPr>
        <w:t xml:space="preserve">У наредном периоду у овој области планирани су даљи кораци ради побољшања  </w:t>
      </w:r>
      <w:r w:rsidR="002C50C8" w:rsidRPr="0081082A">
        <w:rPr>
          <w:rFonts w:ascii="Times New Roman" w:hAnsi="Times New Roman" w:cs="Times New Roman"/>
          <w:sz w:val="24"/>
          <w:lang w:val="sr-Cyrl-RS"/>
        </w:rPr>
        <w:t>елемената</w:t>
      </w:r>
      <w:r w:rsidRPr="0081082A">
        <w:rPr>
          <w:rFonts w:ascii="Times New Roman" w:hAnsi="Times New Roman" w:cs="Times New Roman"/>
          <w:sz w:val="24"/>
          <w:lang w:val="sr-Cyrl-RS"/>
        </w:rPr>
        <w:t xml:space="preserve"> програмског буџетирања. Иако се </w:t>
      </w:r>
      <w:r w:rsidR="002C50C8" w:rsidRPr="0081082A">
        <w:rPr>
          <w:rFonts w:ascii="Times New Roman" w:hAnsi="Times New Roman" w:cs="Times New Roman"/>
          <w:sz w:val="24"/>
          <w:lang w:val="sr-Cyrl-RS"/>
        </w:rPr>
        <w:t>извештаји</w:t>
      </w:r>
      <w:r w:rsidRPr="0081082A">
        <w:rPr>
          <w:rFonts w:ascii="Times New Roman" w:hAnsi="Times New Roman" w:cs="Times New Roman"/>
          <w:sz w:val="24"/>
          <w:lang w:val="sr-Cyrl-RS"/>
        </w:rPr>
        <w:t xml:space="preserve"> учинка </w:t>
      </w:r>
      <w:r w:rsidR="002C50C8" w:rsidRPr="0081082A">
        <w:rPr>
          <w:rFonts w:ascii="Times New Roman" w:hAnsi="Times New Roman" w:cs="Times New Roman"/>
          <w:sz w:val="24"/>
          <w:lang w:val="sr-Cyrl-RS"/>
        </w:rPr>
        <w:t xml:space="preserve">програма </w:t>
      </w:r>
      <w:r w:rsidRPr="0081082A">
        <w:rPr>
          <w:rFonts w:ascii="Times New Roman" w:hAnsi="Times New Roman" w:cs="Times New Roman"/>
          <w:sz w:val="24"/>
          <w:lang w:val="sr-Cyrl-RS"/>
        </w:rPr>
        <w:t>припремају од стране свих буџетских корисника полугодишње и годишње, за сада постоји ограничена анализа и праћење постигнутог учинка. Постављање адектватнијих циљева и правилна евалуација резултата и показатеља омогућили би оптималније кориш</w:t>
      </w:r>
      <w:r w:rsidR="00D2286E" w:rsidRPr="0081082A">
        <w:rPr>
          <w:rFonts w:ascii="Times New Roman" w:hAnsi="Times New Roman" w:cs="Times New Roman"/>
          <w:sz w:val="24"/>
          <w:lang w:val="sr-Cyrl-RS"/>
        </w:rPr>
        <w:t>ћ</w:t>
      </w:r>
      <w:r w:rsidRPr="0081082A">
        <w:rPr>
          <w:rFonts w:ascii="Times New Roman" w:hAnsi="Times New Roman" w:cs="Times New Roman"/>
          <w:sz w:val="24"/>
          <w:lang w:val="sr-Cyrl-RS"/>
        </w:rPr>
        <w:t xml:space="preserve">ење јавних средстава </w:t>
      </w:r>
      <w:r w:rsidR="002C50C8" w:rsidRPr="0081082A">
        <w:rPr>
          <w:rFonts w:ascii="Times New Roman" w:hAnsi="Times New Roman" w:cs="Times New Roman"/>
          <w:sz w:val="24"/>
          <w:lang w:val="sr-Cyrl-RS"/>
        </w:rPr>
        <w:t>коришћењ</w:t>
      </w:r>
      <w:r w:rsidR="00D2286E" w:rsidRPr="0081082A">
        <w:rPr>
          <w:rFonts w:ascii="Times New Roman" w:hAnsi="Times New Roman" w:cs="Times New Roman"/>
          <w:sz w:val="24"/>
          <w:lang w:val="sr-Cyrl-RS"/>
        </w:rPr>
        <w:t>ем</w:t>
      </w:r>
      <w:r w:rsidRPr="0081082A">
        <w:rPr>
          <w:rFonts w:ascii="Times New Roman" w:hAnsi="Times New Roman" w:cs="Times New Roman"/>
          <w:sz w:val="24"/>
          <w:lang w:val="sr-Cyrl-RS"/>
        </w:rPr>
        <w:t xml:space="preserve"> података о учинку </w:t>
      </w:r>
      <w:r w:rsidR="002C50C8" w:rsidRPr="0081082A">
        <w:rPr>
          <w:rFonts w:ascii="Times New Roman" w:hAnsi="Times New Roman" w:cs="Times New Roman"/>
          <w:sz w:val="24"/>
          <w:lang w:val="sr-Cyrl-RS"/>
        </w:rPr>
        <w:t xml:space="preserve">приликом одлучивања о расподели буџетских средстава. </w:t>
      </w:r>
      <w:r w:rsidR="002C50C8" w:rsidRPr="0081082A">
        <w:rPr>
          <w:rFonts w:ascii="Times New Roman" w:hAnsi="Times New Roman" w:cs="Times New Roman"/>
          <w:i/>
          <w:iCs/>
          <w:sz w:val="24"/>
          <w:lang w:val="sr-Cyrl-RS"/>
        </w:rPr>
        <w:t>PEFA</w:t>
      </w:r>
      <w:r w:rsidR="002C50C8" w:rsidRPr="0081082A">
        <w:rPr>
          <w:rFonts w:ascii="Times New Roman" w:hAnsi="Times New Roman" w:cs="Times New Roman"/>
          <w:sz w:val="24"/>
          <w:lang w:val="sr-Cyrl-RS"/>
        </w:rPr>
        <w:t xml:space="preserve"> процена за Р</w:t>
      </w:r>
      <w:r w:rsidR="00D539B3" w:rsidRPr="0081082A">
        <w:rPr>
          <w:rFonts w:ascii="Times New Roman" w:hAnsi="Times New Roman" w:cs="Times New Roman"/>
          <w:sz w:val="24"/>
          <w:lang w:val="sr-Cyrl-RS"/>
        </w:rPr>
        <w:t xml:space="preserve">епублику </w:t>
      </w:r>
      <w:r w:rsidR="002C50C8" w:rsidRPr="0081082A">
        <w:rPr>
          <w:rFonts w:ascii="Times New Roman" w:hAnsi="Times New Roman" w:cs="Times New Roman"/>
          <w:sz w:val="24"/>
          <w:lang w:val="sr-Cyrl-RS"/>
        </w:rPr>
        <w:t>С</w:t>
      </w:r>
      <w:r w:rsidR="00D539B3" w:rsidRPr="0081082A">
        <w:rPr>
          <w:rFonts w:ascii="Times New Roman" w:hAnsi="Times New Roman" w:cs="Times New Roman"/>
          <w:sz w:val="24"/>
          <w:lang w:val="sr-Cyrl-RS"/>
        </w:rPr>
        <w:t>рбију</w:t>
      </w:r>
      <w:r w:rsidRPr="0081082A">
        <w:rPr>
          <w:rFonts w:ascii="Times New Roman" w:hAnsi="Times New Roman" w:cs="Times New Roman"/>
          <w:sz w:val="24"/>
          <w:lang w:val="sr-Cyrl-RS"/>
        </w:rPr>
        <w:t xml:space="preserve"> истиче неопходност даљег побољшања ефикасности програмског буџетирања како би се достигли његови циљеви, посебно у делу који се односи на извештавање о учинку</w:t>
      </w:r>
      <w:r w:rsidR="002C50C8" w:rsidRPr="0081082A">
        <w:rPr>
          <w:rFonts w:ascii="Times New Roman" w:hAnsi="Times New Roman" w:cs="Times New Roman"/>
          <w:sz w:val="24"/>
          <w:lang w:val="sr-Cyrl-RS"/>
        </w:rPr>
        <w:t>. Оцењено</w:t>
      </w:r>
      <w:r w:rsidRPr="0081082A">
        <w:rPr>
          <w:rFonts w:ascii="Times New Roman" w:hAnsi="Times New Roman" w:cs="Times New Roman"/>
          <w:sz w:val="24"/>
          <w:lang w:val="sr-Cyrl-RS"/>
        </w:rPr>
        <w:t xml:space="preserve"> је </w:t>
      </w:r>
      <w:r w:rsidR="002C50C8" w:rsidRPr="0081082A">
        <w:rPr>
          <w:rFonts w:ascii="Times New Roman" w:hAnsi="Times New Roman" w:cs="Times New Roman"/>
          <w:sz w:val="24"/>
          <w:lang w:val="sr-Cyrl-RS"/>
        </w:rPr>
        <w:t xml:space="preserve">да извештавање </w:t>
      </w:r>
      <w:r w:rsidR="00831F23" w:rsidRPr="0081082A">
        <w:rPr>
          <w:rFonts w:ascii="Times New Roman" w:hAnsi="Times New Roman" w:cs="Times New Roman"/>
          <w:sz w:val="24"/>
          <w:lang w:val="sr-Cyrl-RS"/>
        </w:rPr>
        <w:t>треба да буде боље припремљено како би омогућило</w:t>
      </w:r>
      <w:r w:rsidRPr="0081082A">
        <w:rPr>
          <w:rFonts w:ascii="Times New Roman" w:hAnsi="Times New Roman" w:cs="Times New Roman"/>
          <w:sz w:val="24"/>
          <w:lang w:val="sr-Cyrl-RS"/>
        </w:rPr>
        <w:t xml:space="preserve"> адекватну евалуацију остварених резултата специфичних програма</w:t>
      </w:r>
      <w:r w:rsidR="002C50C8" w:rsidRPr="0081082A">
        <w:rPr>
          <w:rFonts w:ascii="Times New Roman" w:hAnsi="Times New Roman" w:cs="Times New Roman"/>
          <w:sz w:val="24"/>
          <w:lang w:val="sr-Cyrl-RS"/>
        </w:rPr>
        <w:t xml:space="preserve">. Такође, процена је да се извештаји о учинку програма не узимају у довољној мери у обзир приликом планирања </w:t>
      </w:r>
      <w:r w:rsidRPr="0081082A">
        <w:rPr>
          <w:rFonts w:ascii="Times New Roman" w:hAnsi="Times New Roman" w:cs="Times New Roman"/>
          <w:sz w:val="24"/>
          <w:lang w:val="sr-Cyrl-RS"/>
        </w:rPr>
        <w:t>финансијских средстава за њихово спровођење</w:t>
      </w:r>
      <w:r w:rsidR="002C50C8" w:rsidRPr="0081082A">
        <w:rPr>
          <w:rFonts w:ascii="Times New Roman" w:hAnsi="Times New Roman" w:cs="Times New Roman"/>
          <w:sz w:val="24"/>
          <w:lang w:val="sr-Cyrl-RS"/>
        </w:rPr>
        <w:t>.</w:t>
      </w:r>
      <w:r w:rsidRPr="0081082A">
        <w:rPr>
          <w:rFonts w:ascii="Times New Roman" w:hAnsi="Times New Roman"/>
          <w:sz w:val="24"/>
          <w:lang w:val="sr-Cyrl-RS"/>
        </w:rPr>
        <w:t xml:space="preserve"> </w:t>
      </w:r>
      <w:r w:rsidRPr="0081082A">
        <w:rPr>
          <w:rFonts w:ascii="Times New Roman" w:hAnsi="Times New Roman" w:cs="Times New Roman"/>
          <w:sz w:val="24"/>
          <w:lang w:val="sr-Cyrl-RS"/>
        </w:rPr>
        <w:t xml:space="preserve">У складу са тим, да </w:t>
      </w:r>
      <w:r w:rsidRPr="0081082A">
        <w:rPr>
          <w:rFonts w:ascii="Times New Roman" w:hAnsi="Times New Roman"/>
          <w:sz w:val="24"/>
          <w:lang w:val="sr-Cyrl-RS"/>
        </w:rPr>
        <w:t xml:space="preserve">би се установила ефикасност примене програмског </w:t>
      </w:r>
      <w:r w:rsidRPr="0081082A">
        <w:rPr>
          <w:rFonts w:ascii="Times New Roman" w:hAnsi="Times New Roman"/>
          <w:sz w:val="24"/>
          <w:shd w:val="clear" w:color="auto" w:fill="FFFFFF"/>
          <w:lang w:val="sr-Cyrl-RS"/>
        </w:rPr>
        <w:t>буџета</w:t>
      </w:r>
      <w:r w:rsidR="002C50C8" w:rsidRPr="0081082A">
        <w:rPr>
          <w:rFonts w:ascii="Times New Roman" w:eastAsia="Calibri" w:hAnsi="Times New Roman" w:cs="Times New Roman"/>
          <w:bCs/>
          <w:sz w:val="24"/>
          <w:shd w:val="clear" w:color="auto" w:fill="FFFFFF"/>
          <w:lang w:val="sr-Cyrl-RS"/>
        </w:rPr>
        <w:t xml:space="preserve"> </w:t>
      </w:r>
      <w:r w:rsidR="002C50C8" w:rsidRPr="0081082A">
        <w:rPr>
          <w:rFonts w:ascii="Times New Roman" w:hAnsi="Times New Roman"/>
          <w:sz w:val="24"/>
          <w:lang w:val="sr-Cyrl-RS"/>
        </w:rPr>
        <w:t>и исти унапредио</w:t>
      </w:r>
      <w:r w:rsidRPr="0081082A">
        <w:rPr>
          <w:rFonts w:ascii="Times New Roman" w:hAnsi="Times New Roman"/>
          <w:sz w:val="24"/>
          <w:lang w:val="sr-Cyrl-RS"/>
        </w:rPr>
        <w:t xml:space="preserve">, као </w:t>
      </w:r>
      <w:r w:rsidR="002C50C8" w:rsidRPr="0081082A">
        <w:rPr>
          <w:rFonts w:ascii="Times New Roman" w:hAnsi="Times New Roman" w:cs="Times New Roman"/>
          <w:sz w:val="24"/>
          <w:lang w:val="sr-Cyrl-RS"/>
        </w:rPr>
        <w:t>употреба</w:t>
      </w:r>
      <w:r w:rsidRPr="0081082A">
        <w:rPr>
          <w:rFonts w:ascii="Times New Roman" w:hAnsi="Times New Roman"/>
          <w:sz w:val="24"/>
          <w:lang w:val="sr-Cyrl-RS"/>
        </w:rPr>
        <w:t xml:space="preserve"> показатеља учинка, Министарство финансија ће спровести анализу која ће за циљ имати мапирање ових </w:t>
      </w:r>
      <w:r w:rsidRPr="0081082A">
        <w:rPr>
          <w:rFonts w:ascii="Times New Roman" w:hAnsi="Times New Roman"/>
          <w:sz w:val="24"/>
          <w:lang w:val="sr-Cyrl-RS"/>
        </w:rPr>
        <w:lastRenderedPageBreak/>
        <w:t>елемената</w:t>
      </w:r>
      <w:r w:rsidR="002C50C8" w:rsidRPr="0081082A">
        <w:rPr>
          <w:rFonts w:ascii="Times New Roman" w:hAnsi="Times New Roman" w:cs="Times New Roman"/>
          <w:sz w:val="24"/>
          <w:lang w:val="sr-Cyrl-RS"/>
        </w:rPr>
        <w:t>. Паралелно са анализом на републичком нивоу</w:t>
      </w:r>
      <w:r w:rsidR="002C50C8" w:rsidRPr="0081082A">
        <w:rPr>
          <w:rFonts w:ascii="Times New Roman" w:hAnsi="Times New Roman"/>
          <w:sz w:val="24"/>
          <w:lang w:val="sr-Cyrl-RS"/>
        </w:rPr>
        <w:t xml:space="preserve">, у наредном периоду </w:t>
      </w:r>
      <w:r w:rsidR="002C50C8" w:rsidRPr="0081082A">
        <w:rPr>
          <w:rFonts w:ascii="Times New Roman" w:hAnsi="Times New Roman" w:cs="Times New Roman"/>
          <w:sz w:val="24"/>
          <w:lang w:val="sr-Cyrl-RS"/>
        </w:rPr>
        <w:t>ће се приступити и анализи униформне структуре</w:t>
      </w:r>
      <w:r w:rsidR="002C50C8" w:rsidRPr="0081082A">
        <w:rPr>
          <w:rFonts w:ascii="Times New Roman" w:hAnsi="Times New Roman"/>
          <w:sz w:val="24"/>
          <w:lang w:val="sr-Cyrl-RS"/>
        </w:rPr>
        <w:t xml:space="preserve"> </w:t>
      </w:r>
      <w:r w:rsidRPr="0081082A">
        <w:rPr>
          <w:rFonts w:ascii="Times New Roman" w:hAnsi="Times New Roman"/>
          <w:sz w:val="24"/>
          <w:lang w:val="sr-Cyrl-RS"/>
        </w:rPr>
        <w:t xml:space="preserve">програмског буџета </w:t>
      </w:r>
      <w:r w:rsidR="002C50C8" w:rsidRPr="0081082A">
        <w:rPr>
          <w:rFonts w:ascii="Times New Roman" w:hAnsi="Times New Roman"/>
          <w:sz w:val="24"/>
          <w:lang w:val="sr-Cyrl-RS"/>
        </w:rPr>
        <w:t>на локалном нивоу</w:t>
      </w:r>
      <w:r w:rsidRPr="0081082A">
        <w:rPr>
          <w:rFonts w:ascii="Times New Roman" w:hAnsi="Times New Roman" w:cs="Times New Roman"/>
          <w:sz w:val="24"/>
          <w:lang w:val="sr-Cyrl-RS"/>
        </w:rPr>
        <w:t xml:space="preserve"> како би се установила њена ефикасност и транспарентност увида у трошкове </w:t>
      </w:r>
      <w:r w:rsidR="002C50C8" w:rsidRPr="0081082A">
        <w:rPr>
          <w:rFonts w:ascii="Times New Roman" w:hAnsi="Times New Roman" w:cs="Times New Roman"/>
          <w:sz w:val="24"/>
          <w:lang w:val="sr-Cyrl-RS"/>
        </w:rPr>
        <w:t>ЈЛС.</w:t>
      </w:r>
      <w:r w:rsidRPr="0081082A">
        <w:rPr>
          <w:rFonts w:ascii="Times New Roman" w:hAnsi="Times New Roman" w:cs="Times New Roman"/>
          <w:sz w:val="24"/>
          <w:lang w:val="sr-Cyrl-RS"/>
        </w:rPr>
        <w:t xml:space="preserve"> Такође,</w:t>
      </w:r>
      <w:r w:rsidRPr="0081082A">
        <w:rPr>
          <w:rFonts w:ascii="Times New Roman" w:hAnsi="Times New Roman"/>
          <w:sz w:val="24"/>
          <w:lang w:val="sr-Cyrl-RS"/>
        </w:rPr>
        <w:t xml:space="preserve"> </w:t>
      </w:r>
      <w:r w:rsidR="002C50C8" w:rsidRPr="0081082A">
        <w:rPr>
          <w:rFonts w:ascii="Times New Roman" w:hAnsi="Times New Roman" w:cs="Times New Roman"/>
          <w:sz w:val="24"/>
          <w:lang w:val="sr-Cyrl-RS"/>
        </w:rPr>
        <w:t>након сагледавања примене програмског буџета на финансијске планове</w:t>
      </w:r>
      <w:r w:rsidR="002C50C8" w:rsidRPr="0081082A">
        <w:rPr>
          <w:rFonts w:ascii="Times New Roman" w:hAnsi="Times New Roman"/>
          <w:sz w:val="24"/>
          <w:lang w:val="sr-Cyrl-RS"/>
        </w:rPr>
        <w:t xml:space="preserve"> </w:t>
      </w:r>
      <w:r w:rsidR="002C50C8" w:rsidRPr="0081082A">
        <w:rPr>
          <w:rFonts w:ascii="Times New Roman" w:hAnsi="Times New Roman" w:cs="Times New Roman"/>
          <w:sz w:val="24"/>
          <w:lang w:val="sr-Cyrl-RS"/>
        </w:rPr>
        <w:t xml:space="preserve">организација за </w:t>
      </w:r>
      <w:r w:rsidR="002C50C8" w:rsidRPr="0081082A">
        <w:rPr>
          <w:rFonts w:ascii="Times New Roman" w:hAnsi="Times New Roman"/>
          <w:sz w:val="24"/>
          <w:lang w:val="sr-Cyrl-RS"/>
        </w:rPr>
        <w:t xml:space="preserve">обавезно социјално </w:t>
      </w:r>
      <w:r w:rsidR="002C50C8" w:rsidRPr="0081082A">
        <w:rPr>
          <w:rFonts w:ascii="Times New Roman" w:hAnsi="Times New Roman" w:cs="Times New Roman"/>
          <w:sz w:val="24"/>
          <w:lang w:val="sr-Cyrl-RS"/>
        </w:rPr>
        <w:t xml:space="preserve">осигурање и спровођења анализе здравственог система </w:t>
      </w:r>
      <w:r w:rsidR="00AC7466" w:rsidRPr="0081082A">
        <w:rPr>
          <w:rFonts w:ascii="Times New Roman" w:hAnsi="Times New Roman" w:cs="Times New Roman"/>
          <w:sz w:val="24"/>
          <w:lang w:val="sr-Cyrl-RS"/>
        </w:rPr>
        <w:t xml:space="preserve">унапредиће </w:t>
      </w:r>
      <w:r w:rsidR="002C50C8" w:rsidRPr="0081082A">
        <w:rPr>
          <w:rFonts w:ascii="Times New Roman" w:hAnsi="Times New Roman" w:cs="Times New Roman"/>
          <w:sz w:val="24"/>
          <w:lang w:val="sr-Cyrl-RS"/>
        </w:rPr>
        <w:t xml:space="preserve">се </w:t>
      </w:r>
      <w:r w:rsidR="002C50C8" w:rsidRPr="0081082A">
        <w:rPr>
          <w:rFonts w:ascii="Times New Roman" w:hAnsi="Times New Roman"/>
          <w:sz w:val="24"/>
          <w:lang w:val="sr-Cyrl-RS"/>
        </w:rPr>
        <w:t xml:space="preserve">униформна структура </w:t>
      </w:r>
      <w:r w:rsidR="002C50C8" w:rsidRPr="0081082A">
        <w:rPr>
          <w:rFonts w:ascii="Times New Roman" w:hAnsi="Times New Roman" w:cs="Times New Roman"/>
          <w:sz w:val="24"/>
          <w:lang w:val="sr-Cyrl-RS"/>
        </w:rPr>
        <w:t>програмског буџета организација</w:t>
      </w:r>
      <w:r w:rsidR="00AC7466" w:rsidRPr="0081082A">
        <w:rPr>
          <w:rFonts w:ascii="Times New Roman" w:hAnsi="Times New Roman" w:cs="Times New Roman"/>
          <w:sz w:val="24"/>
          <w:lang w:val="sr-Cyrl-RS"/>
        </w:rPr>
        <w:t xml:space="preserve"> обавезног социјалног</w:t>
      </w:r>
      <w:r w:rsidR="002C50C8" w:rsidRPr="0081082A">
        <w:rPr>
          <w:rFonts w:ascii="Times New Roman" w:hAnsi="Times New Roman" w:cs="Times New Roman"/>
          <w:sz w:val="24"/>
          <w:lang w:val="sr-Cyrl-RS"/>
        </w:rPr>
        <w:t xml:space="preserve"> </w:t>
      </w:r>
      <w:r w:rsidR="00D2286E" w:rsidRPr="0081082A">
        <w:rPr>
          <w:rFonts w:ascii="Times New Roman" w:hAnsi="Times New Roman" w:cs="Times New Roman"/>
          <w:sz w:val="24"/>
          <w:lang w:val="sr-Cyrl-RS"/>
        </w:rPr>
        <w:t xml:space="preserve">осигурања </w:t>
      </w:r>
      <w:r w:rsidR="002C50C8" w:rsidRPr="0081082A">
        <w:rPr>
          <w:rFonts w:ascii="Times New Roman" w:hAnsi="Times New Roman" w:cs="Times New Roman"/>
          <w:sz w:val="24"/>
          <w:lang w:val="sr-Cyrl-RS"/>
        </w:rPr>
        <w:t>и корисника средстава Републичког фонда за здравствено осигурање.</w:t>
      </w:r>
    </w:p>
    <w:p w:rsidR="002C50C8" w:rsidRPr="0081082A" w:rsidRDefault="002C50C8" w:rsidP="00363042">
      <w:pPr>
        <w:spacing w:after="0" w:line="240" w:lineRule="auto"/>
        <w:ind w:firstLine="708"/>
        <w:jc w:val="both"/>
        <w:rPr>
          <w:rFonts w:ascii="Times New Roman" w:hAnsi="Times New Roman" w:cs="Times New Roman"/>
          <w:sz w:val="24"/>
          <w:lang w:val="sr-Cyrl-RS"/>
        </w:rPr>
      </w:pPr>
      <w:r w:rsidRPr="0081082A">
        <w:rPr>
          <w:rFonts w:ascii="Times New Roman" w:hAnsi="Times New Roman" w:cs="Times New Roman"/>
          <w:sz w:val="24"/>
          <w:lang w:val="sr-Cyrl-RS"/>
        </w:rPr>
        <w:t xml:space="preserve">Фокус анализе елемената програмског буџета биће на постојећој вези докумената јавних политика са буџетским средствима, о чијем је даљем унапређењу више наведено у оквиру мере – Унапређење средњорочног планирања. </w:t>
      </w:r>
    </w:p>
    <w:p w:rsidR="00D910C1" w:rsidRPr="0081082A" w:rsidRDefault="002C50C8" w:rsidP="00363042">
      <w:pPr>
        <w:spacing w:after="0" w:line="240" w:lineRule="auto"/>
        <w:ind w:firstLine="708"/>
        <w:jc w:val="both"/>
        <w:rPr>
          <w:rFonts w:ascii="Times New Roman" w:hAnsi="Times New Roman"/>
          <w:sz w:val="24"/>
          <w:lang w:val="sr-Cyrl-RS"/>
        </w:rPr>
      </w:pPr>
      <w:r w:rsidRPr="0081082A">
        <w:rPr>
          <w:rFonts w:ascii="Times New Roman" w:hAnsi="Times New Roman" w:cs="Times New Roman"/>
          <w:sz w:val="24"/>
          <w:lang w:val="sr-Cyrl-RS"/>
        </w:rPr>
        <w:t>У сврху унапређења програмског буџета, а са доношењем закључака наведених анализа, истовремено ће се наставити са обукама</w:t>
      </w:r>
      <w:r w:rsidRPr="0081082A">
        <w:rPr>
          <w:rFonts w:ascii="Times New Roman" w:hAnsi="Times New Roman"/>
          <w:sz w:val="24"/>
          <w:lang w:val="sr-Cyrl-RS"/>
        </w:rPr>
        <w:t xml:space="preserve"> </w:t>
      </w:r>
      <w:r w:rsidR="00721398" w:rsidRPr="0081082A">
        <w:rPr>
          <w:rFonts w:ascii="Times New Roman" w:hAnsi="Times New Roman"/>
          <w:sz w:val="24"/>
          <w:lang w:val="sr-Cyrl-RS"/>
        </w:rPr>
        <w:t>за кориснике на свим нивоима власти</w:t>
      </w:r>
      <w:r w:rsidRPr="0081082A">
        <w:rPr>
          <w:rFonts w:ascii="Times New Roman" w:hAnsi="Times New Roman" w:cs="Times New Roman"/>
          <w:sz w:val="24"/>
          <w:lang w:val="sr-Cyrl-RS"/>
        </w:rPr>
        <w:t>.</w:t>
      </w:r>
      <w:r w:rsidRPr="0081082A">
        <w:rPr>
          <w:rStyle w:val="FootnoteReference"/>
          <w:rFonts w:ascii="Times New Roman" w:hAnsi="Times New Roman" w:cs="Times New Roman"/>
          <w:sz w:val="24"/>
          <w:lang w:val="sr-Cyrl-RS"/>
        </w:rPr>
        <w:footnoteReference w:id="52"/>
      </w:r>
      <w:r w:rsidRPr="0081082A">
        <w:rPr>
          <w:rFonts w:ascii="Times New Roman" w:hAnsi="Times New Roman" w:cs="Times New Roman"/>
          <w:sz w:val="24"/>
          <w:lang w:val="sr-Cyrl-RS"/>
        </w:rPr>
        <w:t xml:space="preserve"> У циљу унапређења квалитета садржаја и анализе извештаја о учинку програма, потреба за јачањем капацитета буџетских корисника и Сектора буџета Министарства финансија препозната је</w:t>
      </w:r>
      <w:r w:rsidR="00721398" w:rsidRPr="0081082A">
        <w:rPr>
          <w:rFonts w:ascii="Times New Roman" w:hAnsi="Times New Roman"/>
          <w:sz w:val="24"/>
          <w:lang w:val="sr-Cyrl-RS"/>
        </w:rPr>
        <w:t xml:space="preserve"> и </w:t>
      </w:r>
      <w:r w:rsidRPr="0081082A">
        <w:rPr>
          <w:rFonts w:ascii="Times New Roman" w:hAnsi="Times New Roman" w:cs="Times New Roman"/>
          <w:sz w:val="24"/>
          <w:lang w:val="sr-Cyrl-RS"/>
        </w:rPr>
        <w:t xml:space="preserve">у </w:t>
      </w:r>
      <w:r w:rsidRPr="0081082A">
        <w:rPr>
          <w:rFonts w:ascii="Times New Roman" w:hAnsi="Times New Roman" w:cs="Times New Roman"/>
          <w:i/>
          <w:iCs/>
          <w:sz w:val="24"/>
          <w:lang w:val="sr-Cyrl-RS"/>
        </w:rPr>
        <w:t>PEFA</w:t>
      </w:r>
      <w:r w:rsidRPr="0081082A">
        <w:rPr>
          <w:rFonts w:ascii="Times New Roman" w:hAnsi="Times New Roman" w:cs="Times New Roman"/>
          <w:sz w:val="24"/>
          <w:lang w:val="sr-Cyrl-RS"/>
        </w:rPr>
        <w:t xml:space="preserve"> процени, док је потреба</w:t>
      </w:r>
      <w:r w:rsidR="00721398" w:rsidRPr="0081082A">
        <w:rPr>
          <w:rFonts w:ascii="Times New Roman" w:hAnsi="Times New Roman"/>
          <w:sz w:val="24"/>
          <w:lang w:val="sr-Cyrl-RS"/>
        </w:rPr>
        <w:t xml:space="preserve"> </w:t>
      </w:r>
      <w:r w:rsidR="00721398" w:rsidRPr="0081082A">
        <w:rPr>
          <w:rFonts w:ascii="Times New Roman" w:hAnsi="Times New Roman" w:cs="Times New Roman"/>
          <w:sz w:val="24"/>
          <w:lang w:val="sr-Cyrl-RS"/>
        </w:rPr>
        <w:t>у</w:t>
      </w:r>
      <w:r w:rsidR="00721398" w:rsidRPr="0081082A">
        <w:rPr>
          <w:rFonts w:ascii="Times New Roman" w:hAnsi="Times New Roman"/>
          <w:sz w:val="24"/>
          <w:lang w:val="sr-Cyrl-RS"/>
        </w:rPr>
        <w:t>напређења процеса извештавања о учинку програма у складу</w:t>
      </w:r>
      <w:r w:rsidRPr="0081082A">
        <w:rPr>
          <w:rFonts w:ascii="Times New Roman" w:hAnsi="Times New Roman" w:cs="Times New Roman"/>
          <w:sz w:val="24"/>
          <w:lang w:val="sr-Cyrl-RS"/>
        </w:rPr>
        <w:t xml:space="preserve"> и</w:t>
      </w:r>
      <w:r w:rsidR="00721398" w:rsidRPr="0081082A">
        <w:rPr>
          <w:rFonts w:ascii="Times New Roman" w:hAnsi="Times New Roman"/>
          <w:sz w:val="24"/>
          <w:lang w:val="sr-Cyrl-RS"/>
        </w:rPr>
        <w:t xml:space="preserve"> са препорукама СИГМА извештаја за унапређење транспарентности и свеобухватности буџетског извештавања</w:t>
      </w:r>
      <w:r w:rsidRPr="0081082A">
        <w:rPr>
          <w:rFonts w:ascii="Times New Roman" w:hAnsi="Times New Roman"/>
          <w:sz w:val="24"/>
          <w:lang w:val="sr-Cyrl-RS"/>
        </w:rPr>
        <w:t>. Имајући у виду наведено,</w:t>
      </w:r>
      <w:r w:rsidR="00721398" w:rsidRPr="0081082A">
        <w:rPr>
          <w:rFonts w:ascii="Times New Roman" w:hAnsi="Times New Roman"/>
          <w:sz w:val="24"/>
          <w:lang w:val="sr-Cyrl-RS"/>
        </w:rPr>
        <w:t xml:space="preserve"> Министарство финансија планира </w:t>
      </w:r>
      <w:r w:rsidR="00721398" w:rsidRPr="0081082A">
        <w:rPr>
          <w:rFonts w:ascii="Times New Roman" w:hAnsi="Times New Roman" w:cs="Times New Roman"/>
          <w:sz w:val="24"/>
          <w:lang w:val="sr-Cyrl-RS"/>
        </w:rPr>
        <w:t xml:space="preserve">да у овој области примени </w:t>
      </w:r>
      <w:r w:rsidRPr="0081082A">
        <w:rPr>
          <w:rFonts w:ascii="Times New Roman" w:hAnsi="Times New Roman" w:cs="Times New Roman"/>
          <w:sz w:val="24"/>
          <w:lang w:val="sr-Cyrl-RS"/>
        </w:rPr>
        <w:t xml:space="preserve">и </w:t>
      </w:r>
      <w:r w:rsidR="00721398" w:rsidRPr="0081082A">
        <w:rPr>
          <w:rFonts w:ascii="Times New Roman" w:hAnsi="Times New Roman" w:cs="Times New Roman"/>
          <w:sz w:val="24"/>
          <w:lang w:val="sr-Cyrl-RS"/>
        </w:rPr>
        <w:t xml:space="preserve">искуства добре праксе </w:t>
      </w:r>
      <w:r w:rsidR="00DE53A1" w:rsidRPr="0081082A">
        <w:rPr>
          <w:rFonts w:ascii="Times New Roman" w:hAnsi="Times New Roman" w:cs="Times New Roman"/>
          <w:sz w:val="24"/>
          <w:lang w:val="sr-Cyrl-RS"/>
        </w:rPr>
        <w:t xml:space="preserve">држава чланица </w:t>
      </w:r>
      <w:r w:rsidR="00721398" w:rsidRPr="0081082A">
        <w:rPr>
          <w:rFonts w:ascii="Times New Roman" w:hAnsi="Times New Roman" w:cs="Times New Roman"/>
          <w:sz w:val="24"/>
          <w:lang w:val="sr-Cyrl-RS"/>
        </w:rPr>
        <w:t>ЕУ</w:t>
      </w:r>
      <w:r w:rsidR="00721398" w:rsidRPr="0081082A">
        <w:rPr>
          <w:rFonts w:ascii="Times New Roman" w:hAnsi="Times New Roman"/>
          <w:sz w:val="24"/>
          <w:lang w:val="sr-Cyrl-RS"/>
        </w:rPr>
        <w:t>, што ће довести до свеобухватног напретка у планирању и буџетирању јавних расхода, заснованом на оствареним резултатима.</w:t>
      </w:r>
    </w:p>
    <w:p w:rsidR="00721398" w:rsidRPr="0081082A" w:rsidRDefault="00721398" w:rsidP="00363042">
      <w:pPr>
        <w:spacing w:after="0" w:line="240" w:lineRule="auto"/>
        <w:jc w:val="both"/>
        <w:rPr>
          <w:rFonts w:ascii="Times New Roman" w:hAnsi="Times New Roman" w:cs="Times New Roman"/>
          <w:b/>
          <w:sz w:val="24"/>
          <w:u w:val="single"/>
          <w:lang w:val="sr-Cyrl-RS"/>
        </w:rPr>
      </w:pPr>
      <w:r w:rsidRPr="0081082A">
        <w:rPr>
          <w:rFonts w:ascii="Times New Roman" w:hAnsi="Times New Roman" w:cs="Times New Roman"/>
          <w:b/>
          <w:sz w:val="24"/>
          <w:u w:val="single"/>
          <w:lang w:val="sr-Cyrl-RS"/>
        </w:rPr>
        <w:t>Мера</w:t>
      </w:r>
      <w:r w:rsidR="00040D94" w:rsidRPr="0081082A">
        <w:rPr>
          <w:rFonts w:ascii="Times New Roman" w:hAnsi="Times New Roman" w:cs="Times New Roman"/>
          <w:b/>
          <w:sz w:val="24"/>
          <w:u w:val="single"/>
          <w:lang w:val="sr-Cyrl-RS"/>
        </w:rPr>
        <w:t xml:space="preserve"> 1.2</w:t>
      </w:r>
      <w:r w:rsidR="00C428C1" w:rsidRPr="0081082A">
        <w:rPr>
          <w:rFonts w:ascii="Times New Roman" w:hAnsi="Times New Roman" w:cs="Times New Roman"/>
          <w:b/>
          <w:sz w:val="24"/>
          <w:u w:val="single"/>
          <w:lang w:val="sr-Cyrl-RS"/>
        </w:rPr>
        <w:t xml:space="preserve"> </w:t>
      </w:r>
      <w:r w:rsidRPr="0081082A">
        <w:rPr>
          <w:rFonts w:ascii="Times New Roman" w:hAnsi="Times New Roman" w:cs="Times New Roman"/>
          <w:b/>
          <w:sz w:val="24"/>
          <w:u w:val="single"/>
          <w:lang w:val="sr-Cyrl-RS"/>
        </w:rPr>
        <w:t>-</w:t>
      </w:r>
      <w:r w:rsidR="00B67411" w:rsidRPr="0081082A">
        <w:rPr>
          <w:rFonts w:ascii="Times New Roman" w:eastAsiaTheme="minorHAnsi" w:hAnsi="Times New Roman" w:cs="Times New Roman"/>
          <w:sz w:val="22"/>
          <w:szCs w:val="22"/>
          <w:lang w:val="sr-Cyrl-RS"/>
        </w:rPr>
        <w:t xml:space="preserve"> </w:t>
      </w:r>
      <w:r w:rsidR="00B67411" w:rsidRPr="0081082A">
        <w:rPr>
          <w:rFonts w:ascii="Times New Roman" w:hAnsi="Times New Roman" w:cs="Times New Roman"/>
          <w:b/>
          <w:sz w:val="24"/>
          <w:u w:val="single"/>
          <w:lang w:val="sr-Cyrl-RS"/>
        </w:rPr>
        <w:t>Унапређење капацитета у вези припреме и обавеза земаља чланица ЕУ током процеса припреме буџета</w:t>
      </w:r>
    </w:p>
    <w:p w:rsidR="00DD432C" w:rsidRPr="0081082A" w:rsidRDefault="00721398" w:rsidP="00FC2D8E">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 xml:space="preserve">Имајући у виду процес европских интеграција и напоре које </w:t>
      </w:r>
      <w:r w:rsidR="002C50C8" w:rsidRPr="0081082A">
        <w:rPr>
          <w:rFonts w:ascii="Times New Roman" w:hAnsi="Times New Roman" w:cs="Times New Roman"/>
          <w:sz w:val="24"/>
          <w:lang w:val="sr-Cyrl-RS"/>
        </w:rPr>
        <w:t>Р</w:t>
      </w:r>
      <w:r w:rsidR="00D539B3" w:rsidRPr="0081082A">
        <w:rPr>
          <w:rFonts w:ascii="Times New Roman" w:hAnsi="Times New Roman" w:cs="Times New Roman"/>
          <w:sz w:val="24"/>
          <w:lang w:val="sr-Cyrl-RS"/>
        </w:rPr>
        <w:t xml:space="preserve">епублика </w:t>
      </w:r>
      <w:r w:rsidR="002C50C8" w:rsidRPr="0081082A">
        <w:rPr>
          <w:rFonts w:ascii="Times New Roman" w:hAnsi="Times New Roman" w:cs="Times New Roman"/>
          <w:sz w:val="24"/>
          <w:lang w:val="sr-Cyrl-RS"/>
        </w:rPr>
        <w:t>С</w:t>
      </w:r>
      <w:r w:rsidR="00D539B3" w:rsidRPr="0081082A">
        <w:rPr>
          <w:rFonts w:ascii="Times New Roman" w:hAnsi="Times New Roman" w:cs="Times New Roman"/>
          <w:sz w:val="24"/>
          <w:lang w:val="sr-Cyrl-RS"/>
        </w:rPr>
        <w:t>рбија</w:t>
      </w:r>
      <w:r w:rsidR="002C50C8" w:rsidRPr="0081082A">
        <w:rPr>
          <w:rFonts w:ascii="Times New Roman" w:hAnsi="Times New Roman" w:cs="Times New Roman"/>
          <w:sz w:val="24"/>
          <w:lang w:val="sr-Cyrl-RS"/>
        </w:rPr>
        <w:t xml:space="preserve"> </w:t>
      </w:r>
      <w:r w:rsidRPr="0081082A">
        <w:rPr>
          <w:rFonts w:ascii="Times New Roman" w:hAnsi="Times New Roman"/>
          <w:sz w:val="24"/>
          <w:lang w:val="sr-Cyrl-RS"/>
        </w:rPr>
        <w:t>улаже у остваривање пуноправног чланства у ЕУ и обавезе које земље чланице имају при процесу припреме буџета, планира</w:t>
      </w:r>
      <w:r w:rsidRPr="0081082A">
        <w:rPr>
          <w:rFonts w:ascii="Times New Roman" w:hAnsi="Times New Roman" w:cs="Times New Roman"/>
          <w:sz w:val="24"/>
          <w:lang w:val="sr-Cyrl-RS"/>
        </w:rPr>
        <w:t>но је</w:t>
      </w:r>
      <w:r w:rsidRPr="0081082A">
        <w:rPr>
          <w:rFonts w:ascii="Times New Roman" w:hAnsi="Times New Roman"/>
          <w:sz w:val="24"/>
          <w:lang w:val="sr-Cyrl-RS"/>
        </w:rPr>
        <w:t xml:space="preserve"> спровођење анализе целокупног процеса, као и директне обавезе које </w:t>
      </w:r>
      <w:r w:rsidR="00F97568" w:rsidRPr="0081082A">
        <w:rPr>
          <w:rFonts w:ascii="Times New Roman" w:hAnsi="Times New Roman" w:cs="Times New Roman"/>
          <w:sz w:val="24"/>
          <w:lang w:val="sr-Cyrl-RS"/>
        </w:rPr>
        <w:t xml:space="preserve">ће Република </w:t>
      </w:r>
      <w:r w:rsidRPr="0081082A">
        <w:rPr>
          <w:rFonts w:ascii="Times New Roman" w:hAnsi="Times New Roman"/>
          <w:sz w:val="24"/>
          <w:lang w:val="sr-Cyrl-RS"/>
        </w:rPr>
        <w:t>Србија има</w:t>
      </w:r>
      <w:r w:rsidR="00F97568" w:rsidRPr="0081082A">
        <w:rPr>
          <w:rFonts w:ascii="Times New Roman" w:hAnsi="Times New Roman" w:cs="Times New Roman"/>
          <w:sz w:val="24"/>
          <w:lang w:val="sr-Cyrl-RS"/>
        </w:rPr>
        <w:t>ти</w:t>
      </w:r>
      <w:r w:rsidRPr="0081082A">
        <w:rPr>
          <w:rFonts w:ascii="Times New Roman" w:hAnsi="Times New Roman"/>
          <w:sz w:val="24"/>
          <w:lang w:val="sr-Cyrl-RS"/>
        </w:rPr>
        <w:t xml:space="preserve"> </w:t>
      </w:r>
      <w:r w:rsidR="00F97568" w:rsidRPr="0081082A">
        <w:rPr>
          <w:rFonts w:ascii="Times New Roman" w:hAnsi="Times New Roman" w:cs="Times New Roman"/>
          <w:sz w:val="24"/>
          <w:lang w:val="sr-Cyrl-RS"/>
        </w:rPr>
        <w:t>у будућности</w:t>
      </w:r>
      <w:r w:rsidRPr="0081082A">
        <w:rPr>
          <w:rFonts w:ascii="Times New Roman" w:hAnsi="Times New Roman"/>
          <w:sz w:val="24"/>
          <w:lang w:val="sr-Cyrl-RS"/>
        </w:rPr>
        <w:t xml:space="preserve">. </w:t>
      </w:r>
      <w:r w:rsidR="002C50C8" w:rsidRPr="0081082A">
        <w:rPr>
          <w:rFonts w:ascii="Times New Roman" w:hAnsi="Times New Roman" w:cs="Times New Roman"/>
          <w:sz w:val="24"/>
          <w:szCs w:val="24"/>
          <w:lang w:val="sr-Cyrl-RS"/>
        </w:rPr>
        <w:t>Анализа ће омогућити и делимично испуњење препоруке из Извештаја о напретку за 2020. годину о даљој потреби усклађивања са Директивом о захтевима за буџетске оквире, која захтева пуну транспарентност приликом планирања и извештавања о расходима и издацима општег нивоа државе</w:t>
      </w:r>
      <w:r w:rsidR="002C50C8" w:rsidRPr="0081082A">
        <w:rPr>
          <w:rStyle w:val="FootnoteReference"/>
          <w:rFonts w:ascii="Times New Roman" w:hAnsi="Times New Roman" w:cs="Times New Roman"/>
          <w:sz w:val="24"/>
          <w:szCs w:val="24"/>
          <w:lang w:val="sr-Cyrl-RS"/>
        </w:rPr>
        <w:footnoteReference w:id="53"/>
      </w:r>
      <w:r w:rsidR="002C50C8" w:rsidRPr="0081082A">
        <w:rPr>
          <w:rFonts w:ascii="Times New Roman" w:hAnsi="Times New Roman" w:cs="Times New Roman"/>
          <w:sz w:val="24"/>
          <w:szCs w:val="24"/>
          <w:lang w:val="sr-Cyrl-RS"/>
        </w:rPr>
        <w:t xml:space="preserve">. Анализа првенствено треба да садржи осврт на садржај буџетске документације, како са аспекта укључивања ванбуџетских корисника, тако и са аспекта обима </w:t>
      </w:r>
      <w:r w:rsidR="00812E17" w:rsidRPr="0081082A">
        <w:rPr>
          <w:rFonts w:ascii="Times New Roman" w:hAnsi="Times New Roman" w:cs="Times New Roman"/>
          <w:sz w:val="24"/>
          <w:szCs w:val="24"/>
          <w:lang w:val="sr-Cyrl-RS"/>
        </w:rPr>
        <w:t xml:space="preserve">и </w:t>
      </w:r>
      <w:r w:rsidR="002C50C8" w:rsidRPr="0081082A">
        <w:rPr>
          <w:rFonts w:ascii="Times New Roman" w:hAnsi="Times New Roman" w:cs="Times New Roman"/>
          <w:sz w:val="24"/>
          <w:szCs w:val="24"/>
          <w:lang w:val="sr-Cyrl-RS"/>
        </w:rPr>
        <w:t>објашњења у случају одступања од средњорочног оквира расхода, односно разлога који су их проузроковали (промене јавних политика, техничке промене и др).</w:t>
      </w:r>
      <w:r w:rsidR="002C50C8" w:rsidRPr="0081082A">
        <w:rPr>
          <w:lang w:val="sr-Cyrl-RS"/>
        </w:rPr>
        <w:t xml:space="preserve"> </w:t>
      </w:r>
      <w:r w:rsidRPr="0081082A">
        <w:rPr>
          <w:rFonts w:ascii="Times New Roman" w:hAnsi="Times New Roman"/>
          <w:sz w:val="24"/>
          <w:lang w:val="sr-Cyrl-RS"/>
        </w:rPr>
        <w:t xml:space="preserve">Спровођење анализе даће адекватан оквир уз помоћ </w:t>
      </w:r>
      <w:r w:rsidR="002C50C8" w:rsidRPr="0081082A">
        <w:rPr>
          <w:rFonts w:ascii="Times New Roman" w:hAnsi="Times New Roman" w:cs="Times New Roman"/>
          <w:sz w:val="24"/>
          <w:lang w:val="sr-Cyrl-RS"/>
        </w:rPr>
        <w:t>којег</w:t>
      </w:r>
      <w:r w:rsidRPr="0081082A">
        <w:rPr>
          <w:rFonts w:ascii="Times New Roman" w:hAnsi="Times New Roman"/>
          <w:sz w:val="24"/>
          <w:lang w:val="sr-Cyrl-RS"/>
        </w:rPr>
        <w:t xml:space="preserve"> ће Србија моћи да благовремено</w:t>
      </w:r>
      <w:r w:rsidR="00F97568" w:rsidRPr="0081082A">
        <w:rPr>
          <w:rFonts w:ascii="Times New Roman" w:hAnsi="Times New Roman" w:cs="Times New Roman"/>
          <w:sz w:val="24"/>
          <w:lang w:val="sr-Cyrl-RS"/>
        </w:rPr>
        <w:t>,</w:t>
      </w:r>
      <w:r w:rsidRPr="0081082A">
        <w:rPr>
          <w:rFonts w:ascii="Times New Roman" w:hAnsi="Times New Roman"/>
          <w:sz w:val="24"/>
          <w:lang w:val="sr-Cyrl-RS"/>
        </w:rPr>
        <w:t xml:space="preserve"> пре самог приступања</w:t>
      </w:r>
      <w:r w:rsidR="00F97568" w:rsidRPr="0081082A">
        <w:rPr>
          <w:rFonts w:ascii="Times New Roman" w:hAnsi="Times New Roman" w:cs="Times New Roman"/>
          <w:sz w:val="24"/>
          <w:lang w:val="sr-Cyrl-RS"/>
        </w:rPr>
        <w:t>,</w:t>
      </w:r>
      <w:r w:rsidRPr="0081082A">
        <w:rPr>
          <w:rFonts w:ascii="Times New Roman" w:hAnsi="Times New Roman"/>
          <w:sz w:val="24"/>
          <w:lang w:val="sr-Cyrl-RS"/>
        </w:rPr>
        <w:t xml:space="preserve"> буде упозната са процесом припреме буџета и својим обавезама, што ће осигурати и транспарентност </w:t>
      </w:r>
      <w:r w:rsidR="002C50C8" w:rsidRPr="0081082A">
        <w:rPr>
          <w:rFonts w:ascii="Times New Roman" w:hAnsi="Times New Roman" w:cs="Times New Roman"/>
          <w:sz w:val="24"/>
          <w:lang w:val="sr-Cyrl-RS"/>
        </w:rPr>
        <w:t>самог процеса</w:t>
      </w:r>
      <w:r w:rsidRPr="0081082A">
        <w:rPr>
          <w:rFonts w:ascii="Times New Roman" w:hAnsi="Times New Roman"/>
          <w:sz w:val="24"/>
          <w:lang w:val="sr-Cyrl-RS"/>
        </w:rPr>
        <w:t xml:space="preserve">, као и поштовање буџетског календара и свих </w:t>
      </w:r>
      <w:r w:rsidR="00F97568" w:rsidRPr="0081082A">
        <w:rPr>
          <w:rFonts w:ascii="Times New Roman" w:hAnsi="Times New Roman" w:cs="Times New Roman"/>
          <w:sz w:val="24"/>
          <w:lang w:val="sr-Cyrl-RS"/>
        </w:rPr>
        <w:t>предвиђених</w:t>
      </w:r>
      <w:r w:rsidRPr="0081082A">
        <w:rPr>
          <w:rFonts w:ascii="Times New Roman" w:hAnsi="Times New Roman"/>
          <w:sz w:val="24"/>
          <w:lang w:val="sr-Cyrl-RS"/>
        </w:rPr>
        <w:t xml:space="preserve"> кора</w:t>
      </w:r>
      <w:r w:rsidR="00F97568" w:rsidRPr="0081082A">
        <w:rPr>
          <w:rFonts w:ascii="Times New Roman" w:hAnsi="Times New Roman" w:cs="Times New Roman"/>
          <w:sz w:val="24"/>
          <w:lang w:val="sr-Cyrl-RS"/>
        </w:rPr>
        <w:t>ка</w:t>
      </w:r>
      <w:r w:rsidRPr="0081082A">
        <w:rPr>
          <w:rFonts w:ascii="Times New Roman" w:hAnsi="Times New Roman"/>
          <w:sz w:val="24"/>
          <w:lang w:val="sr-Cyrl-RS"/>
        </w:rPr>
        <w:t xml:space="preserve">. Такође, планиране су обуке за запослене у самом Министарству финансија, као и другим директним буџетским корисницима, што ће поред саме анализе, на техничком нивоу омогућити запосленима на пословима планирања и припреме буџета да буду упознати са динамиком </w:t>
      </w:r>
      <w:r w:rsidR="002C50C8" w:rsidRPr="0081082A">
        <w:rPr>
          <w:rFonts w:ascii="Times New Roman" w:hAnsi="Times New Roman" w:cs="Times New Roman"/>
          <w:sz w:val="24"/>
          <w:lang w:val="sr-Cyrl-RS"/>
        </w:rPr>
        <w:t xml:space="preserve">и обавезама </w:t>
      </w:r>
      <w:r w:rsidRPr="0081082A">
        <w:rPr>
          <w:rFonts w:ascii="Times New Roman" w:hAnsi="Times New Roman"/>
          <w:sz w:val="24"/>
          <w:lang w:val="sr-Cyrl-RS"/>
        </w:rPr>
        <w:t xml:space="preserve">припреме буџета </w:t>
      </w:r>
      <w:r w:rsidR="002C50C8" w:rsidRPr="0081082A">
        <w:rPr>
          <w:rFonts w:ascii="Times New Roman" w:hAnsi="Times New Roman" w:cs="Times New Roman"/>
          <w:sz w:val="24"/>
          <w:lang w:val="sr-Cyrl-RS"/>
        </w:rPr>
        <w:t>чланица</w:t>
      </w:r>
      <w:r w:rsidRPr="0081082A">
        <w:rPr>
          <w:rFonts w:ascii="Times New Roman" w:hAnsi="Times New Roman"/>
          <w:sz w:val="24"/>
          <w:lang w:val="sr-Cyrl-RS"/>
        </w:rPr>
        <w:t xml:space="preserve"> ЕУ, како би се осигурао максималан квалитет припреме. У оквиру мере за унапређење капацитета </w:t>
      </w:r>
      <w:r w:rsidR="002C50C8" w:rsidRPr="0081082A">
        <w:rPr>
          <w:rFonts w:ascii="Times New Roman" w:hAnsi="Times New Roman" w:cs="Times New Roman"/>
          <w:sz w:val="24"/>
          <w:lang w:val="sr-Cyrl-RS"/>
        </w:rPr>
        <w:t xml:space="preserve">за припрему </w:t>
      </w:r>
      <w:r w:rsidR="002C50C8" w:rsidRPr="0081082A">
        <w:rPr>
          <w:rFonts w:ascii="Times New Roman" w:hAnsi="Times New Roman" w:cs="Times New Roman"/>
          <w:sz w:val="24"/>
          <w:lang w:val="sr-Cyrl-RS"/>
        </w:rPr>
        <w:lastRenderedPageBreak/>
        <w:t>буџета и обавезе</w:t>
      </w:r>
      <w:r w:rsidRPr="0081082A">
        <w:rPr>
          <w:rFonts w:ascii="Times New Roman" w:hAnsi="Times New Roman"/>
          <w:sz w:val="24"/>
          <w:lang w:val="sr-Cyrl-RS"/>
        </w:rPr>
        <w:t xml:space="preserve"> земаља чланица ЕУ током процеса припреме буџета, планирана је и </w:t>
      </w:r>
      <w:r w:rsidRPr="0081082A">
        <w:rPr>
          <w:rFonts w:ascii="Times New Roman" w:hAnsi="Times New Roman" w:cs="Times New Roman"/>
          <w:sz w:val="24"/>
          <w:lang w:val="sr-Cyrl-RS"/>
        </w:rPr>
        <w:t xml:space="preserve">размена знања са једном </w:t>
      </w:r>
      <w:r w:rsidRPr="0081082A">
        <w:rPr>
          <w:rFonts w:ascii="Times New Roman" w:hAnsi="Times New Roman"/>
          <w:sz w:val="24"/>
          <w:lang w:val="sr-Cyrl-RS"/>
        </w:rPr>
        <w:t xml:space="preserve">од земаља чланица, што ће омогућити запосленима ефикасну размену искустава у овој области, с обзиром на </w:t>
      </w:r>
      <w:r w:rsidR="002C50C8" w:rsidRPr="0081082A">
        <w:rPr>
          <w:rFonts w:ascii="Times New Roman" w:hAnsi="Times New Roman" w:cs="Times New Roman"/>
          <w:sz w:val="24"/>
          <w:lang w:val="sr-Cyrl-RS"/>
        </w:rPr>
        <w:t>то да су спремност и обученост</w:t>
      </w:r>
      <w:r w:rsidRPr="0081082A">
        <w:rPr>
          <w:rFonts w:ascii="Times New Roman" w:hAnsi="Times New Roman"/>
          <w:sz w:val="24"/>
          <w:lang w:val="sr-Cyrl-RS"/>
        </w:rPr>
        <w:t xml:space="preserve"> пре самог приступања ЕУ</w:t>
      </w:r>
      <w:r w:rsidR="002C50C8" w:rsidRPr="0081082A">
        <w:rPr>
          <w:rFonts w:ascii="Times New Roman" w:hAnsi="Times New Roman" w:cs="Times New Roman"/>
          <w:sz w:val="24"/>
          <w:lang w:val="sr-Cyrl-RS"/>
        </w:rPr>
        <w:t xml:space="preserve"> од суштинског значаја.</w:t>
      </w:r>
      <w:r w:rsidRPr="0081082A">
        <w:rPr>
          <w:rFonts w:ascii="Times New Roman" w:hAnsi="Times New Roman"/>
          <w:sz w:val="24"/>
          <w:lang w:val="sr-Cyrl-RS"/>
        </w:rPr>
        <w:t xml:space="preserve"> </w:t>
      </w:r>
    </w:p>
    <w:p w:rsidR="00721398" w:rsidRPr="0081082A" w:rsidRDefault="00721398" w:rsidP="00363042">
      <w:pPr>
        <w:spacing w:after="0" w:line="240" w:lineRule="auto"/>
        <w:jc w:val="both"/>
        <w:rPr>
          <w:rFonts w:ascii="Times New Roman" w:hAnsi="Times New Roman"/>
          <w:b/>
          <w:sz w:val="24"/>
          <w:u w:val="single"/>
          <w:lang w:val="sr-Cyrl-RS"/>
        </w:rPr>
      </w:pPr>
      <w:r w:rsidRPr="0081082A">
        <w:rPr>
          <w:rFonts w:ascii="Times New Roman" w:hAnsi="Times New Roman" w:cs="Times New Roman"/>
          <w:b/>
          <w:sz w:val="24"/>
          <w:u w:val="single"/>
          <w:lang w:val="sr-Cyrl-RS"/>
        </w:rPr>
        <w:t>Мера</w:t>
      </w:r>
      <w:r w:rsidR="005C75C7" w:rsidRPr="0081082A">
        <w:rPr>
          <w:rFonts w:ascii="Times New Roman" w:hAnsi="Times New Roman" w:cs="Times New Roman"/>
          <w:b/>
          <w:sz w:val="24"/>
          <w:u w:val="single"/>
          <w:lang w:val="sr-Cyrl-RS"/>
        </w:rPr>
        <w:t xml:space="preserve"> 1.3</w:t>
      </w:r>
      <w:r w:rsidR="00A34AE0" w:rsidRPr="0081082A">
        <w:rPr>
          <w:rFonts w:ascii="Times New Roman" w:hAnsi="Times New Roman" w:cs="Times New Roman"/>
          <w:b/>
          <w:sz w:val="24"/>
          <w:u w:val="single"/>
          <w:lang w:val="sr-Cyrl-RS"/>
        </w:rPr>
        <w:t xml:space="preserve"> </w:t>
      </w:r>
      <w:r w:rsidRPr="0081082A">
        <w:rPr>
          <w:rFonts w:ascii="Times New Roman" w:hAnsi="Times New Roman" w:cs="Times New Roman"/>
          <w:b/>
          <w:sz w:val="24"/>
          <w:u w:val="single"/>
          <w:lang w:val="sr-Cyrl-RS"/>
        </w:rPr>
        <w:t>- Унапређење средњорочног планирања</w:t>
      </w:r>
    </w:p>
    <w:p w:rsidR="00721398" w:rsidRPr="0081082A" w:rsidRDefault="00721398" w:rsidP="00363042">
      <w:pPr>
        <w:spacing w:after="0" w:line="240" w:lineRule="auto"/>
        <w:ind w:firstLine="708"/>
        <w:jc w:val="both"/>
        <w:rPr>
          <w:rFonts w:ascii="Times New Roman" w:hAnsi="Times New Roman" w:cs="Times New Roman"/>
          <w:sz w:val="24"/>
          <w:lang w:val="sr-Cyrl-RS"/>
        </w:rPr>
      </w:pPr>
      <w:r w:rsidRPr="0081082A">
        <w:rPr>
          <w:rFonts w:ascii="Times New Roman" w:hAnsi="Times New Roman" w:cs="Times New Roman"/>
          <w:sz w:val="24"/>
          <w:lang w:val="sr-Cyrl-RS"/>
        </w:rPr>
        <w:t xml:space="preserve">Иако је усвајањем </w:t>
      </w:r>
      <w:r w:rsidR="002C50C8" w:rsidRPr="0081082A">
        <w:rPr>
          <w:rFonts w:ascii="Times New Roman" w:hAnsi="Times New Roman" w:cs="Times New Roman"/>
          <w:sz w:val="24"/>
          <w:lang w:val="sr-Cyrl-RS"/>
        </w:rPr>
        <w:t>правног</w:t>
      </w:r>
      <w:r w:rsidRPr="0081082A">
        <w:rPr>
          <w:rFonts w:ascii="Times New Roman" w:hAnsi="Times New Roman" w:cs="Times New Roman"/>
          <w:sz w:val="24"/>
          <w:lang w:val="sr-Cyrl-RS"/>
        </w:rPr>
        <w:t xml:space="preserve"> оквира за адекватно </w:t>
      </w:r>
      <w:r w:rsidR="002C50C8" w:rsidRPr="0081082A">
        <w:rPr>
          <w:rFonts w:ascii="Times New Roman" w:hAnsi="Times New Roman" w:cs="Times New Roman"/>
          <w:sz w:val="24"/>
          <w:lang w:val="sr-Cyrl-RS"/>
        </w:rPr>
        <w:t xml:space="preserve">управљање  јавним политикама </w:t>
      </w:r>
      <w:r w:rsidRPr="0081082A">
        <w:rPr>
          <w:rFonts w:ascii="Times New Roman" w:hAnsi="Times New Roman" w:cs="Times New Roman"/>
          <w:sz w:val="24"/>
          <w:lang w:val="sr-Cyrl-RS"/>
        </w:rPr>
        <w:t xml:space="preserve">и њихово буџетирање </w:t>
      </w:r>
      <w:r w:rsidR="002C50C8" w:rsidRPr="0081082A">
        <w:rPr>
          <w:rFonts w:ascii="Times New Roman" w:hAnsi="Times New Roman" w:cs="Times New Roman"/>
          <w:sz w:val="24"/>
          <w:lang w:val="sr-Cyrl-RS"/>
        </w:rPr>
        <w:t>постигнут</w:t>
      </w:r>
      <w:r w:rsidRPr="0081082A">
        <w:rPr>
          <w:rFonts w:ascii="Times New Roman" w:hAnsi="Times New Roman" w:cs="Times New Roman"/>
          <w:sz w:val="24"/>
          <w:lang w:val="sr-Cyrl-RS"/>
        </w:rPr>
        <w:t xml:space="preserve"> велики напредак у области средњорочног планирања</w:t>
      </w:r>
      <w:r w:rsidR="002C50C8" w:rsidRPr="0081082A">
        <w:rPr>
          <w:rFonts w:ascii="Times New Roman" w:hAnsi="Times New Roman"/>
          <w:sz w:val="24"/>
          <w:lang w:val="sr-Cyrl-RS"/>
        </w:rPr>
        <w:t>,</w:t>
      </w:r>
      <w:r w:rsidR="002C50C8" w:rsidRPr="0081082A">
        <w:rPr>
          <w:rFonts w:ascii="Times New Roman" w:hAnsi="Times New Roman" w:cs="Times New Roman"/>
          <w:sz w:val="24"/>
          <w:lang w:val="sr-Cyrl-RS"/>
        </w:rPr>
        <w:t xml:space="preserve"> </w:t>
      </w:r>
      <w:r w:rsidR="002C50C8" w:rsidRPr="0081082A">
        <w:rPr>
          <w:rFonts w:ascii="Times New Roman" w:hAnsi="Times New Roman" w:cs="Times New Roman"/>
          <w:i/>
          <w:iCs/>
          <w:sz w:val="24"/>
          <w:lang w:val="sr-Cyrl-RS"/>
        </w:rPr>
        <w:t>PEFA</w:t>
      </w:r>
      <w:r w:rsidRPr="0081082A">
        <w:rPr>
          <w:rFonts w:ascii="Times New Roman" w:hAnsi="Times New Roman" w:cs="Times New Roman"/>
          <w:sz w:val="24"/>
          <w:lang w:val="sr-Cyrl-RS"/>
        </w:rPr>
        <w:t xml:space="preserve"> процена за 2020. годину оценила је да је потребно даље </w:t>
      </w:r>
      <w:r w:rsidR="0047084D">
        <w:rPr>
          <w:rFonts w:ascii="Times New Roman" w:hAnsi="Times New Roman" w:cs="Times New Roman"/>
          <w:sz w:val="24"/>
          <w:lang w:val="sr-Cyrl-RS"/>
        </w:rPr>
        <w:t>унап</w:t>
      </w:r>
      <w:r w:rsidR="002C50C8" w:rsidRPr="0081082A">
        <w:rPr>
          <w:rFonts w:ascii="Times New Roman" w:hAnsi="Times New Roman" w:cs="Times New Roman"/>
          <w:sz w:val="24"/>
          <w:lang w:val="sr-Cyrl-RS"/>
        </w:rPr>
        <w:t>ређење у</w:t>
      </w:r>
      <w:r w:rsidRPr="0081082A">
        <w:rPr>
          <w:rFonts w:ascii="Times New Roman" w:hAnsi="Times New Roman" w:cs="Times New Roman"/>
          <w:sz w:val="24"/>
          <w:lang w:val="sr-Cyrl-RS"/>
        </w:rPr>
        <w:t xml:space="preserve"> повезивању средњорочних буџета са релевантним стратешким плановима корисника јавних средстава. </w:t>
      </w:r>
      <w:r w:rsidR="004A3315" w:rsidRPr="0081082A">
        <w:rPr>
          <w:rFonts w:ascii="Times New Roman" w:hAnsi="Times New Roman" w:cs="Times New Roman"/>
          <w:sz w:val="24"/>
          <w:lang w:val="sr-Cyrl-RS"/>
        </w:rPr>
        <w:t xml:space="preserve">Успешној </w:t>
      </w:r>
      <w:r w:rsidRPr="0081082A">
        <w:rPr>
          <w:rFonts w:ascii="Times New Roman" w:hAnsi="Times New Roman" w:cs="Times New Roman"/>
          <w:sz w:val="24"/>
          <w:lang w:val="sr-Cyrl-RS"/>
        </w:rPr>
        <w:t xml:space="preserve">оптимизацији </w:t>
      </w:r>
      <w:r w:rsidR="00A403BC" w:rsidRPr="0081082A">
        <w:rPr>
          <w:rFonts w:ascii="Times New Roman" w:hAnsi="Times New Roman" w:cs="Times New Roman"/>
          <w:sz w:val="24"/>
          <w:lang w:val="sr-Cyrl-RS"/>
        </w:rPr>
        <w:t xml:space="preserve">планских оквира у утврђеним областима планирања, која је услов за повећање броја обвезника који су усвојили своје средњорочне планове, </w:t>
      </w:r>
      <w:r w:rsidRPr="0081082A">
        <w:rPr>
          <w:rFonts w:ascii="Times New Roman" w:hAnsi="Times New Roman" w:cs="Times New Roman"/>
          <w:sz w:val="24"/>
          <w:lang w:val="sr-Cyrl-RS"/>
        </w:rPr>
        <w:t xml:space="preserve">допринеће чињеница да 39 докумената јавних политика истиче 2020. године, </w:t>
      </w:r>
      <w:r w:rsidR="00A403BC" w:rsidRPr="0081082A">
        <w:rPr>
          <w:rFonts w:ascii="Times New Roman" w:hAnsi="Times New Roman" w:cs="Times New Roman"/>
          <w:sz w:val="24"/>
          <w:lang w:val="sr-Cyrl-RS"/>
        </w:rPr>
        <w:t xml:space="preserve">а да ће нови документи у наредном периоду бити припремани у складу са новим правним оквиром. Како би се у наредном периоду осигурало доследно спровођење утврђених приоритетних циљева, </w:t>
      </w:r>
      <w:r w:rsidR="00A403BC" w:rsidRPr="0081082A">
        <w:rPr>
          <w:rFonts w:ascii="Times New Roman" w:hAnsi="Times New Roman"/>
          <w:sz w:val="24"/>
          <w:lang w:val="sr-Cyrl-RS"/>
        </w:rPr>
        <w:t>РСЈП ће</w:t>
      </w:r>
      <w:r w:rsidR="00812E17" w:rsidRPr="0081082A">
        <w:rPr>
          <w:rFonts w:ascii="Times New Roman" w:hAnsi="Times New Roman"/>
          <w:sz w:val="24"/>
          <w:lang w:val="sr-Cyrl-RS"/>
        </w:rPr>
        <w:t>,</w:t>
      </w:r>
      <w:r w:rsidR="00A403BC" w:rsidRPr="0081082A">
        <w:rPr>
          <w:rFonts w:ascii="Times New Roman" w:hAnsi="Times New Roman"/>
          <w:sz w:val="24"/>
          <w:lang w:val="sr-Cyrl-RS"/>
        </w:rPr>
        <w:t xml:space="preserve"> као надлежна институција за координирање јавних политика</w:t>
      </w:r>
      <w:r w:rsidR="00812E17" w:rsidRPr="0081082A">
        <w:rPr>
          <w:rFonts w:ascii="Times New Roman" w:hAnsi="Times New Roman"/>
          <w:sz w:val="24"/>
          <w:lang w:val="sr-Cyrl-RS"/>
        </w:rPr>
        <w:t>,</w:t>
      </w:r>
      <w:r w:rsidR="00A403BC" w:rsidRPr="0081082A">
        <w:rPr>
          <w:rFonts w:ascii="Times New Roman" w:hAnsi="Times New Roman"/>
          <w:sz w:val="24"/>
          <w:lang w:val="sr-Cyrl-RS"/>
        </w:rPr>
        <w:t xml:space="preserve"> наставити са пружањем подршке обвезницима средњорочног планирања како на републичком, тако и на нивоу локалне власти. Активности на подршци изради средњорочних планова локалних власти су планиране у Програму за реформу система локалне самоуправе за период 2021. до 2025. године. </w:t>
      </w:r>
      <w:r w:rsidR="00A403BC" w:rsidRPr="0081082A">
        <w:rPr>
          <w:rFonts w:ascii="Times New Roman" w:hAnsi="Times New Roman" w:cs="Times New Roman"/>
          <w:sz w:val="24"/>
          <w:lang w:val="sr-Cyrl-RS"/>
        </w:rPr>
        <w:t>П</w:t>
      </w:r>
      <w:r w:rsidR="00A403BC" w:rsidRPr="0081082A">
        <w:rPr>
          <w:rFonts w:ascii="Times New Roman" w:hAnsi="Times New Roman"/>
          <w:sz w:val="24"/>
          <w:lang w:val="sr-Cyrl-RS"/>
        </w:rPr>
        <w:t xml:space="preserve">ланирано је да </w:t>
      </w:r>
      <w:r w:rsidR="00A403BC" w:rsidRPr="0081082A">
        <w:rPr>
          <w:rFonts w:ascii="Times New Roman" w:hAnsi="Times New Roman" w:cs="Times New Roman"/>
          <w:sz w:val="24"/>
          <w:lang w:val="sr-Cyrl-RS"/>
        </w:rPr>
        <w:t>се након успостављених ре</w:t>
      </w:r>
      <w:r w:rsidR="00812E17" w:rsidRPr="0081082A">
        <w:rPr>
          <w:rFonts w:ascii="Times New Roman" w:hAnsi="Times New Roman" w:cs="Times New Roman"/>
          <w:sz w:val="24"/>
          <w:lang w:val="sr-Cyrl-RS"/>
        </w:rPr>
        <w:t>д</w:t>
      </w:r>
      <w:r w:rsidR="00A403BC" w:rsidRPr="0081082A">
        <w:rPr>
          <w:rFonts w:ascii="Times New Roman" w:hAnsi="Times New Roman" w:cs="Times New Roman"/>
          <w:sz w:val="24"/>
          <w:lang w:val="sr-Cyrl-RS"/>
        </w:rPr>
        <w:t>овних циклуса буџетског планирања код свих обвезника, до</w:t>
      </w:r>
      <w:r w:rsidR="00A403BC" w:rsidRPr="0081082A">
        <w:rPr>
          <w:rFonts w:ascii="Times New Roman" w:hAnsi="Times New Roman"/>
          <w:sz w:val="24"/>
          <w:lang w:val="sr-Cyrl-RS"/>
        </w:rPr>
        <w:t xml:space="preserve"> краја 2025. године, изради анализ</w:t>
      </w:r>
      <w:r w:rsidR="00A403BC" w:rsidRPr="0081082A">
        <w:rPr>
          <w:rFonts w:ascii="Times New Roman" w:hAnsi="Times New Roman" w:cs="Times New Roman"/>
          <w:sz w:val="24"/>
          <w:lang w:val="sr-Cyrl-RS"/>
        </w:rPr>
        <w:t>а</w:t>
      </w:r>
      <w:r w:rsidR="00A403BC" w:rsidRPr="0081082A">
        <w:rPr>
          <w:rFonts w:ascii="Times New Roman" w:hAnsi="Times New Roman"/>
          <w:sz w:val="24"/>
          <w:lang w:val="sr-Cyrl-RS"/>
        </w:rPr>
        <w:t xml:space="preserve"> степена усаглашености средњорочних планова са постојећим документима јавних политика у одговарајућим областима планирања. </w:t>
      </w:r>
      <w:r w:rsidR="00A403BC" w:rsidRPr="0081082A">
        <w:rPr>
          <w:rFonts w:ascii="Times New Roman" w:hAnsi="Times New Roman" w:cs="Times New Roman"/>
          <w:sz w:val="24"/>
          <w:lang w:val="sr-Cyrl-RS"/>
        </w:rPr>
        <w:t>Будући да је добро средњорочно планирање кључно за процес адекватног буџетирања расхода, о</w:t>
      </w:r>
      <w:r w:rsidR="00A403BC" w:rsidRPr="0081082A">
        <w:rPr>
          <w:rFonts w:ascii="Times New Roman" w:hAnsi="Times New Roman"/>
          <w:sz w:val="24"/>
          <w:lang w:val="sr-Cyrl-RS"/>
        </w:rPr>
        <w:t>ва активност омогућиће идентификацију изазова које институцијама представља оптимизација постојећег планског оквира</w:t>
      </w:r>
      <w:r w:rsidR="00812E17" w:rsidRPr="0081082A">
        <w:rPr>
          <w:rFonts w:ascii="Times New Roman" w:hAnsi="Times New Roman"/>
          <w:sz w:val="24"/>
          <w:lang w:val="sr-Cyrl-RS"/>
        </w:rPr>
        <w:t>,</w:t>
      </w:r>
      <w:r w:rsidR="00A403BC" w:rsidRPr="0081082A">
        <w:rPr>
          <w:rFonts w:ascii="Times New Roman" w:hAnsi="Times New Roman"/>
          <w:sz w:val="24"/>
          <w:lang w:val="sr-Cyrl-RS"/>
        </w:rPr>
        <w:t xml:space="preserve"> на основу које се израђује структура средњорочних планова, као и показатељ које кораке треба предузети како би средњорочни планови били максимално усаглашени са документима јавних политика и другим планским документима.</w:t>
      </w:r>
    </w:p>
    <w:p w:rsidR="002C50C8" w:rsidRPr="0081082A" w:rsidRDefault="002C50C8" w:rsidP="00363042">
      <w:pPr>
        <w:spacing w:after="0" w:line="240" w:lineRule="auto"/>
        <w:ind w:firstLine="708"/>
        <w:jc w:val="both"/>
        <w:rPr>
          <w:rFonts w:ascii="Times New Roman" w:hAnsi="Times New Roman" w:cs="Times New Roman"/>
          <w:sz w:val="24"/>
          <w:lang w:val="sr-Cyrl-RS"/>
        </w:rPr>
      </w:pPr>
      <w:r w:rsidRPr="0081082A">
        <w:rPr>
          <w:rFonts w:ascii="Times New Roman" w:hAnsi="Times New Roman" w:cs="Times New Roman"/>
          <w:sz w:val="24"/>
          <w:lang w:val="sr-Cyrl-RS"/>
        </w:rPr>
        <w:t>У Извештају</w:t>
      </w:r>
      <w:r w:rsidR="008868DA" w:rsidRPr="0081082A">
        <w:rPr>
          <w:rFonts w:ascii="Times New Roman" w:hAnsi="Times New Roman" w:cs="Times New Roman"/>
          <w:sz w:val="24"/>
          <w:lang w:val="sr-Cyrl-RS"/>
        </w:rPr>
        <w:t xml:space="preserve"> Европске комисије</w:t>
      </w:r>
      <w:r w:rsidRPr="0081082A">
        <w:rPr>
          <w:rFonts w:ascii="Times New Roman" w:hAnsi="Times New Roman" w:cs="Times New Roman"/>
          <w:sz w:val="24"/>
          <w:lang w:val="sr-Cyrl-RS"/>
        </w:rPr>
        <w:t xml:space="preserve"> о </w:t>
      </w:r>
      <w:r w:rsidR="00831F23" w:rsidRPr="0081082A">
        <w:rPr>
          <w:rFonts w:ascii="Times New Roman" w:hAnsi="Times New Roman" w:cs="Times New Roman"/>
          <w:sz w:val="24"/>
          <w:lang w:val="sr-Cyrl-RS"/>
        </w:rPr>
        <w:t>Србији</w:t>
      </w:r>
      <w:r w:rsidRPr="0081082A">
        <w:rPr>
          <w:rFonts w:ascii="Times New Roman" w:hAnsi="Times New Roman" w:cs="Times New Roman"/>
          <w:sz w:val="24"/>
          <w:lang w:val="sr-Cyrl-RS"/>
        </w:rPr>
        <w:t xml:space="preserve"> за 2020. годину препоручено је да будући ПРУЈФ треба да обезбеди бољу повезаност са секторским стратешким оквиром и повећање фокусираности на показатеље учинка и остваривање истих. Истовремено и у Извештају о процени заснованој на индикаторима, као и </w:t>
      </w:r>
      <w:r w:rsidRPr="0081082A">
        <w:rPr>
          <w:rFonts w:ascii="Times New Roman" w:hAnsi="Times New Roman" w:cs="Times New Roman"/>
          <w:i/>
          <w:iCs/>
          <w:sz w:val="24"/>
          <w:lang w:val="sr-Cyrl-RS"/>
        </w:rPr>
        <w:t>PEFA</w:t>
      </w:r>
      <w:r w:rsidRPr="0081082A">
        <w:rPr>
          <w:rFonts w:ascii="Times New Roman" w:hAnsi="Times New Roman" w:cs="Times New Roman"/>
          <w:sz w:val="24"/>
          <w:lang w:val="sr-Cyrl-RS"/>
        </w:rPr>
        <w:t xml:space="preserve"> процени</w:t>
      </w:r>
      <w:r w:rsidR="00812E17" w:rsidRPr="0081082A">
        <w:rPr>
          <w:rFonts w:ascii="Times New Roman" w:hAnsi="Times New Roman" w:cs="Times New Roman"/>
          <w:sz w:val="24"/>
          <w:lang w:val="sr-Cyrl-RS"/>
        </w:rPr>
        <w:t>,</w:t>
      </w:r>
      <w:r w:rsidRPr="0081082A">
        <w:rPr>
          <w:rFonts w:ascii="Times New Roman" w:hAnsi="Times New Roman" w:cs="Times New Roman"/>
          <w:sz w:val="24"/>
          <w:lang w:val="sr-Cyrl-RS"/>
        </w:rPr>
        <w:t xml:space="preserve"> препозната је потреба унапређења утврђивања средњорочног оквира расхода, као и обрачуна трошкова средњорочних планова. Вишегодишњим исказивањем буџета, може се допринети квалитету утврђивања средњорочног оквира расхода. Сама чињеница да ће подаци бити јавно доступни утицаће на подизање нивоа анализе и прецизније сагледавање вишегодишњих обавеза. То захтева јачање аналитичких капацитета како буџетских корисника, тако и Министарства финансија. Поред људских ресурса неопходно је омогућити и друге алате, као што је јединствена методологија процене трошкова, која може да се обезбеди и надоградњом Обрасца ПФЕ - Образац стандардне методологије за процену финансијских ефеката акта</w:t>
      </w:r>
      <w:r w:rsidRPr="0081082A">
        <w:rPr>
          <w:rStyle w:val="FootnoteReference"/>
          <w:rFonts w:ascii="Times New Roman" w:hAnsi="Times New Roman" w:cs="Times New Roman"/>
          <w:sz w:val="24"/>
          <w:lang w:val="sr-Cyrl-RS"/>
        </w:rPr>
        <w:footnoteReference w:id="54"/>
      </w:r>
      <w:r w:rsidRPr="0081082A">
        <w:rPr>
          <w:rFonts w:ascii="Times New Roman" w:hAnsi="Times New Roman" w:cs="Times New Roman"/>
          <w:sz w:val="24"/>
          <w:lang w:val="sr-Cyrl-RS"/>
        </w:rPr>
        <w:t>.</w:t>
      </w:r>
    </w:p>
    <w:p w:rsidR="002C50C8" w:rsidRPr="0081082A" w:rsidRDefault="002C50C8" w:rsidP="00363042">
      <w:pPr>
        <w:spacing w:after="0" w:line="240" w:lineRule="auto"/>
        <w:ind w:firstLine="708"/>
        <w:jc w:val="both"/>
        <w:rPr>
          <w:rFonts w:ascii="Times New Roman" w:hAnsi="Times New Roman" w:cs="Times New Roman"/>
          <w:sz w:val="24"/>
          <w:lang w:val="sr-Cyrl-RS"/>
        </w:rPr>
      </w:pPr>
      <w:r w:rsidRPr="0081082A">
        <w:rPr>
          <w:rFonts w:ascii="Times New Roman" w:hAnsi="Times New Roman" w:cs="Times New Roman"/>
          <w:sz w:val="24"/>
          <w:lang w:val="sr-Cyrl-RS"/>
        </w:rPr>
        <w:t xml:space="preserve">Веза буџетских средстава, односно циљева исказаних програма, са средњорочним плановима биће </w:t>
      </w:r>
      <w:r w:rsidR="00A14EE9" w:rsidRPr="0081082A">
        <w:rPr>
          <w:rFonts w:ascii="Times New Roman" w:hAnsi="Times New Roman" w:cs="Times New Roman"/>
          <w:sz w:val="24"/>
          <w:lang w:val="sr-Cyrl-RS"/>
        </w:rPr>
        <w:t xml:space="preserve">олакшана </w:t>
      </w:r>
      <w:r w:rsidRPr="0081082A">
        <w:rPr>
          <w:rFonts w:ascii="Times New Roman" w:hAnsi="Times New Roman" w:cs="Times New Roman"/>
          <w:sz w:val="24"/>
          <w:lang w:val="sr-Cyrl-RS"/>
        </w:rPr>
        <w:t xml:space="preserve">и </w:t>
      </w:r>
      <w:r w:rsidR="00746B5A" w:rsidRPr="0081082A">
        <w:rPr>
          <w:rFonts w:ascii="Times New Roman" w:hAnsi="Times New Roman" w:cs="Times New Roman"/>
          <w:sz w:val="24"/>
          <w:lang w:val="sr-Cyrl-RS"/>
        </w:rPr>
        <w:t xml:space="preserve">кроз </w:t>
      </w:r>
      <w:r w:rsidR="00A14EE9" w:rsidRPr="0081082A">
        <w:rPr>
          <w:rFonts w:ascii="Times New Roman" w:hAnsi="Times New Roman" w:cs="Times New Roman"/>
          <w:sz w:val="24"/>
          <w:lang w:val="sr-Cyrl-RS"/>
        </w:rPr>
        <w:t xml:space="preserve">директно </w:t>
      </w:r>
      <w:r w:rsidRPr="0081082A">
        <w:rPr>
          <w:rFonts w:ascii="Times New Roman" w:hAnsi="Times New Roman" w:cs="Times New Roman"/>
          <w:sz w:val="24"/>
          <w:lang w:val="sr-Cyrl-RS"/>
        </w:rPr>
        <w:t>повезивање ЈИС</w:t>
      </w:r>
      <w:r w:rsidR="00D73C1E" w:rsidRPr="0081082A">
        <w:rPr>
          <w:rFonts w:ascii="Times New Roman" w:hAnsi="Times New Roman" w:cs="Times New Roman"/>
          <w:sz w:val="24"/>
          <w:lang w:val="sr-Cyrl-RS"/>
        </w:rPr>
        <w:t xml:space="preserve"> са једне стране, и са друге стране</w:t>
      </w:r>
      <w:r w:rsidR="006A2210" w:rsidRPr="0081082A">
        <w:rPr>
          <w:rFonts w:ascii="Times New Roman" w:hAnsi="Times New Roman" w:cs="Times New Roman"/>
          <w:sz w:val="24"/>
          <w:lang w:val="sr-Cyrl-RS"/>
        </w:rPr>
        <w:t xml:space="preserve"> -</w:t>
      </w:r>
      <w:r w:rsidRPr="0081082A">
        <w:rPr>
          <w:rFonts w:ascii="Times New Roman" w:hAnsi="Times New Roman" w:cs="Times New Roman"/>
          <w:sz w:val="24"/>
          <w:lang w:val="sr-Cyrl-RS"/>
        </w:rPr>
        <w:t xml:space="preserve"> јединственог информационог система за планирање, </w:t>
      </w:r>
      <w:r w:rsidRPr="0081082A">
        <w:rPr>
          <w:rFonts w:ascii="Times New Roman" w:hAnsi="Times New Roman" w:cs="Times New Roman"/>
          <w:sz w:val="24"/>
          <w:lang w:val="sr-Cyrl-RS"/>
        </w:rPr>
        <w:lastRenderedPageBreak/>
        <w:t xml:space="preserve">извршење буџета </w:t>
      </w:r>
      <w:r w:rsidR="00D73C1E" w:rsidRPr="0081082A">
        <w:rPr>
          <w:rFonts w:ascii="Times New Roman" w:hAnsi="Times New Roman" w:cs="Times New Roman"/>
          <w:sz w:val="24"/>
          <w:lang w:val="sr-Cyrl-RS"/>
        </w:rPr>
        <w:t>Р</w:t>
      </w:r>
      <w:r w:rsidR="00D539B3" w:rsidRPr="0081082A">
        <w:rPr>
          <w:rFonts w:ascii="Times New Roman" w:hAnsi="Times New Roman" w:cs="Times New Roman"/>
          <w:sz w:val="24"/>
          <w:lang w:val="sr-Cyrl-RS"/>
        </w:rPr>
        <w:t xml:space="preserve">епублике </w:t>
      </w:r>
      <w:r w:rsidR="00D73C1E" w:rsidRPr="0081082A">
        <w:rPr>
          <w:rFonts w:ascii="Times New Roman" w:hAnsi="Times New Roman" w:cs="Times New Roman"/>
          <w:sz w:val="24"/>
          <w:lang w:val="sr-Cyrl-RS"/>
        </w:rPr>
        <w:t>С</w:t>
      </w:r>
      <w:r w:rsidR="00D539B3" w:rsidRPr="0081082A">
        <w:rPr>
          <w:rFonts w:ascii="Times New Roman" w:hAnsi="Times New Roman" w:cs="Times New Roman"/>
          <w:sz w:val="24"/>
          <w:lang w:val="sr-Cyrl-RS"/>
        </w:rPr>
        <w:t>рбије</w:t>
      </w:r>
      <w:r w:rsidRPr="0081082A">
        <w:rPr>
          <w:rFonts w:ascii="Times New Roman" w:hAnsi="Times New Roman" w:cs="Times New Roman"/>
          <w:sz w:val="24"/>
          <w:lang w:val="sr-Cyrl-RS"/>
        </w:rPr>
        <w:t xml:space="preserve"> и рачуноводствени систем</w:t>
      </w:r>
      <w:r w:rsidR="00D73C1E" w:rsidRPr="0081082A">
        <w:rPr>
          <w:rFonts w:ascii="Times New Roman" w:hAnsi="Times New Roman" w:cs="Times New Roman"/>
          <w:sz w:val="24"/>
          <w:lang w:val="sr-Cyrl-RS"/>
        </w:rPr>
        <w:t xml:space="preserve"> (на чијем </w:t>
      </w:r>
      <w:r w:rsidR="006A2210" w:rsidRPr="0081082A">
        <w:rPr>
          <w:rFonts w:ascii="Times New Roman" w:hAnsi="Times New Roman" w:cs="Times New Roman"/>
          <w:sz w:val="24"/>
          <w:lang w:val="sr-Cyrl-RS"/>
        </w:rPr>
        <w:t xml:space="preserve">се </w:t>
      </w:r>
      <w:r w:rsidR="00D73C1E" w:rsidRPr="0081082A">
        <w:rPr>
          <w:rFonts w:ascii="Times New Roman" w:hAnsi="Times New Roman" w:cs="Times New Roman"/>
          <w:sz w:val="24"/>
          <w:lang w:val="sr-Cyrl-RS"/>
        </w:rPr>
        <w:t>повезивању тренутно ради)</w:t>
      </w:r>
      <w:r w:rsidR="00A14EE9" w:rsidRPr="0081082A">
        <w:rPr>
          <w:rFonts w:ascii="Times New Roman" w:hAnsi="Times New Roman" w:cs="Times New Roman"/>
          <w:sz w:val="24"/>
          <w:lang w:val="sr-Cyrl-RS"/>
        </w:rPr>
        <w:t>.</w:t>
      </w:r>
      <w:r w:rsidR="00A403BC" w:rsidRPr="0081082A">
        <w:rPr>
          <w:rFonts w:ascii="Times New Roman" w:hAnsi="Times New Roman" w:cs="Times New Roman"/>
          <w:sz w:val="24"/>
          <w:lang w:val="sr-Cyrl-RS"/>
        </w:rPr>
        <w:t xml:space="preserve"> Активности на повезивању два информациона система, као и активности на унапређењу јединствене методологије за процену трошкова биће планирана у програму унапређења управљања јавним политикама и регулаторну реформу за период 2021. до 2025. године.</w:t>
      </w:r>
    </w:p>
    <w:p w:rsidR="00DF2E1F" w:rsidRPr="0081082A" w:rsidRDefault="004C0B13" w:rsidP="00EF5BCB">
      <w:pPr>
        <w:spacing w:after="0" w:line="240" w:lineRule="auto"/>
        <w:jc w:val="both"/>
        <w:rPr>
          <w:rFonts w:ascii="Times New Roman" w:hAnsi="Times New Roman"/>
          <w:b/>
          <w:sz w:val="24"/>
          <w:u w:val="single"/>
          <w:lang w:val="sr-Cyrl-RS"/>
        </w:rPr>
      </w:pPr>
      <w:r w:rsidRPr="0081082A">
        <w:rPr>
          <w:rFonts w:ascii="Times New Roman" w:hAnsi="Times New Roman"/>
          <w:b/>
          <w:sz w:val="24"/>
          <w:u w:val="single"/>
          <w:lang w:val="sr-Cyrl-RS"/>
        </w:rPr>
        <w:t>Meра</w:t>
      </w:r>
      <w:r w:rsidR="00C21ACA" w:rsidRPr="0081082A">
        <w:rPr>
          <w:rFonts w:ascii="Times New Roman" w:hAnsi="Times New Roman"/>
          <w:b/>
          <w:sz w:val="24"/>
          <w:u w:val="single"/>
          <w:lang w:val="sr-Cyrl-RS"/>
        </w:rPr>
        <w:t xml:space="preserve"> 1.4</w:t>
      </w:r>
      <w:r w:rsidR="002C50C8" w:rsidRPr="0081082A">
        <w:rPr>
          <w:rFonts w:ascii="Times New Roman" w:hAnsi="Times New Roman" w:cs="Times New Roman"/>
          <w:b/>
          <w:sz w:val="24"/>
          <w:u w:val="single"/>
          <w:lang w:val="sr-Cyrl-RS"/>
        </w:rPr>
        <w:t xml:space="preserve"> </w:t>
      </w:r>
      <w:r w:rsidRPr="0081082A">
        <w:rPr>
          <w:rFonts w:ascii="Times New Roman" w:hAnsi="Times New Roman"/>
          <w:b/>
          <w:sz w:val="24"/>
          <w:u w:val="single"/>
          <w:lang w:val="sr-Cyrl-RS"/>
        </w:rPr>
        <w:t xml:space="preserve">- </w:t>
      </w:r>
      <w:r w:rsidR="00EF5BCB" w:rsidRPr="0081082A">
        <w:rPr>
          <w:rFonts w:ascii="Times New Roman" w:hAnsi="Times New Roman"/>
          <w:b/>
          <w:iCs/>
          <w:sz w:val="24"/>
          <w:u w:val="single"/>
          <w:lang w:val="sr-Cyrl-RS"/>
        </w:rPr>
        <w:t>Унапређење окружења за ефикасно управљање капиталним пројектима</w:t>
      </w:r>
      <w:r w:rsidR="005C602B" w:rsidRPr="0081082A">
        <w:rPr>
          <w:rFonts w:ascii="Times New Roman" w:hAnsi="Times New Roman"/>
          <w:b/>
          <w:iCs/>
          <w:sz w:val="24"/>
          <w:u w:val="single"/>
          <w:lang w:val="sr-Cyrl-RS"/>
        </w:rPr>
        <w:t xml:space="preserve"> и праћење фискалних ризика</w:t>
      </w:r>
      <w:r w:rsidR="00EF5BCB" w:rsidRPr="0081082A">
        <w:rPr>
          <w:rFonts w:ascii="Times New Roman" w:hAnsi="Times New Roman"/>
          <w:b/>
          <w:iCs/>
          <w:sz w:val="24"/>
          <w:u w:val="single"/>
          <w:lang w:val="sr-Cyrl-RS"/>
        </w:rPr>
        <w:t xml:space="preserve"> </w:t>
      </w:r>
    </w:p>
    <w:p w:rsidR="00DF2E1F" w:rsidRPr="0081082A" w:rsidRDefault="00DF2E1F" w:rsidP="00DF2E1F">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Будући да је примена Уредбе о управљању капиталним пројектима („Сл</w:t>
      </w:r>
      <w:r w:rsidR="00662B88" w:rsidRPr="0081082A">
        <w:rPr>
          <w:rFonts w:ascii="Times New Roman" w:hAnsi="Times New Roman" w:cs="Times New Roman"/>
          <w:sz w:val="24"/>
          <w:szCs w:val="24"/>
          <w:lang w:val="sr-Cyrl-RS"/>
        </w:rPr>
        <w:t>ужбени</w:t>
      </w:r>
      <w:r w:rsidRPr="0081082A">
        <w:rPr>
          <w:rFonts w:ascii="Times New Roman" w:hAnsi="Times New Roman" w:cs="Times New Roman"/>
          <w:sz w:val="24"/>
          <w:szCs w:val="24"/>
          <w:lang w:val="sr-Cyrl-RS"/>
        </w:rPr>
        <w:t xml:space="preserve"> гласник РС</w:t>
      </w:r>
      <w:r w:rsidR="007E728E" w:rsidRPr="0081082A">
        <w:rPr>
          <w:rFonts w:ascii="Times New Roman" w:hAnsi="Times New Roman" w:cs="Times New Roman"/>
          <w:sz w:val="24"/>
          <w:szCs w:val="24"/>
          <w:lang w:val="sr-Cyrl-RS"/>
        </w:rPr>
        <w:t>”</w:t>
      </w:r>
      <w:r w:rsidR="00D539B3"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брoj 51/19) започета у јануару 2020, а да је од марта 2020. пандемија </w:t>
      </w:r>
      <w:r w:rsidR="009A0BC7" w:rsidRPr="0081082A">
        <w:rPr>
          <w:rFonts w:ascii="Times New Roman" w:hAnsi="Times New Roman" w:cs="Times New Roman"/>
          <w:sz w:val="24"/>
          <w:szCs w:val="24"/>
          <w:lang w:val="sr-Cyrl-RS"/>
        </w:rPr>
        <w:t xml:space="preserve">болести </w:t>
      </w:r>
      <w:r w:rsidR="00202ACE">
        <w:rPr>
          <w:rFonts w:ascii="Times New Roman" w:eastAsia="Calibri" w:hAnsi="Times New Roman" w:cs="Times New Roman"/>
          <w:sz w:val="24"/>
          <w:szCs w:val="24"/>
          <w:lang w:val="sr-Cyrl-RS"/>
        </w:rPr>
        <w:t>Ковид</w:t>
      </w:r>
      <w:r w:rsidR="00662B88" w:rsidRPr="0081082A">
        <w:rPr>
          <w:rFonts w:ascii="Times New Roman" w:eastAsia="Calibri" w:hAnsi="Times New Roman" w:cs="Times New Roman"/>
          <w:sz w:val="24"/>
          <w:szCs w:val="24"/>
          <w:lang w:val="sr-Cyrl-RS"/>
        </w:rPr>
        <w:t>-19</w:t>
      </w:r>
      <w:r w:rsidR="00202ACE">
        <w:rPr>
          <w:rFonts w:ascii="Times New Roman" w:eastAsia="Calibri" w:hAnsi="Times New Roman" w:cs="Times New Roman"/>
          <w:sz w:val="24"/>
          <w:szCs w:val="24"/>
          <w:lang w:val="sr-Cyrl-RS"/>
        </w:rPr>
        <w:t xml:space="preserve"> </w:t>
      </w:r>
      <w:r w:rsidRPr="0081082A">
        <w:rPr>
          <w:rFonts w:ascii="Times New Roman" w:hAnsi="Times New Roman" w:cs="Times New Roman"/>
          <w:sz w:val="24"/>
          <w:szCs w:val="24"/>
          <w:lang w:val="sr-Cyrl-RS"/>
        </w:rPr>
        <w:t xml:space="preserve">за последицу имала успоравање низа пословних процеса, па и овог, пуна примена предметне </w:t>
      </w:r>
      <w:r w:rsidR="00A545D2" w:rsidRPr="0081082A">
        <w:rPr>
          <w:rFonts w:ascii="Times New Roman" w:hAnsi="Times New Roman" w:cs="Times New Roman"/>
          <w:sz w:val="24"/>
          <w:szCs w:val="24"/>
          <w:lang w:val="sr-Cyrl-RS"/>
        </w:rPr>
        <w:t xml:space="preserve">уредбе, </w:t>
      </w:r>
      <w:r w:rsidRPr="0081082A">
        <w:rPr>
          <w:rFonts w:ascii="Times New Roman" w:hAnsi="Times New Roman" w:cs="Times New Roman"/>
          <w:sz w:val="24"/>
          <w:szCs w:val="24"/>
          <w:lang w:val="sr-Cyrl-RS"/>
        </w:rPr>
        <w:t>односно методологије о управљању капиталним пројектима се</w:t>
      </w:r>
      <w:r w:rsidR="009F34A3"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тек очекује.</w:t>
      </w:r>
    </w:p>
    <w:p w:rsidR="00DF2E1F" w:rsidRPr="0081082A" w:rsidRDefault="00DF2E1F" w:rsidP="00DF2E1F">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складу са наведеним, Сектор за праћење фискалних ризика је предузео низ корака у циљу целовитог спровођења методологије, а то су: јединствена евиденција капиталних пројеката које спроводе ресорна министарства у својству овлашћених предлагача; праћење фазе имплементације активних пројеката, укључујући и пр</w:t>
      </w:r>
      <w:r w:rsidR="003A369C">
        <w:rPr>
          <w:rFonts w:ascii="Times New Roman" w:hAnsi="Times New Roman" w:cs="Times New Roman"/>
          <w:sz w:val="24"/>
          <w:szCs w:val="24"/>
          <w:lang w:val="sr-Cyrl-RS"/>
        </w:rPr>
        <w:t>ојекте од посебног значаја за Републику</w:t>
      </w:r>
      <w:r w:rsidRPr="0081082A">
        <w:rPr>
          <w:rFonts w:ascii="Times New Roman" w:hAnsi="Times New Roman" w:cs="Times New Roman"/>
          <w:sz w:val="24"/>
          <w:szCs w:val="24"/>
          <w:lang w:val="sr-Cyrl-RS"/>
        </w:rPr>
        <w:t xml:space="preserve"> Србију; упоредна анализа података прикупљених у складу са методологијом управљања капиталним пројектима са стањем у буџету Р</w:t>
      </w:r>
      <w:r w:rsidR="00D539B3" w:rsidRPr="0081082A">
        <w:rPr>
          <w:rFonts w:ascii="Times New Roman" w:hAnsi="Times New Roman" w:cs="Times New Roman"/>
          <w:sz w:val="24"/>
          <w:szCs w:val="24"/>
          <w:lang w:val="sr-Cyrl-RS"/>
        </w:rPr>
        <w:t xml:space="preserve">епублике </w:t>
      </w:r>
      <w:r w:rsidRPr="0081082A">
        <w:rPr>
          <w:rFonts w:ascii="Times New Roman" w:hAnsi="Times New Roman" w:cs="Times New Roman"/>
          <w:sz w:val="24"/>
          <w:szCs w:val="24"/>
          <w:lang w:val="sr-Cyrl-RS"/>
        </w:rPr>
        <w:t>С</w:t>
      </w:r>
      <w:r w:rsidR="00D539B3" w:rsidRPr="0081082A">
        <w:rPr>
          <w:rFonts w:ascii="Times New Roman" w:hAnsi="Times New Roman" w:cs="Times New Roman"/>
          <w:sz w:val="24"/>
          <w:szCs w:val="24"/>
          <w:lang w:val="sr-Cyrl-RS"/>
        </w:rPr>
        <w:t>рбије</w:t>
      </w:r>
      <w:r w:rsidRPr="0081082A">
        <w:rPr>
          <w:rFonts w:ascii="Times New Roman" w:hAnsi="Times New Roman" w:cs="Times New Roman"/>
          <w:sz w:val="24"/>
          <w:szCs w:val="24"/>
          <w:lang w:val="sr-Cyrl-RS"/>
        </w:rPr>
        <w:t>; садржајније извештавање Републичке комисије за капиталне инвестиције (РККИ), тако да извештај укључује подробну класификацију пројеката по фази и категорији, као и детаљнију анализу потрошње опредељених јавних средстава за спровођење пројеката.</w:t>
      </w:r>
    </w:p>
    <w:p w:rsidR="00DF2E1F" w:rsidRPr="0081082A" w:rsidRDefault="00DF2E1F" w:rsidP="00DF2E1F">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Сектор за праћење фискалних ризика настоји да унапреди извештавање о предимплементационој фази пројеката како би се укључивање у буџет Р</w:t>
      </w:r>
      <w:r w:rsidR="00D539B3" w:rsidRPr="0081082A">
        <w:rPr>
          <w:rFonts w:ascii="Times New Roman" w:hAnsi="Times New Roman" w:cs="Times New Roman"/>
          <w:sz w:val="24"/>
          <w:szCs w:val="24"/>
          <w:lang w:val="sr-Cyrl-RS"/>
        </w:rPr>
        <w:t xml:space="preserve">епублике </w:t>
      </w:r>
      <w:r w:rsidRPr="0081082A">
        <w:rPr>
          <w:rFonts w:ascii="Times New Roman" w:hAnsi="Times New Roman" w:cs="Times New Roman"/>
          <w:sz w:val="24"/>
          <w:szCs w:val="24"/>
          <w:lang w:val="sr-Cyrl-RS"/>
        </w:rPr>
        <w:t>С</w:t>
      </w:r>
      <w:r w:rsidR="00D539B3" w:rsidRPr="0081082A">
        <w:rPr>
          <w:rFonts w:ascii="Times New Roman" w:hAnsi="Times New Roman" w:cs="Times New Roman"/>
          <w:sz w:val="24"/>
          <w:szCs w:val="24"/>
          <w:lang w:val="sr-Cyrl-RS"/>
        </w:rPr>
        <w:t>рбије</w:t>
      </w:r>
      <w:r w:rsidRPr="0081082A">
        <w:rPr>
          <w:rFonts w:ascii="Times New Roman" w:hAnsi="Times New Roman" w:cs="Times New Roman"/>
          <w:sz w:val="24"/>
          <w:szCs w:val="24"/>
          <w:lang w:val="sr-Cyrl-RS"/>
        </w:rPr>
        <w:t xml:space="preserve"> вршило на основу утврђених приоритета од стране РККИ. Сходно томе, активности Сектора интензивиране су и усмерене на допринос тзв. „приоритизацији</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пројеката тако да они буду укључени у буџет након што су успешно прошли предимплементациону фазу.</w:t>
      </w:r>
    </w:p>
    <w:p w:rsidR="00DF2E1F" w:rsidRPr="0081082A" w:rsidRDefault="00DF2E1F" w:rsidP="00DF2E1F">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Имајући у виду препоруке међународних партнера (попут Европске комисије и Светске банке), Министарство финансија ће предузимати даље кораке ка унапређењу система капиталних инвестиција. </w:t>
      </w:r>
      <w:r w:rsidRPr="0081082A">
        <w:rPr>
          <w:rFonts w:ascii="Times New Roman" w:hAnsi="Times New Roman" w:cs="Times New Roman"/>
          <w:i/>
          <w:iCs/>
          <w:sz w:val="24"/>
          <w:szCs w:val="24"/>
          <w:lang w:val="sr-Cyrl-RS"/>
        </w:rPr>
        <w:t>PEFA</w:t>
      </w:r>
      <w:r w:rsidRPr="0081082A">
        <w:rPr>
          <w:rFonts w:ascii="Times New Roman" w:hAnsi="Times New Roman" w:cs="Times New Roman"/>
          <w:sz w:val="24"/>
          <w:szCs w:val="24"/>
          <w:lang w:val="sr-Cyrl-RS"/>
        </w:rPr>
        <w:t xml:space="preserve"> препоруке усмерене су на потребу увођења јединственог списка пројеката (тзв. „пајплајн пројеката</w:t>
      </w:r>
      <w:r w:rsidR="00D539B3"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енг. „</w:t>
      </w:r>
      <w:r w:rsidRPr="0081082A">
        <w:rPr>
          <w:rFonts w:ascii="Times New Roman" w:hAnsi="Times New Roman" w:cs="Times New Roman"/>
          <w:i/>
          <w:iCs/>
          <w:sz w:val="24"/>
          <w:szCs w:val="24"/>
          <w:lang w:val="sr-Cyrl-RS"/>
        </w:rPr>
        <w:t>project pipeline</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Даље, указано је на потребу за прегледом економске и финансијске анализе током реализације пројеката с циљем обједињавања захтева и институционалних одговорности у свим врстама пројеката (грађевински и неграђевински пројекти, пројекти од посебног значаја за Р</w:t>
      </w:r>
      <w:r w:rsidR="00D539B3" w:rsidRPr="0081082A">
        <w:rPr>
          <w:rFonts w:ascii="Times New Roman" w:hAnsi="Times New Roman" w:cs="Times New Roman"/>
          <w:sz w:val="24"/>
          <w:szCs w:val="24"/>
          <w:lang w:val="sr-Cyrl-RS"/>
        </w:rPr>
        <w:t xml:space="preserve">епублику </w:t>
      </w:r>
      <w:r w:rsidRPr="0081082A">
        <w:rPr>
          <w:rFonts w:ascii="Times New Roman" w:hAnsi="Times New Roman" w:cs="Times New Roman"/>
          <w:sz w:val="24"/>
          <w:szCs w:val="24"/>
          <w:lang w:val="sr-Cyrl-RS"/>
        </w:rPr>
        <w:t>С</w:t>
      </w:r>
      <w:r w:rsidR="00D539B3" w:rsidRPr="0081082A">
        <w:rPr>
          <w:rFonts w:ascii="Times New Roman" w:hAnsi="Times New Roman" w:cs="Times New Roman"/>
          <w:sz w:val="24"/>
          <w:szCs w:val="24"/>
          <w:lang w:val="sr-Cyrl-RS"/>
        </w:rPr>
        <w:t>рбију</w:t>
      </w:r>
      <w:r w:rsidRPr="0081082A">
        <w:rPr>
          <w:rFonts w:ascii="Times New Roman" w:hAnsi="Times New Roman" w:cs="Times New Roman"/>
          <w:sz w:val="24"/>
          <w:szCs w:val="24"/>
          <w:lang w:val="sr-Cyrl-RS"/>
        </w:rPr>
        <w:t>). Најзад, указано је и на неопходност примене сета стандардизованих критеријума који ће се користити за информисање о одређивању приоритета и одабиру пројеката за финансирање од стране РККИ.</w:t>
      </w:r>
    </w:p>
    <w:p w:rsidR="00DF2E1F" w:rsidRPr="0081082A" w:rsidRDefault="00DF2E1F" w:rsidP="00DF2E1F">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складу са наведеним, у наредном петогодишњем периоду у области реализације капиталних инвестиција, планиране су активности на унапређењу постојеће методологије управљања капиталним пројектима, на успостављању адекватног информационог система за праћење реализације капиталних пројеката, као и на јачању административних капацитета јединица за управљање капиталним инвестицијама, како у оквиру Сектора за праћење фискалних ризика, тако и у оквиру других јединица на републичком нивоу.</w:t>
      </w:r>
    </w:p>
    <w:p w:rsidR="00DF2E1F" w:rsidRPr="0081082A" w:rsidRDefault="00DF2E1F" w:rsidP="00DF2E1F">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lastRenderedPageBreak/>
        <w:t xml:space="preserve">Успостављањем и операционализацијом информационог система </w:t>
      </w:r>
      <w:r w:rsidRPr="0081082A">
        <w:rPr>
          <w:rFonts w:ascii="Times New Roman" w:hAnsi="Times New Roman" w:cs="Times New Roman"/>
          <w:i/>
          <w:iCs/>
          <w:sz w:val="24"/>
          <w:szCs w:val="24"/>
          <w:lang w:val="sr-Cyrl-RS"/>
        </w:rPr>
        <w:t>PIMIS</w:t>
      </w:r>
      <w:r w:rsidRPr="0081082A">
        <w:rPr>
          <w:rFonts w:ascii="Times New Roman" w:hAnsi="Times New Roman" w:cs="Times New Roman"/>
          <w:sz w:val="24"/>
          <w:szCs w:val="24"/>
          <w:lang w:val="sr-Cyrl-RS"/>
        </w:rPr>
        <w:t xml:space="preserve"> (скр. </w:t>
      </w:r>
      <w:r w:rsidRPr="0081082A">
        <w:rPr>
          <w:rFonts w:ascii="Times New Roman" w:hAnsi="Times New Roman" w:cs="Times New Roman"/>
          <w:i/>
          <w:iCs/>
          <w:sz w:val="24"/>
          <w:szCs w:val="24"/>
          <w:lang w:val="sr-Cyrl-RS"/>
        </w:rPr>
        <w:t>PIMIS</w:t>
      </w:r>
      <w:r w:rsidRPr="0081082A">
        <w:rPr>
          <w:rFonts w:ascii="Times New Roman" w:hAnsi="Times New Roman" w:cs="Times New Roman"/>
          <w:sz w:val="24"/>
          <w:szCs w:val="24"/>
          <w:lang w:val="sr-Cyrl-RS"/>
        </w:rPr>
        <w:t xml:space="preserve"> од </w:t>
      </w:r>
      <w:r w:rsidRPr="0081082A">
        <w:rPr>
          <w:rFonts w:ascii="Times New Roman" w:hAnsi="Times New Roman" w:cs="Times New Roman"/>
          <w:i/>
          <w:iCs/>
          <w:sz w:val="24"/>
          <w:szCs w:val="24"/>
          <w:lang w:val="sr-Cyrl-RS"/>
        </w:rPr>
        <w:t>Public Investment Management Information System</w:t>
      </w:r>
      <w:r w:rsidRPr="0081082A">
        <w:rPr>
          <w:rFonts w:ascii="Times New Roman" w:hAnsi="Times New Roman" w:cs="Times New Roman"/>
          <w:sz w:val="24"/>
          <w:szCs w:val="24"/>
          <w:lang w:val="sr-Cyrl-RS"/>
        </w:rPr>
        <w:t>) постићи ће се следеће: побољшање брзине и ефикасности пословних процеса у области праћења капиталних пројеката, који се тренутно мануално прате; заокружен циклус праћења пројеката од пројектне идеје до окончања пројекта; једноставнији приступ и систем одобрења, уз минимизацију грешака приликом уноса података; могућност статистичких прорачуна, итд. Након спроведене јавне набавке за израду софтвера, до 2022. је планирана инсталација и активација истог у Министарству финансија. До краја 2024. очекује се успешна инсталација софтвера код предлагача идеја</w:t>
      </w:r>
      <w:r w:rsidR="00A545D2"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односно овлашћених предлагача капиталних пројеката. До краја 2025. планирано је одржавање обука свих запослених на пословима управљања капиталним пројектима о коришћењу израђеног софтвера, како би се осигурало његово делотворно коришћење.</w:t>
      </w:r>
    </w:p>
    <w:p w:rsidR="00DF2E1F" w:rsidRPr="0081082A" w:rsidRDefault="00DF2E1F" w:rsidP="00FC2D8E">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Поред наведеног, у плану је израда програма обука при НАЈУ, затим израда приручника о методологији управљања капиталним пројектима који ће обезбедити лакше праћење методологије од стране овлашћених предлагача, као и израда извештаја за јавност о стању капиталних пројеката који се прате у складу са методологијом, ради унапређења транспарентности процеса.</w:t>
      </w:r>
    </w:p>
    <w:p w:rsidR="00E324AC" w:rsidRPr="0081082A" w:rsidRDefault="004C0B13" w:rsidP="00FC2D8E">
      <w:pPr>
        <w:spacing w:after="0" w:line="240" w:lineRule="auto"/>
        <w:jc w:val="both"/>
        <w:rPr>
          <w:rFonts w:ascii="Times New Roman" w:hAnsi="Times New Roman"/>
          <w:b/>
          <w:sz w:val="24"/>
          <w:u w:val="single"/>
          <w:lang w:val="sr-Cyrl-RS"/>
        </w:rPr>
      </w:pPr>
      <w:r w:rsidRPr="0081082A">
        <w:rPr>
          <w:rFonts w:ascii="Times New Roman" w:hAnsi="Times New Roman"/>
          <w:b/>
          <w:sz w:val="24"/>
          <w:u w:val="single"/>
          <w:lang w:val="sr-Cyrl-RS"/>
        </w:rPr>
        <w:t>Мера</w:t>
      </w:r>
      <w:r w:rsidR="00F1279D" w:rsidRPr="0081082A">
        <w:rPr>
          <w:rFonts w:ascii="Times New Roman" w:hAnsi="Times New Roman"/>
          <w:b/>
          <w:sz w:val="24"/>
          <w:u w:val="single"/>
          <w:lang w:val="sr-Cyrl-RS"/>
        </w:rPr>
        <w:t xml:space="preserve"> 1.5</w:t>
      </w:r>
      <w:r w:rsidR="002C50C8" w:rsidRPr="0081082A">
        <w:rPr>
          <w:rFonts w:ascii="Times New Roman" w:hAnsi="Times New Roman" w:cs="Times New Roman"/>
          <w:b/>
          <w:sz w:val="24"/>
          <w:szCs w:val="24"/>
          <w:u w:val="single"/>
          <w:lang w:val="sr-Cyrl-RS"/>
        </w:rPr>
        <w:t xml:space="preserve"> -</w:t>
      </w:r>
      <w:r w:rsidR="002C50C8" w:rsidRPr="0081082A">
        <w:rPr>
          <w:rFonts w:ascii="Times New Roman" w:eastAsiaTheme="minorHAnsi" w:hAnsi="Times New Roman" w:cs="Times New Roman"/>
          <w:b/>
          <w:sz w:val="24"/>
          <w:szCs w:val="24"/>
          <w:u w:val="single"/>
          <w:lang w:val="sr-Cyrl-RS"/>
        </w:rPr>
        <w:t xml:space="preserve"> </w:t>
      </w:r>
      <w:r w:rsidR="002C50C8" w:rsidRPr="0081082A">
        <w:rPr>
          <w:rFonts w:ascii="Times New Roman" w:hAnsi="Times New Roman" w:cs="Times New Roman"/>
          <w:b/>
          <w:sz w:val="24"/>
          <w:szCs w:val="24"/>
          <w:u w:val="single"/>
          <w:lang w:val="sr-Cyrl-RS"/>
        </w:rPr>
        <w:t>Јачање</w:t>
      </w:r>
      <w:r w:rsidRPr="0081082A">
        <w:rPr>
          <w:rFonts w:ascii="Times New Roman" w:hAnsi="Times New Roman"/>
          <w:b/>
          <w:sz w:val="24"/>
          <w:u w:val="single"/>
          <w:lang w:val="sr-Cyrl-RS"/>
        </w:rPr>
        <w:t xml:space="preserve"> капацитета </w:t>
      </w:r>
      <w:r w:rsidR="002C50C8" w:rsidRPr="0081082A">
        <w:rPr>
          <w:rFonts w:ascii="Times New Roman" w:hAnsi="Times New Roman" w:cs="Times New Roman"/>
          <w:b/>
          <w:sz w:val="24"/>
          <w:szCs w:val="24"/>
          <w:u w:val="single"/>
          <w:lang w:val="sr-Cyrl-RS"/>
        </w:rPr>
        <w:t>Сектора</w:t>
      </w:r>
      <w:r w:rsidRPr="0081082A">
        <w:rPr>
          <w:rFonts w:ascii="Times New Roman" w:hAnsi="Times New Roman"/>
          <w:b/>
          <w:sz w:val="24"/>
          <w:u w:val="single"/>
          <w:lang w:val="sr-Cyrl-RS"/>
        </w:rPr>
        <w:t xml:space="preserve"> за праћење фискалних ризика</w:t>
      </w:r>
    </w:p>
    <w:p w:rsidR="00DF2E1F" w:rsidRPr="0081082A" w:rsidRDefault="00DF2E1F" w:rsidP="00DF2E1F">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 xml:space="preserve">У сврху ефикасног праћења фискалних ризика, у току је израда методологија у вези са пословањем јавних предузећа, смањењем ризика и последица од елементарних непогода, анализом ризика по основу судских спорова и одлука и анализом ризика у вези са буџетима  јединица локалне самоуправе, уз подршку међународних финансијских организација (ММФ, Светска Банка, </w:t>
      </w:r>
      <w:r w:rsidRPr="0081082A">
        <w:rPr>
          <w:rFonts w:ascii="Times New Roman" w:hAnsi="Times New Roman"/>
          <w:i/>
          <w:iCs/>
          <w:sz w:val="24"/>
          <w:lang w:val="sr-Cyrl-RS"/>
        </w:rPr>
        <w:t>SECO</w:t>
      </w:r>
      <w:r w:rsidRPr="0081082A">
        <w:rPr>
          <w:rFonts w:ascii="Times New Roman" w:hAnsi="Times New Roman"/>
          <w:sz w:val="24"/>
          <w:lang w:val="sr-Cyrl-RS"/>
        </w:rPr>
        <w:t xml:space="preserve">). Наведене активности у оквиру ове мере треба да резултирају усвајањем правног оквира, са  циљем да Сектор за праћење фискалних ризика  убудуће указује на фискалне ризике и да врши одговарајућу процену истих ради боље контроле трошења јавних средстава и мањих одступања од предвиђеног фискалног и буџетског оквира. Посебно имајући у виду </w:t>
      </w:r>
      <w:r w:rsidRPr="0081082A">
        <w:rPr>
          <w:rFonts w:ascii="Times New Roman" w:hAnsi="Times New Roman"/>
          <w:i/>
          <w:iCs/>
          <w:sz w:val="24"/>
          <w:lang w:val="sr-Cyrl-RS"/>
        </w:rPr>
        <w:t>PEFA</w:t>
      </w:r>
      <w:r w:rsidRPr="0081082A">
        <w:rPr>
          <w:rFonts w:ascii="Times New Roman" w:hAnsi="Times New Roman"/>
          <w:sz w:val="24"/>
          <w:lang w:val="sr-Cyrl-RS"/>
        </w:rPr>
        <w:t xml:space="preserve"> процену која је сигнализирала недостатак формалног функционалног механизма за управљање фискалним ризицима, </w:t>
      </w:r>
      <w:r w:rsidR="00600253" w:rsidRPr="0081082A">
        <w:rPr>
          <w:rFonts w:ascii="Times New Roman" w:hAnsi="Times New Roman"/>
          <w:sz w:val="24"/>
          <w:lang w:val="sr-Cyrl-RS"/>
        </w:rPr>
        <w:t>Сектор за праћење фискалних ризика</w:t>
      </w:r>
      <w:r w:rsidRPr="0081082A">
        <w:rPr>
          <w:rFonts w:ascii="Times New Roman" w:hAnsi="Times New Roman"/>
          <w:sz w:val="24"/>
          <w:lang w:val="sr-Cyrl-RS"/>
        </w:rPr>
        <w:t xml:space="preserve"> ће тежити најпре усвајању, а затим успешном спровођењу и анализи примене правног оквира у пракси до краја извештајног периода Програма.</w:t>
      </w:r>
    </w:p>
    <w:p w:rsidR="00DF2E1F" w:rsidRPr="0081082A" w:rsidRDefault="00DF2E1F" w:rsidP="00DF2E1F">
      <w:pPr>
        <w:spacing w:after="0" w:line="240" w:lineRule="auto"/>
        <w:ind w:firstLine="708"/>
        <w:jc w:val="both"/>
        <w:rPr>
          <w:rFonts w:ascii="Times New Roman" w:hAnsi="Times New Roman"/>
          <w:sz w:val="24"/>
          <w:lang w:val="sr-Cyrl-RS"/>
        </w:rPr>
      </w:pPr>
      <w:r w:rsidRPr="0081082A">
        <w:rPr>
          <w:rFonts w:ascii="Times New Roman" w:hAnsi="Times New Roman"/>
          <w:sz w:val="24"/>
          <w:lang w:val="sr-Cyrl-RS"/>
        </w:rPr>
        <w:t xml:space="preserve">Још једна важна компонента јесте континуирано јачање организационих и људских капацитета у </w:t>
      </w:r>
      <w:r w:rsidR="00600253" w:rsidRPr="0081082A">
        <w:rPr>
          <w:rFonts w:ascii="Times New Roman" w:hAnsi="Times New Roman"/>
          <w:sz w:val="24"/>
          <w:lang w:val="sr-Cyrl-RS"/>
        </w:rPr>
        <w:t>Сектору за праћење фискалних ризика</w:t>
      </w:r>
      <w:r w:rsidRPr="0081082A">
        <w:rPr>
          <w:rFonts w:ascii="Times New Roman" w:hAnsi="Times New Roman"/>
          <w:sz w:val="24"/>
          <w:lang w:val="sr-Cyrl-RS"/>
        </w:rPr>
        <w:t>, те ће се ова активност реализовати кроз попуњавање постојећих систематизованих радних места (тренутно предвиђено 15) и обуке запослених.</w:t>
      </w:r>
    </w:p>
    <w:p w:rsidR="00721398" w:rsidRPr="0081082A" w:rsidRDefault="00721398" w:rsidP="00A41CF2">
      <w:pPr>
        <w:pStyle w:val="Heading2"/>
        <w:jc w:val="center"/>
        <w:rPr>
          <w:rFonts w:ascii="Times New Roman" w:hAnsi="Times New Roman"/>
          <w:sz w:val="28"/>
          <w:lang w:val="sr-Cyrl-RS"/>
        </w:rPr>
      </w:pPr>
      <w:r w:rsidRPr="0081082A">
        <w:rPr>
          <w:rFonts w:ascii="Times New Roman" w:hAnsi="Times New Roman"/>
          <w:sz w:val="28"/>
          <w:lang w:val="sr-Cyrl-RS"/>
        </w:rPr>
        <w:t xml:space="preserve"> </w:t>
      </w:r>
      <w:bookmarkStart w:id="14" w:name="_Toc72488795"/>
      <w:r w:rsidRPr="0081082A">
        <w:rPr>
          <w:rFonts w:ascii="Times New Roman" w:hAnsi="Times New Roman"/>
          <w:sz w:val="28"/>
          <w:lang w:val="sr-Cyrl-RS"/>
        </w:rPr>
        <w:t xml:space="preserve">ПОСЕБНИ ЦИЉ II </w:t>
      </w:r>
      <w:r w:rsidR="004E29C3" w:rsidRPr="0081082A">
        <w:rPr>
          <w:rFonts w:ascii="Times New Roman" w:hAnsi="Times New Roman"/>
          <w:sz w:val="28"/>
          <w:lang w:val="sr-Cyrl-RS"/>
        </w:rPr>
        <w:t>Ефикасно прикупљање и управљање буџетским средствима</w:t>
      </w:r>
      <w:bookmarkEnd w:id="14"/>
      <w:r w:rsidR="004E29C3" w:rsidRPr="0081082A">
        <w:rPr>
          <w:rStyle w:val="CommentReference"/>
          <w:caps w:val="0"/>
          <w:spacing w:val="0"/>
          <w:lang w:val="sr-Cyrl-RS"/>
        </w:rPr>
        <w:t xml:space="preserve"> </w:t>
      </w:r>
    </w:p>
    <w:p w:rsidR="00FC2D8E" w:rsidRPr="0081082A" w:rsidRDefault="00721398" w:rsidP="00FC2D8E">
      <w:pPr>
        <w:spacing w:after="100" w:afterAutospacing="1"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Повећање ефикасности прикупљања прихода представља један од главних циљева Владе, и у последњих неколико година уложени су значајни напори ка бољем прикупљању средстава у буџет </w:t>
      </w:r>
      <w:r w:rsidR="009A2F71" w:rsidRPr="0081082A">
        <w:rPr>
          <w:rFonts w:ascii="Times New Roman" w:hAnsi="Times New Roman" w:cs="Times New Roman"/>
          <w:sz w:val="24"/>
          <w:szCs w:val="24"/>
          <w:lang w:val="sr-Cyrl-RS"/>
        </w:rPr>
        <w:t>Р</w:t>
      </w:r>
      <w:r w:rsidR="00DD432C" w:rsidRPr="0081082A">
        <w:rPr>
          <w:rFonts w:ascii="Times New Roman" w:hAnsi="Times New Roman" w:cs="Times New Roman"/>
          <w:sz w:val="24"/>
          <w:szCs w:val="24"/>
          <w:lang w:val="sr-Cyrl-RS"/>
        </w:rPr>
        <w:t xml:space="preserve">епублике </w:t>
      </w:r>
      <w:r w:rsidR="009A2F71" w:rsidRPr="0081082A">
        <w:rPr>
          <w:rFonts w:ascii="Times New Roman" w:hAnsi="Times New Roman" w:cs="Times New Roman"/>
          <w:sz w:val="24"/>
          <w:szCs w:val="24"/>
          <w:lang w:val="sr-Cyrl-RS"/>
        </w:rPr>
        <w:t>С</w:t>
      </w:r>
      <w:r w:rsidR="00DD432C" w:rsidRPr="0081082A">
        <w:rPr>
          <w:rFonts w:ascii="Times New Roman" w:hAnsi="Times New Roman" w:cs="Times New Roman"/>
          <w:sz w:val="24"/>
          <w:szCs w:val="24"/>
          <w:lang w:val="sr-Cyrl-RS"/>
        </w:rPr>
        <w:t>рбије</w:t>
      </w:r>
      <w:r w:rsidRPr="0081082A">
        <w:rPr>
          <w:rFonts w:ascii="Times New Roman" w:hAnsi="Times New Roman" w:cs="Times New Roman"/>
          <w:sz w:val="24"/>
          <w:szCs w:val="24"/>
          <w:lang w:val="sr-Cyrl-RS"/>
        </w:rPr>
        <w:t>. Као једна од најважнијих мера фискалне консолидације кој</w:t>
      </w:r>
      <w:r w:rsidR="00CF260E"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 xml:space="preserve"> је започет</w:t>
      </w:r>
      <w:r w:rsidR="00CF260E"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 xml:space="preserve"> 2014. године, повећање прикупљених прихода је драстично побољшало фискални биланс и целокупни макроекономски учинак. </w:t>
      </w:r>
    </w:p>
    <w:p w:rsidR="002C3605" w:rsidRPr="0081082A" w:rsidRDefault="00FC55D6" w:rsidP="00FC2D8E">
      <w:pPr>
        <w:spacing w:after="100" w:afterAutospacing="1" w:line="240" w:lineRule="auto"/>
        <w:ind w:firstLine="708"/>
        <w:jc w:val="both"/>
        <w:rPr>
          <w:rFonts w:ascii="Times New Roman" w:hAnsi="Times New Roman" w:cs="Times New Roman"/>
          <w:sz w:val="24"/>
          <w:szCs w:val="24"/>
          <w:lang w:val="sr-Cyrl-RS"/>
        </w:rPr>
      </w:pPr>
      <w:r w:rsidRPr="0081082A">
        <w:rPr>
          <w:rFonts w:ascii="Times New Roman" w:hAnsi="Times New Roman"/>
          <w:sz w:val="24"/>
          <w:szCs w:val="24"/>
          <w:lang w:val="sr-Cyrl-RS"/>
        </w:rPr>
        <w:t>Упркос значајним резултатима постигнутим реализацијом ПРУЈФ 2016-2020</w:t>
      </w:r>
      <w:r w:rsidR="005A48EE" w:rsidRPr="0081082A">
        <w:rPr>
          <w:rFonts w:ascii="Times New Roman" w:hAnsi="Times New Roman"/>
          <w:sz w:val="24"/>
          <w:szCs w:val="24"/>
          <w:lang w:val="sr-Cyrl-RS"/>
        </w:rPr>
        <w:t xml:space="preserve"> и даље постоји потреба за даљим унапређењем административних капацитета и </w:t>
      </w:r>
      <w:r w:rsidR="005A48EE" w:rsidRPr="0081082A">
        <w:rPr>
          <w:rFonts w:ascii="Times New Roman" w:hAnsi="Times New Roman"/>
          <w:sz w:val="24"/>
          <w:szCs w:val="24"/>
          <w:lang w:val="sr-Cyrl-RS"/>
        </w:rPr>
        <w:lastRenderedPageBreak/>
        <w:t xml:space="preserve">пословних процеса који се односе на ефикасно прикупљање и управљање буџетским средствима. </w:t>
      </w:r>
    </w:p>
    <w:p w:rsidR="009F7402" w:rsidRPr="0081082A" w:rsidRDefault="007C175C" w:rsidP="005B2671">
      <w:pPr>
        <w:spacing w:after="100" w:afterAutospacing="1" w:line="240" w:lineRule="auto"/>
        <w:ind w:firstLine="708"/>
        <w:jc w:val="both"/>
        <w:rPr>
          <w:rFonts w:ascii="Times New Roman" w:hAnsi="Times New Roman"/>
          <w:sz w:val="24"/>
          <w:szCs w:val="24"/>
          <w:lang w:val="sr-Cyrl-RS"/>
        </w:rPr>
      </w:pPr>
      <w:r w:rsidRPr="0081082A">
        <w:rPr>
          <w:rFonts w:ascii="Times New Roman" w:hAnsi="Times New Roman"/>
          <w:sz w:val="24"/>
          <w:szCs w:val="24"/>
          <w:lang w:val="sr-Cyrl-RS"/>
        </w:rPr>
        <w:t>Недовољно ефикасни пословни процеси</w:t>
      </w:r>
      <w:r w:rsidR="005B2671" w:rsidRPr="0081082A">
        <w:rPr>
          <w:rFonts w:ascii="Times New Roman" w:hAnsi="Times New Roman"/>
          <w:sz w:val="24"/>
          <w:szCs w:val="24"/>
          <w:lang w:val="sr-Cyrl-RS"/>
        </w:rPr>
        <w:t>, као и недостатак људских ресурса</w:t>
      </w:r>
      <w:r w:rsidRPr="0081082A">
        <w:rPr>
          <w:rFonts w:ascii="Times New Roman" w:hAnsi="Times New Roman"/>
          <w:sz w:val="24"/>
          <w:szCs w:val="24"/>
          <w:lang w:val="sr-Cyrl-RS"/>
        </w:rPr>
        <w:t xml:space="preserve"> у Пореској управи</w:t>
      </w:r>
      <w:r w:rsidR="005B2671" w:rsidRPr="0081082A">
        <w:rPr>
          <w:rFonts w:ascii="Times New Roman" w:hAnsi="Times New Roman"/>
          <w:sz w:val="24"/>
          <w:szCs w:val="24"/>
          <w:lang w:val="sr-Cyrl-RS"/>
        </w:rPr>
        <w:t>,</w:t>
      </w:r>
      <w:r w:rsidRPr="0081082A">
        <w:rPr>
          <w:rFonts w:ascii="Times New Roman" w:hAnsi="Times New Roman"/>
          <w:sz w:val="24"/>
          <w:szCs w:val="24"/>
          <w:lang w:val="sr-Cyrl-RS"/>
        </w:rPr>
        <w:t xml:space="preserve"> успоравају развој аутоматизације и дигитализације услуга у пуном капацитету.</w:t>
      </w:r>
      <w:r w:rsidR="00BE57CA" w:rsidRPr="0081082A">
        <w:rPr>
          <w:rFonts w:ascii="Times New Roman" w:hAnsi="Times New Roman"/>
          <w:sz w:val="24"/>
          <w:szCs w:val="24"/>
          <w:lang w:val="sr-Cyrl-RS"/>
        </w:rPr>
        <w:t xml:space="preserve"> Недостатак јединственог информационог система у Управи за дуван умањује ефикасност у пружању услуга привредним субјектима који послују на тржишту дувана и дуванских производа. </w:t>
      </w:r>
      <w:r w:rsidR="004C758A" w:rsidRPr="0081082A">
        <w:rPr>
          <w:rFonts w:ascii="Times New Roman" w:hAnsi="Times New Roman"/>
          <w:sz w:val="24"/>
          <w:szCs w:val="24"/>
          <w:lang w:val="sr-Cyrl-RS"/>
        </w:rPr>
        <w:t xml:space="preserve">Недовољно развијени капацитети Управе царина онемогућавају примену информационих стандарда ЕУ, стандарда оперативних процеса и реализацију обавеза у оквиру релевантних преговарачких поглавља. </w:t>
      </w:r>
      <w:r w:rsidR="002C3605" w:rsidRPr="0081082A">
        <w:rPr>
          <w:rFonts w:ascii="Times New Roman" w:hAnsi="Times New Roman"/>
          <w:sz w:val="24"/>
          <w:szCs w:val="24"/>
          <w:lang w:val="sr-Cyrl-RS"/>
        </w:rPr>
        <w:t xml:space="preserve">Комплексне моделе за управљање ризицима у области јавног дуга користи јако мали број земаља, међу којима жели да се нађе и Република Србија. </w:t>
      </w:r>
      <w:r w:rsidR="00BD4D1E" w:rsidRPr="0081082A">
        <w:rPr>
          <w:rFonts w:ascii="Times New Roman" w:hAnsi="Times New Roman"/>
          <w:sz w:val="24"/>
          <w:szCs w:val="24"/>
          <w:lang w:val="sr-Cyrl-RS"/>
        </w:rPr>
        <w:t>Недовољни капацитети свих учесника на тржишту јавних набавки отежавају ефикасност у спровођењу е-набавки, новог ЗЈН</w:t>
      </w:r>
      <w:r w:rsidR="006069E9" w:rsidRPr="0081082A">
        <w:rPr>
          <w:rFonts w:ascii="Times New Roman" w:hAnsi="Times New Roman"/>
          <w:sz w:val="24"/>
          <w:szCs w:val="24"/>
          <w:lang w:val="sr-Cyrl-RS"/>
        </w:rPr>
        <w:t>,</w:t>
      </w:r>
      <w:r w:rsidR="00BD4D1E" w:rsidRPr="0081082A">
        <w:rPr>
          <w:rFonts w:ascii="Times New Roman" w:hAnsi="Times New Roman"/>
          <w:sz w:val="24"/>
          <w:szCs w:val="24"/>
          <w:lang w:val="sr-Cyrl-RS"/>
        </w:rPr>
        <w:t xml:space="preserve"> као и коришћење свих функционалности на порталу Јавних набавки.  </w:t>
      </w:r>
      <w:r w:rsidRPr="0081082A">
        <w:rPr>
          <w:rFonts w:ascii="Times New Roman" w:hAnsi="Times New Roman"/>
          <w:sz w:val="24"/>
          <w:szCs w:val="24"/>
          <w:lang w:val="sr-Cyrl-RS"/>
        </w:rPr>
        <w:t xml:space="preserve"> </w:t>
      </w:r>
    </w:p>
    <w:p w:rsidR="006165FE" w:rsidRPr="0081082A" w:rsidRDefault="006165FE" w:rsidP="005B6C61">
      <w:pPr>
        <w:spacing w:before="0" w:after="0" w:line="240" w:lineRule="auto"/>
        <w:ind w:firstLine="708"/>
        <w:jc w:val="both"/>
        <w:rPr>
          <w:rFonts w:ascii="Times New Roman" w:hAnsi="Times New Roman"/>
          <w:b/>
          <w:bCs/>
          <w:sz w:val="22"/>
          <w:szCs w:val="22"/>
          <w:lang w:val="sr-Cyrl-RS"/>
        </w:rPr>
      </w:pPr>
    </w:p>
    <w:p w:rsidR="006165FE" w:rsidRPr="0081082A" w:rsidRDefault="006165FE" w:rsidP="005B6C61">
      <w:pPr>
        <w:spacing w:before="0" w:after="0" w:line="240" w:lineRule="auto"/>
        <w:ind w:firstLine="708"/>
        <w:jc w:val="both"/>
        <w:rPr>
          <w:rFonts w:ascii="Times New Roman" w:hAnsi="Times New Roman"/>
          <w:b/>
          <w:bCs/>
          <w:sz w:val="22"/>
          <w:szCs w:val="22"/>
          <w:lang w:val="sr-Cyrl-RS"/>
        </w:rPr>
      </w:pPr>
    </w:p>
    <w:p w:rsidR="00721398" w:rsidRPr="0081082A" w:rsidRDefault="00537EFA" w:rsidP="005B6C61">
      <w:pPr>
        <w:spacing w:before="0" w:after="0" w:line="240" w:lineRule="auto"/>
        <w:ind w:firstLine="708"/>
        <w:jc w:val="both"/>
        <w:rPr>
          <w:rFonts w:ascii="Times New Roman" w:hAnsi="Times New Roman"/>
          <w:b/>
          <w:sz w:val="22"/>
          <w:lang w:val="sr-Cyrl-RS"/>
        </w:rPr>
      </w:pPr>
      <w:r w:rsidRPr="0081082A">
        <w:rPr>
          <w:rFonts w:ascii="Times New Roman" w:hAnsi="Times New Roman"/>
          <w:b/>
          <w:bCs/>
          <w:sz w:val="22"/>
          <w:szCs w:val="22"/>
          <w:lang w:val="sr-Cyrl-RS"/>
        </w:rPr>
        <w:t>Слика</w:t>
      </w:r>
      <w:r w:rsidR="00CA0B62" w:rsidRPr="0081082A">
        <w:rPr>
          <w:rFonts w:ascii="Times New Roman" w:hAnsi="Times New Roman"/>
          <w:b/>
          <w:bCs/>
          <w:sz w:val="22"/>
          <w:szCs w:val="22"/>
          <w:lang w:val="sr-Cyrl-RS"/>
        </w:rPr>
        <w:t xml:space="preserve"> </w:t>
      </w:r>
      <w:r w:rsidRPr="0081082A">
        <w:rPr>
          <w:rFonts w:ascii="Times New Roman" w:hAnsi="Times New Roman"/>
          <w:b/>
          <w:bCs/>
          <w:sz w:val="22"/>
          <w:szCs w:val="22"/>
          <w:lang w:val="sr-Cyrl-RS"/>
        </w:rPr>
        <w:t>5</w:t>
      </w:r>
      <w:r w:rsidR="00CA0B62" w:rsidRPr="0081082A">
        <w:rPr>
          <w:rFonts w:ascii="Times New Roman" w:hAnsi="Times New Roman"/>
          <w:b/>
          <w:bCs/>
          <w:sz w:val="22"/>
          <w:szCs w:val="22"/>
          <w:lang w:val="sr-Cyrl-RS"/>
        </w:rPr>
        <w:t xml:space="preserve">: Органи државне управе </w:t>
      </w:r>
      <w:r w:rsidR="00A112F7" w:rsidRPr="0081082A">
        <w:rPr>
          <w:rFonts w:ascii="Times New Roman" w:hAnsi="Times New Roman"/>
          <w:b/>
          <w:bCs/>
          <w:sz w:val="22"/>
          <w:szCs w:val="22"/>
          <w:lang w:val="sr-Cyrl-RS"/>
        </w:rPr>
        <w:t>одговорни за спровођење мера предвиђених Посебним циљем II</w:t>
      </w:r>
    </w:p>
    <w:p w:rsidR="00721398" w:rsidRPr="0081082A" w:rsidRDefault="00721398" w:rsidP="004F2CA3">
      <w:pPr>
        <w:pStyle w:val="ListParagraph"/>
        <w:spacing w:after="0"/>
        <w:contextualSpacing w:val="0"/>
        <w:jc w:val="both"/>
        <w:rPr>
          <w:rFonts w:ascii="Times New Roman" w:hAnsi="Times New Roman"/>
          <w:sz w:val="24"/>
          <w:szCs w:val="24"/>
          <w:lang w:val="sr-Cyrl-RS"/>
        </w:rPr>
      </w:pPr>
      <w:r w:rsidRPr="0081082A">
        <w:rPr>
          <w:rFonts w:ascii="Times New Roman" w:hAnsi="Times New Roman" w:cs="Times New Roman"/>
          <w:noProof/>
          <w:sz w:val="24"/>
          <w:szCs w:val="24"/>
        </w:rPr>
        <w:drawing>
          <wp:inline distT="0" distB="0" distL="0" distR="0" wp14:anchorId="22156A9C" wp14:editId="2AA7B7A4">
            <wp:extent cx="4038600" cy="2533650"/>
            <wp:effectExtent l="171450" t="0" r="0" b="0"/>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954494" w:rsidRPr="0081082A" w:rsidRDefault="00954494" w:rsidP="004F2CA3">
      <w:pPr>
        <w:pStyle w:val="ListParagraph"/>
        <w:spacing w:after="0"/>
        <w:contextualSpacing w:val="0"/>
        <w:jc w:val="both"/>
        <w:rPr>
          <w:rFonts w:ascii="Times New Roman" w:hAnsi="Times New Roman"/>
          <w:sz w:val="24"/>
          <w:szCs w:val="24"/>
          <w:lang w:val="sr-Cyrl-RS"/>
        </w:rPr>
      </w:pPr>
    </w:p>
    <w:p w:rsidR="00721398" w:rsidRPr="0081082A" w:rsidRDefault="00721398" w:rsidP="006F32CE">
      <w:pPr>
        <w:pStyle w:val="Heading2"/>
        <w:jc w:val="center"/>
        <w:rPr>
          <w:rFonts w:ascii="Times New Roman" w:hAnsi="Times New Roman"/>
          <w:sz w:val="24"/>
          <w:lang w:val="sr-Cyrl-RS"/>
        </w:rPr>
      </w:pPr>
      <w:bookmarkStart w:id="15" w:name="_Toc72488796"/>
      <w:r w:rsidRPr="0081082A">
        <w:rPr>
          <w:rFonts w:ascii="Times New Roman" w:hAnsi="Times New Roman"/>
          <w:sz w:val="24"/>
          <w:lang w:val="sr-Cyrl-RS"/>
        </w:rPr>
        <w:t xml:space="preserve">Постигнуто у претходном </w:t>
      </w:r>
      <w:r w:rsidR="006F32CE" w:rsidRPr="0081082A">
        <w:rPr>
          <w:rFonts w:ascii="Times New Roman" w:hAnsi="Times New Roman"/>
          <w:sz w:val="24"/>
          <w:lang w:val="sr-Cyrl-RS"/>
        </w:rPr>
        <w:t>периоду</w:t>
      </w:r>
      <w:bookmarkEnd w:id="15"/>
    </w:p>
    <w:p w:rsidR="00721398" w:rsidRPr="0081082A" w:rsidRDefault="00721398" w:rsidP="0086546D">
      <w:pPr>
        <w:spacing w:after="0" w:line="240" w:lineRule="auto"/>
        <w:ind w:firstLine="708"/>
        <w:jc w:val="both"/>
        <w:rPr>
          <w:rFonts w:ascii="Times New Roman" w:hAnsi="Times New Roman"/>
          <w:sz w:val="24"/>
          <w:lang w:val="sr-Cyrl-RS"/>
        </w:rPr>
      </w:pPr>
      <w:r w:rsidRPr="0081082A">
        <w:rPr>
          <w:rFonts w:ascii="Times New Roman" w:hAnsi="Times New Roman" w:cs="Times New Roman"/>
          <w:sz w:val="24"/>
          <w:szCs w:val="24"/>
          <w:lang w:val="sr-Cyrl-RS"/>
        </w:rPr>
        <w:t xml:space="preserve">Развој </w:t>
      </w:r>
      <w:r w:rsidRPr="0081082A">
        <w:rPr>
          <w:rFonts w:ascii="Times New Roman" w:hAnsi="Times New Roman" w:cs="Times New Roman"/>
          <w:b/>
          <w:sz w:val="24"/>
          <w:szCs w:val="24"/>
          <w:lang w:val="sr-Cyrl-RS"/>
        </w:rPr>
        <w:t>Пореске управе</w:t>
      </w:r>
      <w:r w:rsidRPr="0081082A">
        <w:rPr>
          <w:rFonts w:ascii="Times New Roman" w:hAnsi="Times New Roman" w:cs="Times New Roman"/>
          <w:sz w:val="24"/>
          <w:szCs w:val="24"/>
          <w:lang w:val="sr-Cyrl-RS"/>
        </w:rPr>
        <w:t xml:space="preserve"> </w:t>
      </w:r>
      <w:r w:rsidR="00864E1B" w:rsidRPr="0081082A">
        <w:rPr>
          <w:rFonts w:ascii="Times New Roman" w:hAnsi="Times New Roman" w:cs="Times New Roman"/>
          <w:b/>
          <w:bCs/>
          <w:sz w:val="24"/>
          <w:szCs w:val="24"/>
          <w:lang w:val="sr-Cyrl-RS"/>
        </w:rPr>
        <w:t>Р</w:t>
      </w:r>
      <w:r w:rsidR="00D539B3" w:rsidRPr="0081082A">
        <w:rPr>
          <w:rFonts w:ascii="Times New Roman" w:hAnsi="Times New Roman" w:cs="Times New Roman"/>
          <w:b/>
          <w:bCs/>
          <w:sz w:val="24"/>
          <w:szCs w:val="24"/>
          <w:lang w:val="sr-Cyrl-RS"/>
        </w:rPr>
        <w:t xml:space="preserve">епублике </w:t>
      </w:r>
      <w:r w:rsidR="00864E1B" w:rsidRPr="0081082A">
        <w:rPr>
          <w:rFonts w:ascii="Times New Roman" w:hAnsi="Times New Roman" w:cs="Times New Roman"/>
          <w:b/>
          <w:bCs/>
          <w:sz w:val="24"/>
          <w:szCs w:val="24"/>
          <w:lang w:val="sr-Cyrl-RS"/>
        </w:rPr>
        <w:t>С</w:t>
      </w:r>
      <w:r w:rsidR="00D539B3" w:rsidRPr="0081082A">
        <w:rPr>
          <w:rFonts w:ascii="Times New Roman" w:hAnsi="Times New Roman" w:cs="Times New Roman"/>
          <w:b/>
          <w:bCs/>
          <w:sz w:val="24"/>
          <w:szCs w:val="24"/>
          <w:lang w:val="sr-Cyrl-RS"/>
        </w:rPr>
        <w:t>рбије</w:t>
      </w:r>
      <w:r w:rsidR="00864E1B" w:rsidRPr="0081082A">
        <w:rPr>
          <w:rFonts w:ascii="Times New Roman" w:hAnsi="Times New Roman" w:cs="Times New Roman"/>
          <w:sz w:val="24"/>
          <w:szCs w:val="24"/>
          <w:lang w:val="sr-Cyrl-RS"/>
        </w:rPr>
        <w:t xml:space="preserve"> </w:t>
      </w:r>
      <w:r w:rsidR="00AD7862" w:rsidRPr="0081082A">
        <w:rPr>
          <w:rFonts w:ascii="Times New Roman" w:hAnsi="Times New Roman" w:cs="Times New Roman"/>
          <w:sz w:val="24"/>
          <w:szCs w:val="24"/>
          <w:lang w:val="sr-Cyrl-RS"/>
        </w:rPr>
        <w:t>(у даљем тексту: ПУ</w:t>
      </w:r>
      <w:r w:rsidR="00864E1B" w:rsidRPr="0081082A">
        <w:rPr>
          <w:rFonts w:ascii="Times New Roman" w:hAnsi="Times New Roman" w:cs="Times New Roman"/>
          <w:sz w:val="24"/>
          <w:szCs w:val="24"/>
          <w:lang w:val="sr-Cyrl-RS"/>
        </w:rPr>
        <w:t>РС</w:t>
      </w:r>
      <w:r w:rsidR="00AD7862"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 xml:space="preserve">као стабилне институције са модерном организационом структуром представља један од кључних стубова ефикасног система управљања јавним финансијама и </w:t>
      </w:r>
      <w:r w:rsidR="004B3F38" w:rsidRPr="0081082A">
        <w:rPr>
          <w:rFonts w:ascii="Times New Roman" w:hAnsi="Times New Roman" w:cs="Times New Roman"/>
          <w:sz w:val="24"/>
          <w:szCs w:val="24"/>
          <w:lang w:val="sr-Cyrl-RS"/>
        </w:rPr>
        <w:t>коначни</w:t>
      </w:r>
      <w:r w:rsidRPr="0081082A">
        <w:rPr>
          <w:rFonts w:ascii="Times New Roman" w:hAnsi="Times New Roman" w:cs="Times New Roman"/>
          <w:sz w:val="24"/>
          <w:szCs w:val="24"/>
          <w:lang w:val="sr-Cyrl-RS"/>
        </w:rPr>
        <w:t xml:space="preserve"> циљ Програма трансформације </w:t>
      </w:r>
      <w:r w:rsidR="00864E1B" w:rsidRPr="0081082A">
        <w:rPr>
          <w:rFonts w:ascii="Times New Roman" w:hAnsi="Times New Roman" w:cs="Times New Roman"/>
          <w:sz w:val="24"/>
          <w:szCs w:val="24"/>
          <w:lang w:val="sr-Cyrl-RS"/>
        </w:rPr>
        <w:t>ПУРС</w:t>
      </w:r>
      <w:r w:rsidRPr="0081082A">
        <w:rPr>
          <w:rFonts w:ascii="Times New Roman" w:hAnsi="Times New Roman" w:cs="Times New Roman"/>
          <w:sz w:val="24"/>
          <w:szCs w:val="24"/>
          <w:lang w:val="sr-Cyrl-RS"/>
        </w:rPr>
        <w:t xml:space="preserve"> </w:t>
      </w:r>
      <w:r w:rsidR="00921F94" w:rsidRPr="0081082A">
        <w:rPr>
          <w:rFonts w:ascii="Times New Roman" w:hAnsi="Times New Roman" w:cs="Times New Roman"/>
          <w:sz w:val="24"/>
          <w:szCs w:val="24"/>
          <w:lang w:val="sr-Cyrl-RS"/>
        </w:rPr>
        <w:t xml:space="preserve">који </w:t>
      </w:r>
      <w:r w:rsidR="00FB55A7" w:rsidRPr="0081082A">
        <w:rPr>
          <w:rFonts w:ascii="Times New Roman" w:hAnsi="Times New Roman" w:cs="Times New Roman"/>
          <w:sz w:val="24"/>
          <w:szCs w:val="24"/>
          <w:lang w:val="sr-Cyrl-RS"/>
        </w:rPr>
        <w:t xml:space="preserve">је предвиђен да буде </w:t>
      </w:r>
      <w:r w:rsidR="00921F94" w:rsidRPr="0081082A">
        <w:rPr>
          <w:rFonts w:ascii="Times New Roman" w:hAnsi="Times New Roman" w:cs="Times New Roman"/>
          <w:sz w:val="24"/>
          <w:szCs w:val="24"/>
          <w:lang w:val="sr-Cyrl-RS"/>
        </w:rPr>
        <w:t>пости</w:t>
      </w:r>
      <w:r w:rsidR="00FB55A7" w:rsidRPr="0081082A">
        <w:rPr>
          <w:rFonts w:ascii="Times New Roman" w:hAnsi="Times New Roman" w:cs="Times New Roman"/>
          <w:sz w:val="24"/>
          <w:szCs w:val="24"/>
          <w:lang w:val="sr-Cyrl-RS"/>
        </w:rPr>
        <w:t>гнут</w:t>
      </w:r>
      <w:r w:rsidRPr="0081082A">
        <w:rPr>
          <w:rFonts w:ascii="Times New Roman" w:hAnsi="Times New Roman" w:cs="Times New Roman"/>
          <w:sz w:val="24"/>
          <w:szCs w:val="24"/>
          <w:lang w:val="sr-Cyrl-RS"/>
        </w:rPr>
        <w:t xml:space="preserve"> кроз реализацију три </w:t>
      </w:r>
      <w:r w:rsidR="004B3F38" w:rsidRPr="0081082A">
        <w:rPr>
          <w:rFonts w:ascii="Times New Roman" w:hAnsi="Times New Roman" w:cs="Times New Roman"/>
          <w:sz w:val="24"/>
          <w:szCs w:val="24"/>
          <w:lang w:val="sr-Cyrl-RS"/>
        </w:rPr>
        <w:t>постављена</w:t>
      </w:r>
      <w:r w:rsidRPr="0081082A">
        <w:rPr>
          <w:rFonts w:ascii="Times New Roman" w:hAnsi="Times New Roman" w:cs="Times New Roman"/>
          <w:sz w:val="24"/>
          <w:szCs w:val="24"/>
          <w:lang w:val="sr-Cyrl-RS"/>
        </w:rPr>
        <w:t xml:space="preserve"> циља:</w:t>
      </w:r>
    </w:p>
    <w:p w:rsidR="00721398" w:rsidRPr="0081082A" w:rsidRDefault="00721398" w:rsidP="00FF4BE4">
      <w:pPr>
        <w:pStyle w:val="ListParagraph"/>
        <w:numPr>
          <w:ilvl w:val="0"/>
          <w:numId w:val="4"/>
        </w:numPr>
        <w:tabs>
          <w:tab w:val="left" w:pos="993"/>
        </w:tabs>
        <w:spacing w:before="100" w:after="0" w:line="240" w:lineRule="auto"/>
        <w:ind w:left="0" w:firstLine="709"/>
        <w:jc w:val="both"/>
        <w:rPr>
          <w:rFonts w:ascii="Times New Roman" w:hAnsi="Times New Roman"/>
          <w:sz w:val="24"/>
          <w:szCs w:val="24"/>
          <w:lang w:val="sr-Cyrl-RS"/>
        </w:rPr>
      </w:pPr>
      <w:r w:rsidRPr="0081082A">
        <w:rPr>
          <w:rFonts w:ascii="Times New Roman" w:hAnsi="Times New Roman"/>
          <w:sz w:val="24"/>
          <w:szCs w:val="24"/>
          <w:lang w:val="sr-Cyrl-RS"/>
        </w:rPr>
        <w:t>Унапређење ефикасности и делотворности основних пословних процеса и повећања степена наплате пореза;</w:t>
      </w:r>
    </w:p>
    <w:p w:rsidR="00721398" w:rsidRPr="0081082A" w:rsidRDefault="00721398" w:rsidP="00FF4BE4">
      <w:pPr>
        <w:pStyle w:val="ListParagraph"/>
        <w:numPr>
          <w:ilvl w:val="0"/>
          <w:numId w:val="4"/>
        </w:numPr>
        <w:tabs>
          <w:tab w:val="left" w:pos="993"/>
        </w:tabs>
        <w:spacing w:before="100" w:after="0" w:line="240" w:lineRule="auto"/>
        <w:ind w:left="0" w:firstLine="709"/>
        <w:jc w:val="both"/>
        <w:rPr>
          <w:rFonts w:ascii="Times New Roman" w:hAnsi="Times New Roman"/>
          <w:sz w:val="24"/>
          <w:szCs w:val="24"/>
          <w:lang w:val="sr-Cyrl-RS"/>
        </w:rPr>
      </w:pPr>
      <w:r w:rsidRPr="0081082A">
        <w:rPr>
          <w:rFonts w:ascii="Times New Roman" w:hAnsi="Times New Roman"/>
          <w:sz w:val="24"/>
          <w:szCs w:val="24"/>
          <w:lang w:val="sr-Cyrl-RS"/>
        </w:rPr>
        <w:t>Подизање квалитета услуга и смањење трошкова испуњавања пореских обавеза</w:t>
      </w:r>
      <w:r w:rsidRPr="0081082A">
        <w:rPr>
          <w:rFonts w:ascii="Times New Roman" w:hAnsi="Times New Roman"/>
          <w:sz w:val="24"/>
          <w:lang w:val="sr-Cyrl-RS"/>
        </w:rPr>
        <w:t>;</w:t>
      </w:r>
      <w:r w:rsidRPr="0081082A">
        <w:rPr>
          <w:rFonts w:ascii="Times New Roman" w:hAnsi="Times New Roman"/>
          <w:sz w:val="24"/>
          <w:szCs w:val="24"/>
          <w:lang w:val="sr-Cyrl-RS"/>
        </w:rPr>
        <w:t xml:space="preserve"> </w:t>
      </w:r>
    </w:p>
    <w:p w:rsidR="00721398" w:rsidRPr="0081082A" w:rsidRDefault="00721398" w:rsidP="00FF4BE4">
      <w:pPr>
        <w:pStyle w:val="ListParagraph"/>
        <w:numPr>
          <w:ilvl w:val="0"/>
          <w:numId w:val="4"/>
        </w:numPr>
        <w:tabs>
          <w:tab w:val="left" w:pos="993"/>
        </w:tabs>
        <w:spacing w:before="100" w:after="0" w:line="240" w:lineRule="auto"/>
        <w:ind w:left="0" w:firstLine="709"/>
        <w:jc w:val="both"/>
        <w:rPr>
          <w:rFonts w:ascii="Times New Roman" w:hAnsi="Times New Roman"/>
          <w:sz w:val="24"/>
          <w:szCs w:val="24"/>
          <w:lang w:val="sr-Cyrl-RS"/>
        </w:rPr>
      </w:pPr>
      <w:r w:rsidRPr="0081082A">
        <w:rPr>
          <w:rFonts w:ascii="Times New Roman" w:hAnsi="Times New Roman"/>
          <w:sz w:val="24"/>
          <w:szCs w:val="24"/>
          <w:lang w:val="sr-Cyrl-RS"/>
        </w:rPr>
        <w:t>Успостављање модерне инфраструктуре и радног окружења унутар организације.</w:t>
      </w:r>
    </w:p>
    <w:p w:rsidR="00721398" w:rsidRPr="0081082A" w:rsidRDefault="00D01B9A" w:rsidP="00D01B9A">
      <w:pPr>
        <w:spacing w:after="0" w:line="240" w:lineRule="auto"/>
        <w:ind w:firstLine="708"/>
        <w:contextualSpacing/>
        <w:jc w:val="both"/>
        <w:rPr>
          <w:rFonts w:ascii="Times New Roman" w:hAnsi="Times New Roman" w:cs="Times New Roman"/>
          <w:color w:val="000000"/>
          <w:sz w:val="24"/>
          <w:szCs w:val="24"/>
          <w:lang w:val="sr-Cyrl-RS"/>
        </w:rPr>
      </w:pPr>
      <w:r w:rsidRPr="0081082A">
        <w:rPr>
          <w:rFonts w:ascii="Times New Roman" w:eastAsia="Times New Roman" w:hAnsi="Times New Roman" w:cs="Times New Roman"/>
          <w:noProof/>
          <w:sz w:val="24"/>
          <w:szCs w:val="24"/>
          <w:lang w:val="sr-Cyrl-RS"/>
        </w:rPr>
        <w:lastRenderedPageBreak/>
        <w:t>Поред</w:t>
      </w:r>
      <w:r w:rsidRPr="0081082A">
        <w:rPr>
          <w:rFonts w:ascii="Times New Roman" w:hAnsi="Times New Roman" w:cs="Times New Roman"/>
          <w:sz w:val="24"/>
          <w:szCs w:val="24"/>
          <w:lang w:val="sr-Cyrl-RS"/>
        </w:rPr>
        <w:t xml:space="preserve"> Програма </w:t>
      </w:r>
      <w:r w:rsidRPr="0081082A">
        <w:rPr>
          <w:rFonts w:ascii="Times New Roman" w:eastAsia="Times New Roman" w:hAnsi="Times New Roman" w:cs="Times New Roman"/>
          <w:noProof/>
          <w:sz w:val="24"/>
          <w:szCs w:val="24"/>
          <w:lang w:val="sr-Cyrl-RS"/>
        </w:rPr>
        <w:t>трансформације ПУРС и важећег Акционог плана</w:t>
      </w:r>
      <w:r w:rsidRPr="0081082A">
        <w:rPr>
          <w:rFonts w:ascii="Times New Roman" w:hAnsi="Times New Roman" w:cs="Times New Roman"/>
          <w:sz w:val="24"/>
          <w:szCs w:val="24"/>
          <w:lang w:val="sr-Cyrl-RS"/>
        </w:rPr>
        <w:t xml:space="preserve"> за период 2018-2023. године</w:t>
      </w:r>
      <w:r w:rsidRPr="0081082A">
        <w:rPr>
          <w:rFonts w:ascii="Times New Roman" w:eastAsia="Times New Roman" w:hAnsi="Times New Roman" w:cs="Times New Roman"/>
          <w:noProof/>
          <w:sz w:val="24"/>
          <w:szCs w:val="24"/>
          <w:lang w:val="sr-Cyrl-RS"/>
        </w:rPr>
        <w:t xml:space="preserve">, усвојене су и </w:t>
      </w:r>
      <w:r w:rsidRPr="0081082A">
        <w:rPr>
          <w:rFonts w:ascii="Times New Roman" w:hAnsi="Times New Roman" w:cs="Times New Roman"/>
          <w:sz w:val="24"/>
          <w:szCs w:val="24"/>
          <w:lang w:val="sr-Cyrl-RS"/>
        </w:rPr>
        <w:t xml:space="preserve">Стратегија пружања услуга пореским обвезницима 2017-2019 и План за поштовање пореских прописа који је заснован на моделу </w:t>
      </w:r>
      <w:r w:rsidRPr="0081082A">
        <w:rPr>
          <w:rFonts w:ascii="Times New Roman" w:hAnsi="Times New Roman"/>
          <w:color w:val="000000"/>
          <w:sz w:val="24"/>
          <w:lang w:val="sr-Cyrl-RS"/>
        </w:rPr>
        <w:t xml:space="preserve">управљања ризицима </w:t>
      </w:r>
      <w:r w:rsidRPr="0081082A">
        <w:rPr>
          <w:rFonts w:ascii="Times New Roman" w:hAnsi="Times New Roman" w:cs="Times New Roman"/>
          <w:i/>
          <w:color w:val="000000"/>
          <w:sz w:val="24"/>
          <w:szCs w:val="24"/>
          <w:lang w:val="sr-Cyrl-RS"/>
        </w:rPr>
        <w:t>OECD</w:t>
      </w:r>
      <w:r w:rsidRPr="0081082A">
        <w:rPr>
          <w:rFonts w:ascii="Times New Roman" w:hAnsi="Times New Roman"/>
          <w:color w:val="000000"/>
          <w:sz w:val="24"/>
          <w:lang w:val="sr-Cyrl-RS"/>
        </w:rPr>
        <w:t xml:space="preserve"> у вези са поштовањем прописа</w:t>
      </w:r>
      <w:r w:rsidRPr="0081082A">
        <w:rPr>
          <w:rFonts w:ascii="Times New Roman" w:hAnsi="Times New Roman" w:cs="Times New Roman"/>
          <w:color w:val="000000"/>
          <w:sz w:val="24"/>
          <w:szCs w:val="24"/>
          <w:lang w:val="sr-Cyrl-RS"/>
        </w:rPr>
        <w:t>, којим је промовисано добровољно поштовање прописа и управљање ризиком на бази интегрисаног приступа, као допринос повећању нивоа поштовања пореских прописа и ефикаснијем и ефективнијем вршењу контрола. Од 2018. године, када је кaдровски попуњено Одељење за анализу ризика, одабир обвезника за контролу је применом нових и иновирањем постојећих критеријума ризика дао боље резултате у односу на претходни период. У 2018. години проценат неправилности у контролама по плановима Централе је био 69,45%, у 2019. години тај проценат повећан је на 80,65%, а у 2020. години на 82,57%.</w:t>
      </w:r>
    </w:p>
    <w:p w:rsidR="00D01B9A" w:rsidRPr="0081082A" w:rsidRDefault="00D01B9A" w:rsidP="00D01B9A">
      <w:pPr>
        <w:spacing w:after="0" w:line="240" w:lineRule="auto"/>
        <w:ind w:firstLine="708"/>
        <w:contextualSpacing/>
        <w:jc w:val="both"/>
        <w:rPr>
          <w:rFonts w:ascii="Times New Roman" w:hAnsi="Times New Roman"/>
          <w:lang w:val="sr-Cyrl-RS"/>
        </w:rPr>
      </w:pPr>
      <w:r w:rsidRPr="0081082A">
        <w:rPr>
          <w:rFonts w:ascii="Times New Roman" w:hAnsi="Times New Roman" w:cs="Times New Roman"/>
          <w:sz w:val="24"/>
          <w:szCs w:val="24"/>
          <w:lang w:val="sr-Cyrl-RS"/>
        </w:rPr>
        <w:t xml:space="preserve">Један од главних циљева зацртаних Програмом трансформације ПУРС је додатно поједностављење и обједињавање пореских процедура, као и </w:t>
      </w:r>
      <w:r w:rsidRPr="0081082A">
        <w:rPr>
          <w:rFonts w:ascii="Times New Roman" w:hAnsi="Times New Roman"/>
          <w:sz w:val="24"/>
          <w:szCs w:val="24"/>
          <w:lang w:val="sr-Cyrl-RS"/>
        </w:rPr>
        <w:t>јачање оперативних</w:t>
      </w:r>
      <w:r w:rsidRPr="0081082A">
        <w:rPr>
          <w:rFonts w:ascii="Times New Roman" w:hAnsi="Times New Roman" w:cs="Times New Roman"/>
          <w:sz w:val="24"/>
          <w:szCs w:val="24"/>
          <w:lang w:val="sr-Cyrl-RS"/>
        </w:rPr>
        <w:t xml:space="preserve"> активности </w:t>
      </w:r>
      <w:r w:rsidRPr="0081082A">
        <w:rPr>
          <w:rFonts w:ascii="Times New Roman" w:hAnsi="Times New Roman"/>
          <w:sz w:val="24"/>
          <w:szCs w:val="24"/>
          <w:lang w:val="sr-Cyrl-RS"/>
        </w:rPr>
        <w:t xml:space="preserve">на сузбијању сиве економије, </w:t>
      </w:r>
      <w:r w:rsidRPr="0081082A">
        <w:rPr>
          <w:rFonts w:ascii="Times New Roman" w:hAnsi="Times New Roman" w:cs="Times New Roman"/>
          <w:sz w:val="24"/>
          <w:szCs w:val="24"/>
          <w:lang w:val="sr-Cyrl-RS"/>
        </w:rPr>
        <w:t xml:space="preserve">које </w:t>
      </w:r>
      <w:r w:rsidRPr="0081082A">
        <w:rPr>
          <w:rFonts w:ascii="Times New Roman" w:hAnsi="Times New Roman"/>
          <w:sz w:val="24"/>
          <w:szCs w:val="24"/>
          <w:lang w:val="sr-Cyrl-RS"/>
        </w:rPr>
        <w:t>последично треба да допринесу смањењу трошкова у испуњавању пореских обавеза, обезбеде лакше и праведније услове пословања и гаранцију једнаке заштите права пред пореским органима и коначно побољшају наплату пореза, односно допринесу стабилности јавних финансија.</w:t>
      </w:r>
      <w:r w:rsidRPr="0081082A">
        <w:rPr>
          <w:rFonts w:ascii="Times New Roman" w:hAnsi="Times New Roman"/>
          <w:sz w:val="24"/>
          <w:lang w:val="sr-Cyrl-RS"/>
        </w:rPr>
        <w:t xml:space="preserve"> </w:t>
      </w:r>
      <w:r w:rsidRPr="0081082A">
        <w:rPr>
          <w:rFonts w:ascii="Times New Roman" w:hAnsi="Times New Roman"/>
          <w:sz w:val="24"/>
          <w:szCs w:val="24"/>
          <w:lang w:val="sr-Cyrl-RS"/>
        </w:rPr>
        <w:t>Једна од главних препознатих активности је редизајн организационе структуре и креирање пословних мрежа основних и издвојених активности ПУРС.</w:t>
      </w:r>
    </w:p>
    <w:p w:rsidR="007C633C" w:rsidRPr="0081082A" w:rsidRDefault="006E2BA9" w:rsidP="0086546D">
      <w:pPr>
        <w:spacing w:after="0" w:line="240" w:lineRule="auto"/>
        <w:ind w:firstLine="708"/>
        <w:jc w:val="both"/>
        <w:rPr>
          <w:rFonts w:ascii="Times New Roman" w:hAnsi="Times New Roman" w:cs="Times New Roman"/>
          <w:sz w:val="24"/>
          <w:szCs w:val="24"/>
          <w:lang w:val="sr-Cyrl-RS"/>
        </w:rPr>
      </w:pPr>
      <w:r w:rsidRPr="0081082A">
        <w:rPr>
          <w:noProof/>
        </w:rPr>
        <mc:AlternateContent>
          <mc:Choice Requires="wps">
            <w:drawing>
              <wp:anchor distT="0" distB="0" distL="114300" distR="114300" simplePos="0" relativeHeight="251684864" behindDoc="0" locked="0" layoutInCell="1" allowOverlap="1" wp14:anchorId="7F3CE7AA" wp14:editId="5E9063D6">
                <wp:simplePos x="0" y="0"/>
                <wp:positionH relativeFrom="margin">
                  <wp:posOffset>2449537</wp:posOffset>
                </wp:positionH>
                <wp:positionV relativeFrom="paragraph">
                  <wp:posOffset>3742889</wp:posOffset>
                </wp:positionV>
                <wp:extent cx="3425190" cy="635"/>
                <wp:effectExtent l="0" t="0" r="3810" b="3810"/>
                <wp:wrapSquare wrapText="bothSides"/>
                <wp:docPr id="18" name="Text Box 18"/>
                <wp:cNvGraphicFramePr/>
                <a:graphic xmlns:a="http://schemas.openxmlformats.org/drawingml/2006/main">
                  <a:graphicData uri="http://schemas.microsoft.com/office/word/2010/wordprocessingShape">
                    <wps:wsp>
                      <wps:cNvSpPr txBox="1"/>
                      <wps:spPr>
                        <a:xfrm>
                          <a:off x="0" y="0"/>
                          <a:ext cx="3425190" cy="635"/>
                        </a:xfrm>
                        <a:prstGeom prst="rect">
                          <a:avLst/>
                        </a:prstGeom>
                        <a:solidFill>
                          <a:prstClr val="white"/>
                        </a:solidFill>
                        <a:ln>
                          <a:noFill/>
                        </a:ln>
                      </wps:spPr>
                      <wps:txbx>
                        <w:txbxContent>
                          <w:p w:rsidR="00BB481C" w:rsidRPr="0075479B" w:rsidRDefault="00BB481C" w:rsidP="0075479B">
                            <w:pPr>
                              <w:pStyle w:val="Caption"/>
                              <w:rPr>
                                <w:rFonts w:asciiTheme="majorBidi" w:eastAsia="Times New Roman" w:hAnsiTheme="majorBidi" w:cstheme="majorBidi"/>
                                <w:noProof/>
                                <w:sz w:val="32"/>
                                <w:szCs w:val="32"/>
                              </w:rPr>
                            </w:pPr>
                            <w:r>
                              <w:rPr>
                                <w:rFonts w:asciiTheme="majorBidi" w:hAnsiTheme="majorBidi" w:cstheme="majorBidi"/>
                                <w:color w:val="auto"/>
                                <w:sz w:val="20"/>
                                <w:szCs w:val="20"/>
                                <w:lang w:val="sr-Cyrl-RS"/>
                              </w:rPr>
                              <w:t>Слика 6</w:t>
                            </w:r>
                            <w:r w:rsidRPr="0075479B">
                              <w:rPr>
                                <w:rFonts w:asciiTheme="majorBidi" w:hAnsiTheme="majorBidi" w:cstheme="majorBidi"/>
                                <w:color w:val="auto"/>
                                <w:sz w:val="20"/>
                                <w:szCs w:val="20"/>
                                <w:lang w:val="sr-Cyrl-RS"/>
                              </w:rPr>
                              <w:t>: Новине у организационој структури ПУРС</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id="Text Box 18" o:spid="_x0000_s1032" type="#_x0000_t202" style="position:absolute;left:0;text-align:left;margin-left:192.9pt;margin-top:294.7pt;width:269.7pt;height:.0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" stroked="f">
                <v:textbox style="mso-fit-shape-to-text:t" inset="0,0,0,0">
                  <w:txbxContent>
                    <w:p w:rsidR="00BB481C" w:rsidRPr="0075479B" w:rsidRDefault="00BB481C" w:rsidP="0075479B">
                      <w:pPr>
                        <w:pStyle w:val="Caption"/>
                        <w:rPr>
                          <w:rFonts w:asciiTheme="majorBidi" w:eastAsia="Times New Roman" w:hAnsiTheme="majorBidi" w:cstheme="majorBidi"/>
                          <w:noProof/>
                          <w:sz w:val="32"/>
                          <w:szCs w:val="32"/>
                        </w:rPr>
                      </w:pPr>
                      <w:r>
                        <w:rPr>
                          <w:rFonts w:asciiTheme="majorBidi" w:hAnsiTheme="majorBidi" w:cstheme="majorBidi"/>
                          <w:color w:val="auto"/>
                          <w:sz w:val="20"/>
                          <w:szCs w:val="20"/>
                          <w:lang w:val="sr-Cyrl-RS"/>
                        </w:rPr>
                        <w:t>Слика 6</w:t>
                      </w:r>
                      <w:r w:rsidRPr="0075479B">
                        <w:rPr>
                          <w:rFonts w:asciiTheme="majorBidi" w:hAnsiTheme="majorBidi" w:cstheme="majorBidi"/>
                          <w:color w:val="auto"/>
                          <w:sz w:val="20"/>
                          <w:szCs w:val="20"/>
                          <w:lang w:val="sr-Cyrl-RS"/>
                        </w:rPr>
                        <w:t>: Новине у организационој структури ПУРС</w:t>
                      </w:r>
                    </w:p>
                  </w:txbxContent>
                </v:textbox>
                <w10:wrap type="square" anchorx="margin"/>
              </v:shape>
            </w:pict>
          </mc:Fallback>
        </mc:AlternateContent>
      </w:r>
      <w:r w:rsidR="007C633C" w:rsidRPr="0081082A">
        <w:rPr>
          <w:rFonts w:ascii="Times New Roman" w:eastAsia="Times New Roman" w:hAnsi="Times New Roman" w:cs="Times New Roman"/>
          <w:noProof/>
          <w:sz w:val="24"/>
          <w:szCs w:val="24"/>
        </w:rPr>
        <w:drawing>
          <wp:anchor distT="0" distB="0" distL="114300" distR="114300" simplePos="0" relativeHeight="251682816" behindDoc="0" locked="0" layoutInCell="1" allowOverlap="1" wp14:anchorId="6452E4FA" wp14:editId="5B273BA9">
            <wp:simplePos x="0" y="0"/>
            <wp:positionH relativeFrom="margin">
              <wp:posOffset>2313940</wp:posOffset>
            </wp:positionH>
            <wp:positionV relativeFrom="paragraph">
              <wp:posOffset>20955</wp:posOffset>
            </wp:positionV>
            <wp:extent cx="3558540" cy="4078605"/>
            <wp:effectExtent l="0" t="0" r="0" b="0"/>
            <wp:wrapSquare wrapText="bothSides"/>
            <wp:docPr id="17" name="Diagram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14:sizeRelH relativeFrom="margin">
              <wp14:pctWidth>0</wp14:pctWidth>
            </wp14:sizeRelH>
            <wp14:sizeRelV relativeFrom="margin">
              <wp14:pctHeight>0</wp14:pctHeight>
            </wp14:sizeRelV>
          </wp:anchor>
        </w:drawing>
      </w:r>
      <w:r w:rsidR="007C633C" w:rsidRPr="0081082A">
        <w:rPr>
          <w:rFonts w:ascii="Times New Roman" w:hAnsi="Times New Roman" w:cs="Times New Roman"/>
          <w:sz w:val="24"/>
          <w:szCs w:val="24"/>
          <w:lang w:val="sr-Cyrl-RS"/>
        </w:rPr>
        <w:t xml:space="preserve"> </w:t>
      </w:r>
    </w:p>
    <w:p w:rsidR="00547FD7" w:rsidRPr="0081082A" w:rsidRDefault="007C633C" w:rsidP="0086546D">
      <w:pPr>
        <w:spacing w:after="0" w:line="240" w:lineRule="auto"/>
        <w:ind w:firstLine="708"/>
        <w:jc w:val="both"/>
        <w:rPr>
          <w:rFonts w:ascii="Times New Roman" w:hAnsi="Times New Roman"/>
          <w:sz w:val="24"/>
          <w:szCs w:val="24"/>
          <w:lang w:val="sr-Cyrl-RS"/>
        </w:rPr>
      </w:pPr>
      <w:r w:rsidRPr="0081082A">
        <w:rPr>
          <w:rFonts w:ascii="Times New Roman" w:hAnsi="Times New Roman"/>
          <w:sz w:val="24"/>
          <w:szCs w:val="24"/>
          <w:lang w:val="sr-Cyrl-RS"/>
        </w:rPr>
        <w:t xml:space="preserve">У првој фази реорганизације број организационих јединица (филијала и експозитура) смањен је са 178 у 2017. </w:t>
      </w:r>
      <w:r w:rsidR="00721398" w:rsidRPr="0081082A">
        <w:rPr>
          <w:rFonts w:ascii="Times New Roman" w:hAnsi="Times New Roman"/>
          <w:sz w:val="24"/>
          <w:szCs w:val="24"/>
          <w:lang w:val="sr-Cyrl-RS"/>
        </w:rPr>
        <w:t xml:space="preserve">години на 78 у 2018. </w:t>
      </w:r>
      <w:r w:rsidRPr="0081082A">
        <w:rPr>
          <w:rFonts w:ascii="Times New Roman" w:hAnsi="Times New Roman"/>
          <w:sz w:val="24"/>
          <w:szCs w:val="24"/>
          <w:lang w:val="sr-Cyrl-RS"/>
        </w:rPr>
        <w:t>години, да би број филијала које чине пословну мрежу у којој се обављају основне и издвојене функције био редукован на 37 у 2019. години</w:t>
      </w:r>
      <w:r w:rsidRPr="0081082A">
        <w:rPr>
          <w:rFonts w:ascii="Times New Roman" w:hAnsi="Times New Roman"/>
          <w:sz w:val="24"/>
          <w:szCs w:val="24"/>
          <w:vertAlign w:val="superscript"/>
          <w:lang w:val="sr-Cyrl-RS"/>
        </w:rPr>
        <w:footnoteReference w:id="55"/>
      </w:r>
      <w:r w:rsidRPr="0081082A">
        <w:rPr>
          <w:rFonts w:ascii="Times New Roman" w:hAnsi="Times New Roman"/>
          <w:sz w:val="24"/>
          <w:szCs w:val="24"/>
          <w:lang w:val="sr-Cyrl-RS"/>
        </w:rPr>
        <w:t>. Поред тога, Центар за велике пореске обвезнике (у даљем тексту: ЦВПО), задржао је улогу администрирања највећих пореских обвезника. Такође, оснивање посебног Сектора за пружање услуга пореским обвезницима био је велики корак ка преласку са „традиционалног модела</w:t>
      </w:r>
      <w:r w:rsidR="007E728E" w:rsidRPr="0081082A">
        <w:rPr>
          <w:rFonts w:ascii="Times New Roman" w:hAnsi="Times New Roman"/>
          <w:sz w:val="24"/>
          <w:szCs w:val="24"/>
          <w:lang w:val="sr-Cyrl-RS"/>
        </w:rPr>
        <w:t>”</w:t>
      </w:r>
      <w:r w:rsidRPr="0081082A">
        <w:rPr>
          <w:rFonts w:ascii="Times New Roman" w:hAnsi="Times New Roman"/>
          <w:sz w:val="24"/>
          <w:szCs w:val="24"/>
          <w:lang w:val="sr-Cyrl-RS"/>
        </w:rPr>
        <w:t xml:space="preserve"> заснованог на контроли поштовања прописа на клијентелистички оријентисан приступ који пореским обвезницима олакшава, поједностављује и појефтињује </w:t>
      </w:r>
      <w:r w:rsidRPr="0081082A">
        <w:rPr>
          <w:rFonts w:ascii="Times New Roman" w:hAnsi="Times New Roman"/>
          <w:sz w:val="24"/>
          <w:szCs w:val="24"/>
          <w:lang w:val="sr-Cyrl-RS"/>
        </w:rPr>
        <w:lastRenderedPageBreak/>
        <w:t>испуњење њихових пореских обавеза, чиме се последично акценат са контролних функција значајно пребацује на терен подршке поштовању прописа.</w:t>
      </w:r>
      <w:r w:rsidR="00721398" w:rsidRPr="0081082A">
        <w:rPr>
          <w:rFonts w:ascii="Times New Roman" w:hAnsi="Times New Roman"/>
          <w:sz w:val="24"/>
          <w:szCs w:val="24"/>
          <w:lang w:val="sr-Cyrl-RS"/>
        </w:rPr>
        <w:t xml:space="preserve"> У ту сврху је у 37 филијала у 2017. </w:t>
      </w:r>
      <w:r w:rsidRPr="0081082A">
        <w:rPr>
          <w:rFonts w:ascii="Times New Roman" w:hAnsi="Times New Roman"/>
          <w:sz w:val="24"/>
          <w:szCs w:val="24"/>
          <w:lang w:val="sr-Cyrl-RS"/>
        </w:rPr>
        <w:t>години оформљен шалтер „Ваш порезник</w:t>
      </w:r>
      <w:r w:rsidR="007E728E" w:rsidRPr="0081082A">
        <w:rPr>
          <w:rFonts w:ascii="Times New Roman" w:hAnsi="Times New Roman"/>
          <w:sz w:val="24"/>
          <w:szCs w:val="24"/>
          <w:lang w:val="sr-Cyrl-RS"/>
        </w:rPr>
        <w:t>”</w:t>
      </w:r>
      <w:r w:rsidRPr="0081082A">
        <w:rPr>
          <w:rFonts w:ascii="Times New Roman" w:hAnsi="Times New Roman"/>
          <w:sz w:val="24"/>
          <w:szCs w:val="24"/>
          <w:lang w:val="sr-Cyrl-RS"/>
        </w:rPr>
        <w:t xml:space="preserve"> са задатком пружања услуга пореским обвезницима.</w:t>
      </w:r>
      <w:r w:rsidR="00547FD7" w:rsidRPr="0081082A">
        <w:rPr>
          <w:lang w:val="sr-Cyrl-RS"/>
        </w:rPr>
        <w:t xml:space="preserve"> </w:t>
      </w:r>
      <w:r w:rsidR="00547FD7" w:rsidRPr="0081082A">
        <w:rPr>
          <w:rFonts w:ascii="Times New Roman" w:hAnsi="Times New Roman"/>
          <w:sz w:val="24"/>
          <w:szCs w:val="24"/>
          <w:lang w:val="sr-Cyrl-RS"/>
        </w:rPr>
        <w:t xml:space="preserve">У оквиру сарадње са Немачком организацијом за међународну сарадњу - ГИЗ, истраживачка агенција ИПСОС је 2020. године спровела анализу перцепције пореских обвезника о раду </w:t>
      </w:r>
      <w:r w:rsidR="00600253" w:rsidRPr="0081082A">
        <w:rPr>
          <w:rFonts w:ascii="Times New Roman" w:hAnsi="Times New Roman"/>
          <w:sz w:val="24"/>
          <w:szCs w:val="24"/>
          <w:lang w:val="sr-Cyrl-RS"/>
        </w:rPr>
        <w:t>ПУРС</w:t>
      </w:r>
      <w:r w:rsidR="00547FD7" w:rsidRPr="0081082A">
        <w:rPr>
          <w:rFonts w:ascii="Times New Roman" w:hAnsi="Times New Roman"/>
          <w:sz w:val="24"/>
          <w:szCs w:val="24"/>
          <w:lang w:val="sr-Cyrl-RS"/>
        </w:rPr>
        <w:t xml:space="preserve">, кроз истраживање задовољства пореских обвезника квалитетом пружања услуга и професионалношћу запослених у пореској администрацији. Циљ овог истраживања је добијање повратних информација од пореских обвезника о оценама учинка </w:t>
      </w:r>
      <w:r w:rsidR="00600253" w:rsidRPr="0081082A">
        <w:rPr>
          <w:rFonts w:ascii="Times New Roman" w:hAnsi="Times New Roman"/>
          <w:sz w:val="24"/>
          <w:szCs w:val="24"/>
          <w:lang w:val="sr-Cyrl-RS"/>
        </w:rPr>
        <w:t>ПУРС</w:t>
      </w:r>
      <w:r w:rsidR="00547FD7" w:rsidRPr="0081082A">
        <w:rPr>
          <w:rFonts w:ascii="Times New Roman" w:hAnsi="Times New Roman"/>
          <w:sz w:val="24"/>
          <w:szCs w:val="24"/>
          <w:lang w:val="sr-Cyrl-RS"/>
        </w:rPr>
        <w:t xml:space="preserve"> у анкетираним областима пружања услуга, приступа информацијама, професионалности запослених, транспарентности у раду, доследности у примени пореских прописа и третману пореских обвезника.</w:t>
      </w:r>
    </w:p>
    <w:p w:rsidR="007C633C" w:rsidRPr="0081082A" w:rsidRDefault="00547FD7" w:rsidP="0086546D">
      <w:pPr>
        <w:spacing w:after="0" w:line="240" w:lineRule="auto"/>
        <w:ind w:firstLine="708"/>
        <w:jc w:val="both"/>
        <w:rPr>
          <w:rFonts w:ascii="Times New Roman" w:hAnsi="Times New Roman"/>
          <w:sz w:val="24"/>
          <w:szCs w:val="24"/>
          <w:lang w:val="sr-Cyrl-RS"/>
        </w:rPr>
      </w:pPr>
      <w:r w:rsidRPr="0081082A">
        <w:rPr>
          <w:rFonts w:ascii="Times New Roman" w:hAnsi="Times New Roman"/>
          <w:sz w:val="24"/>
          <w:szCs w:val="24"/>
          <w:lang w:val="sr-Cyrl-RS"/>
        </w:rPr>
        <w:t>Истраживање је рађено методом интервјуа, на репрезентативном узорку од 555 предузећа која запошљавају до 100 радника. Највећи део анкетираних предузећа је са подручја града Београда (46%) који запошљавају већином до пет радника (65%) и баве се делатностима трговине, производње и услуга.</w:t>
      </w:r>
      <w:r w:rsidR="007C633C" w:rsidRPr="0081082A">
        <w:rPr>
          <w:rFonts w:ascii="Times New Roman" w:hAnsi="Times New Roman"/>
          <w:sz w:val="24"/>
          <w:lang w:val="sr-Cyrl-RS"/>
        </w:rPr>
        <w:t xml:space="preserve"> </w:t>
      </w:r>
    </w:p>
    <w:p w:rsidR="007C633C" w:rsidRPr="0081082A" w:rsidRDefault="007C633C" w:rsidP="0086546D">
      <w:pPr>
        <w:spacing w:after="0" w:line="240" w:lineRule="auto"/>
        <w:ind w:firstLine="708"/>
        <w:jc w:val="both"/>
        <w:rPr>
          <w:rFonts w:asciiTheme="majorBidi" w:eastAsia="Times New Roman" w:hAnsiTheme="majorBidi" w:cstheme="majorBidi"/>
          <w:sz w:val="21"/>
          <w:szCs w:val="21"/>
          <w:lang w:val="sr-Cyrl-RS"/>
        </w:rPr>
      </w:pPr>
      <w:r w:rsidRPr="0081082A">
        <w:rPr>
          <w:rFonts w:asciiTheme="majorBidi" w:hAnsiTheme="majorBidi" w:cstheme="majorBidi"/>
          <w:sz w:val="24"/>
          <w:szCs w:val="24"/>
          <w:lang w:val="sr-Cyrl-RS"/>
        </w:rPr>
        <w:t xml:space="preserve">У протеклом периоду су, у складу са препорукама Европске комисије, системи ПУРС константно развијани и побољшавани. У складу са </w:t>
      </w:r>
      <w:r w:rsidR="003B5BF0" w:rsidRPr="0081082A">
        <w:rPr>
          <w:rFonts w:asciiTheme="majorBidi" w:hAnsiTheme="majorBidi" w:cstheme="majorBidi"/>
          <w:sz w:val="24"/>
          <w:szCs w:val="24"/>
          <w:lang w:val="sr-Cyrl-RS"/>
        </w:rPr>
        <w:t xml:space="preserve">препорукама на основу Алата за дијагностичку процену </w:t>
      </w:r>
      <w:r w:rsidR="00600253" w:rsidRPr="0081082A">
        <w:rPr>
          <w:rFonts w:ascii="Times New Roman" w:hAnsi="Times New Roman"/>
          <w:sz w:val="24"/>
          <w:szCs w:val="24"/>
          <w:lang w:val="sr-Cyrl-RS"/>
        </w:rPr>
        <w:t>ПУРС</w:t>
      </w:r>
      <w:r w:rsidR="00600253" w:rsidRPr="0081082A" w:rsidDel="00600253">
        <w:rPr>
          <w:rFonts w:asciiTheme="majorBidi" w:hAnsiTheme="majorBidi" w:cstheme="majorBidi"/>
          <w:sz w:val="24"/>
          <w:szCs w:val="24"/>
          <w:lang w:val="sr-Cyrl-RS"/>
        </w:rPr>
        <w:t xml:space="preserve"> </w:t>
      </w:r>
      <w:r w:rsidR="003B5BF0" w:rsidRPr="0081082A">
        <w:rPr>
          <w:rFonts w:asciiTheme="majorBidi" w:hAnsiTheme="majorBidi" w:cstheme="majorBidi"/>
          <w:sz w:val="24"/>
          <w:szCs w:val="24"/>
          <w:lang w:val="sr-Cyrl-RS"/>
        </w:rPr>
        <w:t xml:space="preserve">(у даљем тексту: </w:t>
      </w:r>
      <w:r w:rsidRPr="0081082A">
        <w:rPr>
          <w:rFonts w:asciiTheme="majorBidi" w:hAnsiTheme="majorBidi" w:cstheme="majorBidi"/>
          <w:i/>
          <w:sz w:val="24"/>
          <w:szCs w:val="24"/>
          <w:lang w:val="sr-Cyrl-RS"/>
        </w:rPr>
        <w:t>TADAT</w:t>
      </w:r>
      <w:r w:rsidRPr="0081082A">
        <w:rPr>
          <w:rFonts w:asciiTheme="majorBidi" w:hAnsiTheme="majorBidi" w:cstheme="majorBidi"/>
          <w:i/>
          <w:sz w:val="24"/>
          <w:szCs w:val="24"/>
          <w:vertAlign w:val="superscript"/>
          <w:lang w:val="sr-Cyrl-RS"/>
        </w:rPr>
        <w:footnoteReference w:id="56"/>
      </w:r>
      <w:r w:rsidR="003B5BF0" w:rsidRPr="0081082A">
        <w:rPr>
          <w:rFonts w:asciiTheme="majorBidi" w:hAnsiTheme="majorBidi" w:cstheme="majorBidi"/>
          <w:sz w:val="24"/>
          <w:szCs w:val="24"/>
          <w:lang w:val="sr-Cyrl-RS"/>
        </w:rPr>
        <w:t>)</w:t>
      </w:r>
      <w:r w:rsidRPr="0081082A">
        <w:rPr>
          <w:rFonts w:asciiTheme="majorBidi" w:hAnsiTheme="majorBidi" w:cstheme="majorBidi"/>
          <w:sz w:val="24"/>
          <w:szCs w:val="24"/>
          <w:lang w:val="sr-Cyrl-RS"/>
        </w:rPr>
        <w:t>,  систем за управљање ризицима је побољшан увођењем структурног поступка процене ризика и дефинисања приоритета ризика добровољности</w:t>
      </w:r>
      <w:r w:rsidRPr="0081082A">
        <w:rPr>
          <w:rFonts w:asciiTheme="majorBidi" w:hAnsiTheme="majorBidi" w:cstheme="majorBidi"/>
          <w:sz w:val="24"/>
          <w:lang w:val="sr-Cyrl-RS"/>
        </w:rPr>
        <w:t xml:space="preserve">. </w:t>
      </w:r>
      <w:r w:rsidRPr="0081082A">
        <w:rPr>
          <w:rFonts w:asciiTheme="majorBidi" w:hAnsiTheme="majorBidi" w:cstheme="majorBidi"/>
          <w:sz w:val="24"/>
          <w:szCs w:val="24"/>
          <w:lang w:val="sr-Cyrl-RS"/>
        </w:rPr>
        <w:t>Поред овога, успостављен је нови систем за редовну и принудну наплату пореза и пореско рачуноводство, који омогућава да се све активности наплате пореза обављају кроз јединствену апликацију, чиме је знатно убрзан читав пословни процес наплате и олакшано управљање документима. Успостаљен је и ЦЕПОП4 систем за забрану измене регистрационих података у Агенцији за привредне регистре (у даљем тексту: АПР) у време трајања пореске  контроле, што омогућава Сектору за контролу, као и пореској полицији</w:t>
      </w:r>
      <w:r w:rsidR="00256F0B" w:rsidRPr="0081082A">
        <w:rPr>
          <w:rFonts w:asciiTheme="majorBidi" w:hAnsiTheme="majorBidi" w:cstheme="majorBidi"/>
          <w:sz w:val="24"/>
          <w:szCs w:val="24"/>
          <w:lang w:val="sr-Cyrl-RS"/>
        </w:rPr>
        <w:t>,</w:t>
      </w:r>
      <w:r w:rsidRPr="0081082A">
        <w:rPr>
          <w:rFonts w:asciiTheme="majorBidi" w:hAnsiTheme="majorBidi" w:cstheme="majorBidi"/>
          <w:sz w:val="24"/>
          <w:szCs w:val="24"/>
          <w:lang w:val="sr-Cyrl-RS"/>
        </w:rPr>
        <w:t xml:space="preserve"> неометано вршење пореских контрола обвезника, без ризика да се променом регистрационих података осујети поступак у току и последично онемогући наплата непријављеног пореза код несавесних пореских обвезника, односно да се онемогући утврђивање чињеница од значаја за процесуирање кривице. Такође, у оквиру редизајна пословних процеса, постављена је апликација која омогућава пореским обвезницима добијање уверења о плаћеним обавезама на свим уплатним рачунима јавних прихода, </w:t>
      </w:r>
      <w:r w:rsidRPr="0081082A">
        <w:rPr>
          <w:rFonts w:asciiTheme="majorBidi" w:hAnsiTheme="majorBidi" w:cstheme="majorBidi"/>
          <w:bCs/>
          <w:iCs/>
          <w:sz w:val="24"/>
          <w:szCs w:val="24"/>
          <w:lang w:val="sr-Cyrl-RS"/>
        </w:rPr>
        <w:t>уверења о плаћеним доприносима за здравствено осигурање, уверења о плаћеном порезу на додату вредност и уверење о плаћеним порезима и доприносима по одбитку (обједињена наплата), на који начин је дигитализацијом процеса омогућено обвезницима брзо и ефикасно прибављање уверења за различите сврхе, без додатног ангажовања пореских службеника. Тиме је омогућено преусмеравање ресурса на захтевније пореско администрирање, које обезбеђује концент</w:t>
      </w:r>
      <w:r w:rsidR="00256F0B" w:rsidRPr="0081082A">
        <w:rPr>
          <w:rFonts w:asciiTheme="majorBidi" w:hAnsiTheme="majorBidi" w:cstheme="majorBidi"/>
          <w:bCs/>
          <w:iCs/>
          <w:sz w:val="24"/>
          <w:szCs w:val="24"/>
          <w:lang w:val="sr-Cyrl-RS"/>
        </w:rPr>
        <w:t>р</w:t>
      </w:r>
      <w:r w:rsidRPr="0081082A">
        <w:rPr>
          <w:rFonts w:asciiTheme="majorBidi" w:hAnsiTheme="majorBidi" w:cstheme="majorBidi"/>
          <w:bCs/>
          <w:iCs/>
          <w:sz w:val="24"/>
          <w:szCs w:val="24"/>
          <w:lang w:val="sr-Cyrl-RS"/>
        </w:rPr>
        <w:t>ацију кадрова на кључним пословним процесима, посвећенији приступ и усмеренију активност у делу базичних функција/процеса.</w:t>
      </w:r>
      <w:r w:rsidRPr="0081082A">
        <w:rPr>
          <w:rFonts w:asciiTheme="majorBidi" w:hAnsiTheme="majorBidi" w:cstheme="majorBidi"/>
          <w:bCs/>
          <w:iCs/>
          <w:sz w:val="24"/>
          <w:szCs w:val="24"/>
          <w:vertAlign w:val="superscript"/>
          <w:lang w:val="sr-Cyrl-RS"/>
        </w:rPr>
        <w:footnoteReference w:id="57"/>
      </w:r>
    </w:p>
    <w:p w:rsidR="007C633C" w:rsidRPr="0081082A" w:rsidRDefault="007C633C" w:rsidP="0086546D">
      <w:pPr>
        <w:spacing w:after="0" w:line="240" w:lineRule="auto"/>
        <w:ind w:firstLine="708"/>
        <w:jc w:val="both"/>
        <w:rPr>
          <w:rFonts w:ascii="Times New Roman" w:hAnsi="Times New Roman" w:cs="Times New Roman"/>
          <w:bCs/>
          <w:iCs/>
          <w:sz w:val="24"/>
          <w:szCs w:val="24"/>
          <w:lang w:val="sr-Cyrl-RS"/>
        </w:rPr>
      </w:pPr>
      <w:r w:rsidRPr="0081082A">
        <w:rPr>
          <w:rFonts w:ascii="Times New Roman" w:hAnsi="Times New Roman" w:cs="Times New Roman"/>
          <w:bCs/>
          <w:iCs/>
          <w:sz w:val="24"/>
          <w:szCs w:val="24"/>
          <w:lang w:val="sr-Cyrl-RS"/>
        </w:rPr>
        <w:t xml:space="preserve">Поред значајног успеха у развоју система ПУРС који су обвезницима  омогућили економичније и ефикасније администрирање пореских обавеза </w:t>
      </w:r>
      <w:r w:rsidRPr="0081082A">
        <w:rPr>
          <w:rFonts w:ascii="Times New Roman" w:hAnsi="Times New Roman" w:cs="Times New Roman"/>
          <w:bCs/>
          <w:iCs/>
          <w:sz w:val="24"/>
          <w:szCs w:val="24"/>
          <w:lang w:val="sr-Cyrl-RS"/>
        </w:rPr>
        <w:lastRenderedPageBreak/>
        <w:t>електронским путем, Влада је у посматраном периоду, заједно са Националном алијансом за локални економски развој (у даљем тексту: НАЛЕД), организовала и три циклуса наградне игре „Узми рачун и победи</w:t>
      </w:r>
      <w:r w:rsidR="007E728E" w:rsidRPr="0081082A">
        <w:rPr>
          <w:rFonts w:ascii="Times New Roman" w:hAnsi="Times New Roman" w:cs="Times New Roman"/>
          <w:bCs/>
          <w:iCs/>
          <w:sz w:val="24"/>
          <w:szCs w:val="24"/>
          <w:lang w:val="sr-Cyrl-RS"/>
        </w:rPr>
        <w:t>”</w:t>
      </w:r>
      <w:r w:rsidRPr="0081082A">
        <w:rPr>
          <w:rFonts w:ascii="Times New Roman" w:hAnsi="Times New Roman" w:cs="Times New Roman"/>
          <w:bCs/>
          <w:iCs/>
          <w:sz w:val="24"/>
          <w:szCs w:val="24"/>
          <w:lang w:val="sr-Cyrl-RS"/>
        </w:rPr>
        <w:t xml:space="preserve">, чији је </w:t>
      </w:r>
      <w:r w:rsidRPr="0081082A">
        <w:rPr>
          <w:rFonts w:ascii="Times New Roman" w:hAnsi="Times New Roman" w:cs="Times New Roman"/>
          <w:sz w:val="24"/>
          <w:szCs w:val="24"/>
          <w:lang w:val="sr-Cyrl-RS"/>
        </w:rPr>
        <w:t>циљ</w:t>
      </w:r>
      <w:r w:rsidRPr="0081082A">
        <w:rPr>
          <w:rFonts w:ascii="Times New Roman" w:hAnsi="Times New Roman" w:cs="Times New Roman"/>
          <w:bCs/>
          <w:iCs/>
          <w:sz w:val="24"/>
          <w:szCs w:val="24"/>
          <w:lang w:val="sr-Cyrl-RS"/>
        </w:rPr>
        <w:t xml:space="preserve"> био подизање свести грађана и привреде о значају сузбијања сиве економије, стимулације безготовинског плаћања, јачање пореске културе, као и додатне мотивације грађана и привреде за поштовање пореских прописа, кроз пропагирање система у коме су све стране једнако мотивисане да се промет евидентира због значаја опште користи која се обезбеђује наплатом пореза.</w:t>
      </w:r>
    </w:p>
    <w:p w:rsidR="007C45A7" w:rsidRPr="0081082A" w:rsidRDefault="007C45A7" w:rsidP="0086546D">
      <w:pPr>
        <w:spacing w:after="0" w:line="240" w:lineRule="auto"/>
        <w:ind w:firstLine="708"/>
        <w:jc w:val="both"/>
        <w:rPr>
          <w:rFonts w:ascii="Times New Roman" w:hAnsi="Times New Roman" w:cs="Times New Roman"/>
          <w:sz w:val="24"/>
          <w:szCs w:val="24"/>
          <w:lang w:val="sr-Cyrl-RS"/>
        </w:rPr>
      </w:pPr>
      <w:r w:rsidRPr="0081082A">
        <w:rPr>
          <w:rFonts w:ascii="Times New Roman" w:eastAsia="Calibri" w:hAnsi="Times New Roman" w:cs="Times New Roman"/>
          <w:b/>
          <w:sz w:val="24"/>
          <w:szCs w:val="24"/>
          <w:lang w:val="sr-Cyrl-RS"/>
        </w:rPr>
        <w:t>Управа за дуван</w:t>
      </w:r>
      <w:r w:rsidRPr="0081082A">
        <w:rPr>
          <w:rFonts w:ascii="Times New Roman" w:hAnsi="Times New Roman" w:cs="Times New Roman"/>
          <w:sz w:val="24"/>
          <w:szCs w:val="24"/>
          <w:lang w:val="sr-Cyrl-RS"/>
        </w:rPr>
        <w:t xml:space="preserve"> била је укључена у ревидирани ПРУЈФ са три активности</w:t>
      </w:r>
      <w:r w:rsidR="00E51588"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и то: успостављање јединственог система регистара који ће објединити све регистре и евиденционе листе како би се побољшала ефикасност пружања услуга Управе, јачање капацитета људских ресурса Управе и других партнерских институција и повећање дигиталне свести привредних субјеката који послују на тржишту дувана и дуванских производа. </w:t>
      </w:r>
      <w:r w:rsidR="00F608E3" w:rsidRPr="0081082A">
        <w:rPr>
          <w:rFonts w:ascii="Times New Roman" w:hAnsi="Times New Roman" w:cs="Times New Roman"/>
          <w:sz w:val="24"/>
          <w:szCs w:val="24"/>
          <w:lang w:val="sr-Cyrl-RS"/>
        </w:rPr>
        <w:t xml:space="preserve">Административни капацитети Управе за дуван ојачани су током 2021. године са 20 на 31 систематизовано радно место. </w:t>
      </w:r>
    </w:p>
    <w:p w:rsidR="00721398" w:rsidRPr="0081082A" w:rsidRDefault="007C45A7"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току 2020. године спроведен је поступак јавне набавке и започета је израда јединственог система регистара. Услед епидемиолошке ситуације изазване пандемијом К</w:t>
      </w:r>
      <w:r w:rsidR="00D05879" w:rsidRPr="0081082A">
        <w:rPr>
          <w:rFonts w:ascii="Times New Roman" w:hAnsi="Times New Roman" w:cs="Times New Roman"/>
          <w:sz w:val="24"/>
          <w:szCs w:val="24"/>
          <w:lang w:val="sr-Cyrl-RS"/>
        </w:rPr>
        <w:t>овид</w:t>
      </w:r>
      <w:r w:rsidRPr="0081082A">
        <w:rPr>
          <w:rFonts w:ascii="Times New Roman" w:hAnsi="Times New Roman" w:cs="Times New Roman"/>
          <w:sz w:val="24"/>
          <w:szCs w:val="24"/>
          <w:lang w:val="sr-Cyrl-RS"/>
        </w:rPr>
        <w:t xml:space="preserve">-19, успостављање јединственог система регистара померено је на четврти квартал 2021. године. </w:t>
      </w:r>
      <w:r w:rsidR="007C633C" w:rsidRPr="0081082A">
        <w:rPr>
          <w:rFonts w:ascii="Times New Roman" w:hAnsi="Times New Roman" w:cs="Times New Roman"/>
          <w:sz w:val="24"/>
          <w:szCs w:val="24"/>
          <w:lang w:val="sr-Cyrl-RS"/>
        </w:rPr>
        <w:t>Јачање административних капацитета</w:t>
      </w:r>
      <w:r w:rsidR="00721398" w:rsidRPr="0081082A">
        <w:rPr>
          <w:rFonts w:ascii="Times New Roman" w:hAnsi="Times New Roman" w:cs="Times New Roman"/>
          <w:sz w:val="24"/>
          <w:szCs w:val="24"/>
          <w:lang w:val="sr-Cyrl-RS"/>
        </w:rPr>
        <w:t xml:space="preserve"> </w:t>
      </w:r>
      <w:r w:rsidR="00721398" w:rsidRPr="0081082A">
        <w:rPr>
          <w:rFonts w:ascii="Times New Roman" w:hAnsi="Times New Roman" w:cs="Times New Roman"/>
          <w:b/>
          <w:sz w:val="24"/>
          <w:szCs w:val="24"/>
          <w:lang w:val="sr-Cyrl-RS"/>
        </w:rPr>
        <w:t>Управе царина</w:t>
      </w:r>
      <w:r w:rsidR="00721398" w:rsidRPr="0081082A">
        <w:rPr>
          <w:rFonts w:ascii="Times New Roman" w:hAnsi="Times New Roman" w:cs="Times New Roman"/>
          <w:sz w:val="24"/>
          <w:szCs w:val="24"/>
          <w:lang w:val="sr-Cyrl-RS"/>
        </w:rPr>
        <w:t xml:space="preserve"> </w:t>
      </w:r>
      <w:r w:rsidR="007C633C" w:rsidRPr="0081082A">
        <w:rPr>
          <w:rFonts w:ascii="Times New Roman" w:hAnsi="Times New Roman" w:cs="Times New Roman"/>
          <w:sz w:val="24"/>
          <w:szCs w:val="24"/>
          <w:lang w:val="sr-Cyrl-RS"/>
        </w:rPr>
        <w:t xml:space="preserve">кључно је за њено ефикасно функционисање, и </w:t>
      </w:r>
      <w:r w:rsidR="00721398" w:rsidRPr="0081082A">
        <w:rPr>
          <w:rFonts w:ascii="Times New Roman" w:hAnsi="Times New Roman" w:cs="Times New Roman"/>
          <w:sz w:val="24"/>
          <w:szCs w:val="24"/>
          <w:lang w:val="sr-Cyrl-RS"/>
        </w:rPr>
        <w:t>представља један од најважнијих елемената система наплате прихода у оквиру система јавних финансија</w:t>
      </w:r>
      <w:r w:rsidR="00721398" w:rsidRPr="0081082A">
        <w:rPr>
          <w:rFonts w:ascii="Times New Roman" w:hAnsi="Times New Roman"/>
          <w:sz w:val="24"/>
          <w:lang w:val="sr-Cyrl-RS"/>
        </w:rPr>
        <w:t xml:space="preserve">. </w:t>
      </w:r>
      <w:r w:rsidR="00721398" w:rsidRPr="0081082A">
        <w:rPr>
          <w:rFonts w:ascii="Times New Roman" w:hAnsi="Times New Roman" w:cs="Times New Roman"/>
          <w:sz w:val="24"/>
          <w:szCs w:val="24"/>
          <w:lang w:val="sr-Cyrl-RS"/>
        </w:rPr>
        <w:t xml:space="preserve">Остварење главног </w:t>
      </w:r>
      <w:r w:rsidR="007C633C" w:rsidRPr="0081082A">
        <w:rPr>
          <w:rFonts w:ascii="Times New Roman" w:hAnsi="Times New Roman" w:cs="Times New Roman"/>
          <w:sz w:val="24"/>
          <w:szCs w:val="24"/>
          <w:lang w:val="sr-Cyrl-RS"/>
        </w:rPr>
        <w:t>дугорочног</w:t>
      </w:r>
      <w:r w:rsidR="00721398" w:rsidRPr="0081082A">
        <w:rPr>
          <w:rFonts w:ascii="Times New Roman" w:hAnsi="Times New Roman" w:cs="Times New Roman"/>
          <w:sz w:val="24"/>
          <w:szCs w:val="24"/>
          <w:lang w:val="sr-Cyrl-RS"/>
        </w:rPr>
        <w:t xml:space="preserve"> циља одржа</w:t>
      </w:r>
      <w:r w:rsidR="00CA2783" w:rsidRPr="0081082A">
        <w:rPr>
          <w:rFonts w:ascii="Times New Roman" w:hAnsi="Times New Roman" w:cs="Times New Roman"/>
          <w:sz w:val="24"/>
          <w:szCs w:val="24"/>
          <w:lang w:val="sr-Cyrl-RS"/>
        </w:rPr>
        <w:t>ва</w:t>
      </w:r>
      <w:r w:rsidR="00721398" w:rsidRPr="0081082A">
        <w:rPr>
          <w:rFonts w:ascii="Times New Roman" w:hAnsi="Times New Roman" w:cs="Times New Roman"/>
          <w:sz w:val="24"/>
          <w:szCs w:val="24"/>
          <w:lang w:val="sr-Cyrl-RS"/>
        </w:rPr>
        <w:t xml:space="preserve">ња високог нивоа наплате буџетских прихода подразумева даљи развој </w:t>
      </w:r>
      <w:r w:rsidR="007C633C" w:rsidRPr="0081082A">
        <w:rPr>
          <w:rFonts w:ascii="Times New Roman" w:hAnsi="Times New Roman" w:cs="Times New Roman"/>
          <w:sz w:val="24"/>
          <w:szCs w:val="24"/>
          <w:lang w:val="sr-Cyrl-RS"/>
        </w:rPr>
        <w:t xml:space="preserve">Царинске службе, увођењем одговарајуће информатичке подршке за управљање ризиком, унапређењем система накнадне контроле и борбом против корупције,  </w:t>
      </w:r>
      <w:r w:rsidR="00721398" w:rsidRPr="0081082A">
        <w:rPr>
          <w:rFonts w:ascii="Times New Roman" w:hAnsi="Times New Roman" w:cs="Times New Roman"/>
          <w:sz w:val="24"/>
          <w:szCs w:val="24"/>
          <w:lang w:val="sr-Cyrl-RS"/>
        </w:rPr>
        <w:t>као и дугорочну сарадњу са приватним сектором</w:t>
      </w:r>
      <w:r w:rsidR="007C633C" w:rsidRPr="0081082A">
        <w:rPr>
          <w:rFonts w:ascii="Times New Roman" w:hAnsi="Times New Roman" w:cs="Times New Roman"/>
          <w:sz w:val="24"/>
          <w:szCs w:val="24"/>
          <w:lang w:val="sr-Cyrl-RS"/>
        </w:rPr>
        <w:t>, посебно</w:t>
      </w:r>
      <w:r w:rsidR="00721398" w:rsidRPr="0081082A">
        <w:rPr>
          <w:rFonts w:ascii="Times New Roman" w:hAnsi="Times New Roman" w:cs="Times New Roman"/>
          <w:sz w:val="24"/>
          <w:szCs w:val="24"/>
          <w:lang w:val="sr-Cyrl-RS"/>
        </w:rPr>
        <w:t xml:space="preserve"> у области </w:t>
      </w:r>
      <w:r w:rsidR="007C633C" w:rsidRPr="0081082A">
        <w:rPr>
          <w:rFonts w:ascii="Times New Roman" w:hAnsi="Times New Roman" w:cs="Times New Roman"/>
          <w:sz w:val="24"/>
          <w:szCs w:val="24"/>
          <w:lang w:val="sr-Cyrl-RS"/>
        </w:rPr>
        <w:t>царинских поједностављења и коришћења института овлашћеног привредног субјекта (АЕО).</w:t>
      </w:r>
      <w:r w:rsidR="00721398" w:rsidRPr="0081082A">
        <w:rPr>
          <w:rFonts w:ascii="Times New Roman" w:hAnsi="Times New Roman" w:cs="Times New Roman"/>
          <w:sz w:val="24"/>
          <w:szCs w:val="24"/>
          <w:lang w:val="sr-Cyrl-RS"/>
        </w:rPr>
        <w:t xml:space="preserve"> У претходном периоду забележен је значајан раст учешћа </w:t>
      </w:r>
      <w:r w:rsidR="007C633C" w:rsidRPr="0081082A">
        <w:rPr>
          <w:rFonts w:ascii="Times New Roman" w:hAnsi="Times New Roman" w:cs="Times New Roman"/>
          <w:sz w:val="24"/>
          <w:szCs w:val="24"/>
          <w:lang w:val="sr-Cyrl-RS"/>
        </w:rPr>
        <w:t>увозних</w:t>
      </w:r>
      <w:r w:rsidR="00721398" w:rsidRPr="0081082A">
        <w:rPr>
          <w:rFonts w:ascii="Times New Roman" w:hAnsi="Times New Roman" w:cs="Times New Roman"/>
          <w:sz w:val="24"/>
          <w:szCs w:val="24"/>
          <w:lang w:val="sr-Cyrl-RS"/>
        </w:rPr>
        <w:t xml:space="preserve"> дажбина у укупном буџету </w:t>
      </w:r>
      <w:r w:rsidR="007C633C" w:rsidRPr="0081082A">
        <w:rPr>
          <w:rFonts w:ascii="Times New Roman" w:hAnsi="Times New Roman" w:cs="Times New Roman"/>
          <w:sz w:val="24"/>
          <w:szCs w:val="24"/>
          <w:lang w:val="sr-Cyrl-RS"/>
        </w:rPr>
        <w:t>Р</w:t>
      </w:r>
      <w:r w:rsidR="00D539B3" w:rsidRPr="0081082A">
        <w:rPr>
          <w:rFonts w:ascii="Times New Roman" w:hAnsi="Times New Roman" w:cs="Times New Roman"/>
          <w:sz w:val="24"/>
          <w:szCs w:val="24"/>
          <w:lang w:val="sr-Cyrl-RS"/>
        </w:rPr>
        <w:t xml:space="preserve">епублике </w:t>
      </w:r>
      <w:r w:rsidR="007C633C" w:rsidRPr="0081082A">
        <w:rPr>
          <w:rFonts w:ascii="Times New Roman" w:hAnsi="Times New Roman" w:cs="Times New Roman"/>
          <w:sz w:val="24"/>
          <w:szCs w:val="24"/>
          <w:lang w:val="sr-Cyrl-RS"/>
        </w:rPr>
        <w:t>С</w:t>
      </w:r>
      <w:r w:rsidR="00D539B3" w:rsidRPr="0081082A">
        <w:rPr>
          <w:rFonts w:ascii="Times New Roman" w:hAnsi="Times New Roman" w:cs="Times New Roman"/>
          <w:sz w:val="24"/>
          <w:szCs w:val="24"/>
          <w:lang w:val="sr-Cyrl-RS"/>
        </w:rPr>
        <w:t>рбије</w:t>
      </w:r>
      <w:r w:rsidR="00721398" w:rsidRPr="0081082A">
        <w:rPr>
          <w:rFonts w:ascii="Times New Roman" w:hAnsi="Times New Roman" w:cs="Times New Roman"/>
          <w:sz w:val="24"/>
          <w:szCs w:val="24"/>
          <w:lang w:val="sr-Cyrl-RS"/>
        </w:rPr>
        <w:t>, од 42,7% у 2016. години на 49,9% у 2018. години, док је тренд повећане наплате прихода на име увозних дажбина настављен и у 2019. години када је приход од увоза био већи за 565,5 милиона евра у односу на претходну годину.</w:t>
      </w:r>
      <w:r w:rsidR="00721398" w:rsidRPr="0081082A">
        <w:rPr>
          <w:rStyle w:val="FootnoteReference"/>
          <w:rFonts w:ascii="Times New Roman" w:hAnsi="Times New Roman" w:cs="Times New Roman"/>
          <w:sz w:val="24"/>
          <w:szCs w:val="24"/>
          <w:lang w:val="sr-Cyrl-RS"/>
        </w:rPr>
        <w:footnoteReference w:id="58"/>
      </w:r>
      <w:r w:rsidR="00721398" w:rsidRPr="0081082A">
        <w:rPr>
          <w:rFonts w:ascii="Times New Roman" w:hAnsi="Times New Roman" w:cs="Times New Roman"/>
          <w:sz w:val="24"/>
          <w:szCs w:val="24"/>
          <w:lang w:val="sr-Cyrl-RS"/>
        </w:rPr>
        <w:t xml:space="preserve">  Поред одржавања високог нивоа наплате дажбина, Управа царина посвећена је унапређењу процеса обезбеђења царинског дуга и усклађивање са најбољом праксом међународних царинских администрација.</w:t>
      </w:r>
    </w:p>
    <w:p w:rsidR="00721398" w:rsidRPr="0081082A" w:rsidRDefault="00721398" w:rsidP="0086546D">
      <w:pPr>
        <w:spacing w:after="0" w:line="240" w:lineRule="auto"/>
        <w:ind w:firstLine="708"/>
        <w:jc w:val="both"/>
        <w:rPr>
          <w:rFonts w:ascii="Times New Roman" w:hAnsi="Times New Roman" w:cs="Times New Roman"/>
          <w:sz w:val="24"/>
          <w:szCs w:val="24"/>
          <w:shd w:val="clear" w:color="auto" w:fill="FFFFFF"/>
          <w:lang w:val="sr-Cyrl-RS"/>
        </w:rPr>
      </w:pPr>
      <w:r w:rsidRPr="0081082A">
        <w:rPr>
          <w:rFonts w:ascii="Times New Roman" w:hAnsi="Times New Roman" w:cs="Times New Roman"/>
          <w:sz w:val="24"/>
          <w:szCs w:val="24"/>
          <w:lang w:val="sr-Cyrl-RS"/>
        </w:rPr>
        <w:t xml:space="preserve">Поред напора у развој </w:t>
      </w:r>
      <w:r w:rsidR="007C633C" w:rsidRPr="0081082A">
        <w:rPr>
          <w:rFonts w:ascii="Times New Roman" w:hAnsi="Times New Roman" w:cs="Times New Roman"/>
          <w:sz w:val="24"/>
          <w:szCs w:val="24"/>
          <w:lang w:val="sr-Cyrl-RS"/>
        </w:rPr>
        <w:t>Царинске</w:t>
      </w:r>
      <w:r w:rsidRPr="0081082A">
        <w:rPr>
          <w:rFonts w:ascii="Times New Roman" w:hAnsi="Times New Roman" w:cs="Times New Roman"/>
          <w:sz w:val="24"/>
          <w:szCs w:val="24"/>
          <w:lang w:val="sr-Cyrl-RS"/>
        </w:rPr>
        <w:t xml:space="preserve"> службе који су резултирали у бољој наплати прихода од царинских дажбина, напредак у раду Управе царина </w:t>
      </w:r>
      <w:r w:rsidR="007C633C" w:rsidRPr="0081082A">
        <w:rPr>
          <w:rFonts w:ascii="Times New Roman" w:hAnsi="Times New Roman" w:cs="Times New Roman"/>
          <w:sz w:val="24"/>
          <w:szCs w:val="24"/>
          <w:lang w:val="sr-Cyrl-RS"/>
        </w:rPr>
        <w:t>је постигнут и захваљујући унапређењу</w:t>
      </w:r>
      <w:r w:rsidRPr="0081082A">
        <w:rPr>
          <w:rFonts w:ascii="Times New Roman" w:hAnsi="Times New Roman" w:cs="Times New Roman"/>
          <w:sz w:val="24"/>
          <w:szCs w:val="24"/>
          <w:lang w:val="sr-Cyrl-RS"/>
        </w:rPr>
        <w:t xml:space="preserve"> мера против корупције, </w:t>
      </w:r>
      <w:r w:rsidR="00826D94" w:rsidRPr="0081082A">
        <w:rPr>
          <w:rFonts w:ascii="Times New Roman" w:hAnsi="Times New Roman" w:cs="Times New Roman"/>
          <w:sz w:val="24"/>
          <w:szCs w:val="24"/>
          <w:lang w:val="sr-Cyrl-RS"/>
        </w:rPr>
        <w:t xml:space="preserve">припреми </w:t>
      </w:r>
      <w:r w:rsidRPr="0081082A">
        <w:rPr>
          <w:rFonts w:ascii="Times New Roman" w:hAnsi="Times New Roman" w:cs="Times New Roman"/>
          <w:sz w:val="24"/>
          <w:szCs w:val="24"/>
          <w:lang w:val="sr-Cyrl-RS"/>
        </w:rPr>
        <w:t xml:space="preserve">капацитета за успостављање система управљања традиционалним сопственим средствима ЕУ и </w:t>
      </w:r>
      <w:r w:rsidR="007C633C" w:rsidRPr="0081082A">
        <w:rPr>
          <w:rFonts w:ascii="Times New Roman" w:hAnsi="Times New Roman" w:cs="Times New Roman"/>
          <w:sz w:val="24"/>
          <w:szCs w:val="24"/>
          <w:lang w:val="sr-Cyrl-RS"/>
        </w:rPr>
        <w:t>управљању</w:t>
      </w:r>
      <w:r w:rsidRPr="0081082A">
        <w:rPr>
          <w:rFonts w:ascii="Times New Roman" w:hAnsi="Times New Roman" w:cs="Times New Roman"/>
          <w:sz w:val="24"/>
          <w:szCs w:val="24"/>
          <w:lang w:val="sr-Cyrl-RS"/>
        </w:rPr>
        <w:t xml:space="preserve"> ризицима.</w:t>
      </w:r>
      <w:r w:rsidR="007C633C" w:rsidRPr="0081082A">
        <w:rPr>
          <w:rFonts w:ascii="Times New Roman" w:hAnsi="Times New Roman" w:cs="Times New Roman"/>
          <w:sz w:val="24"/>
          <w:szCs w:val="24"/>
          <w:lang w:val="sr-Cyrl-RS"/>
        </w:rPr>
        <w:t xml:space="preserve"> Као важан сегмент система традиционалних сопствених средстава ЕУ је и борба против неправилности и превара, која подразумева јачање капацитета царинске администрације у спречавању, откривању и истрагама царинских превара, као и успостављање система размене информација о предузетим активностима. С тим у вези, од 2016.</w:t>
      </w:r>
      <w:r w:rsidRPr="0081082A">
        <w:rPr>
          <w:rFonts w:ascii="Times New Roman" w:hAnsi="Times New Roman" w:cs="Times New Roman"/>
          <w:sz w:val="24"/>
          <w:szCs w:val="24"/>
          <w:lang w:val="sr-Cyrl-RS"/>
        </w:rPr>
        <w:t xml:space="preserve"> године, Управа царина прати активности везане за борбу против корупције кроз </w:t>
      </w:r>
      <w:r w:rsidRPr="0081082A">
        <w:rPr>
          <w:rFonts w:ascii="Times New Roman" w:hAnsi="Times New Roman" w:cs="Times New Roman"/>
          <w:sz w:val="24"/>
          <w:szCs w:val="24"/>
          <w:shd w:val="clear" w:color="auto" w:fill="FFFFFF"/>
          <w:lang w:val="sr-Cyrl-RS"/>
        </w:rPr>
        <w:t>П</w:t>
      </w:r>
      <w:r w:rsidRPr="0081082A">
        <w:rPr>
          <w:rFonts w:ascii="Times New Roman" w:hAnsi="Times New Roman"/>
          <w:sz w:val="24"/>
          <w:shd w:val="clear" w:color="auto" w:fill="FFFFFF"/>
          <w:lang w:val="sr-Cyrl-RS"/>
        </w:rPr>
        <w:t>реговарачко поглавље 23</w:t>
      </w:r>
      <w:r w:rsidRPr="0081082A">
        <w:rPr>
          <w:rFonts w:ascii="Times New Roman" w:hAnsi="Times New Roman" w:cs="Times New Roman"/>
          <w:sz w:val="24"/>
          <w:szCs w:val="24"/>
          <w:shd w:val="clear" w:color="auto" w:fill="FFFFFF"/>
          <w:lang w:val="sr-Cyrl-RS"/>
        </w:rPr>
        <w:t xml:space="preserve"> -</w:t>
      </w:r>
      <w:r w:rsidRPr="0081082A">
        <w:rPr>
          <w:rFonts w:ascii="Times New Roman" w:hAnsi="Times New Roman"/>
          <w:sz w:val="24"/>
          <w:shd w:val="clear" w:color="auto" w:fill="FFFFFF"/>
          <w:lang w:val="sr-Cyrl-RS"/>
        </w:rPr>
        <w:t xml:space="preserve"> </w:t>
      </w:r>
      <w:r w:rsidRPr="0081082A">
        <w:rPr>
          <w:rFonts w:ascii="Times New Roman" w:hAnsi="Times New Roman" w:cs="Times New Roman"/>
          <w:sz w:val="24"/>
          <w:szCs w:val="24"/>
          <w:shd w:val="clear" w:color="auto" w:fill="FFFFFF"/>
          <w:lang w:val="sr-Cyrl-RS"/>
        </w:rPr>
        <w:t>„</w:t>
      </w:r>
      <w:r w:rsidRPr="0081082A">
        <w:rPr>
          <w:rFonts w:ascii="Times New Roman" w:hAnsi="Times New Roman"/>
          <w:sz w:val="24"/>
          <w:shd w:val="clear" w:color="auto" w:fill="FFFFFF"/>
          <w:lang w:val="sr-Cyrl-RS"/>
        </w:rPr>
        <w:t>Правосуђе и основна права</w:t>
      </w:r>
      <w:r w:rsidR="007E728E" w:rsidRPr="0081082A">
        <w:rPr>
          <w:rFonts w:ascii="Times New Roman" w:hAnsi="Times New Roman" w:cs="Times New Roman"/>
          <w:sz w:val="24"/>
          <w:szCs w:val="24"/>
          <w:shd w:val="clear" w:color="auto" w:fill="FFFFFF"/>
          <w:lang w:val="sr-Cyrl-RS"/>
        </w:rPr>
        <w:t>”</w:t>
      </w:r>
      <w:r w:rsidR="006E2BA9" w:rsidRPr="0081082A">
        <w:rPr>
          <w:rFonts w:ascii="Times New Roman" w:hAnsi="Times New Roman"/>
          <w:sz w:val="24"/>
          <w:shd w:val="clear" w:color="auto" w:fill="FFFFFF"/>
          <w:lang w:val="sr-Cyrl-RS"/>
        </w:rPr>
        <w:t>,</w:t>
      </w:r>
      <w:r w:rsidR="007C633C" w:rsidRPr="0081082A">
        <w:rPr>
          <w:rFonts w:ascii="Times New Roman" w:hAnsi="Times New Roman" w:cs="Times New Roman"/>
          <w:sz w:val="24"/>
          <w:szCs w:val="24"/>
          <w:shd w:val="clear" w:color="auto" w:fill="FFFFFF"/>
          <w:lang w:val="sr-Cyrl-RS"/>
        </w:rPr>
        <w:t xml:space="preserve"> у оквиру кога је успостављена сарадња</w:t>
      </w:r>
      <w:r w:rsidRPr="0081082A">
        <w:rPr>
          <w:rFonts w:ascii="Times New Roman" w:hAnsi="Times New Roman" w:cs="Times New Roman"/>
          <w:sz w:val="24"/>
          <w:szCs w:val="24"/>
          <w:shd w:val="clear" w:color="auto" w:fill="FFFFFF"/>
          <w:lang w:val="sr-Cyrl-RS"/>
        </w:rPr>
        <w:t xml:space="preserve"> са Криминалистичко-полицијском </w:t>
      </w:r>
      <w:r w:rsidRPr="0081082A">
        <w:rPr>
          <w:rFonts w:ascii="Times New Roman" w:hAnsi="Times New Roman" w:cs="Times New Roman"/>
          <w:sz w:val="24"/>
          <w:szCs w:val="24"/>
          <w:shd w:val="clear" w:color="auto" w:fill="FFFFFF"/>
          <w:lang w:val="sr-Cyrl-RS"/>
        </w:rPr>
        <w:lastRenderedPageBreak/>
        <w:t>академијом</w:t>
      </w:r>
      <w:r w:rsidR="007C633C" w:rsidRPr="0081082A">
        <w:rPr>
          <w:rFonts w:ascii="Times New Roman" w:hAnsi="Times New Roman" w:cs="Times New Roman"/>
          <w:sz w:val="24"/>
          <w:szCs w:val="24"/>
          <w:shd w:val="clear" w:color="auto" w:fill="FFFFFF"/>
          <w:lang w:val="sr-Cyrl-RS"/>
        </w:rPr>
        <w:t xml:space="preserve">, </w:t>
      </w:r>
      <w:r w:rsidRPr="0081082A">
        <w:rPr>
          <w:rFonts w:ascii="Times New Roman" w:hAnsi="Times New Roman" w:cs="Times New Roman"/>
          <w:sz w:val="24"/>
          <w:szCs w:val="24"/>
          <w:shd w:val="clear" w:color="auto" w:fill="FFFFFF"/>
          <w:lang w:val="sr-Cyrl-RS"/>
        </w:rPr>
        <w:t xml:space="preserve">спроведена </w:t>
      </w:r>
      <w:r w:rsidR="007C633C" w:rsidRPr="0081082A">
        <w:rPr>
          <w:rFonts w:ascii="Times New Roman" w:hAnsi="Times New Roman" w:cs="Times New Roman"/>
          <w:sz w:val="24"/>
          <w:szCs w:val="24"/>
          <w:shd w:val="clear" w:color="auto" w:fill="FFFFFF"/>
          <w:lang w:val="sr-Cyrl-RS"/>
        </w:rPr>
        <w:t>је</w:t>
      </w:r>
      <w:r w:rsidRPr="0081082A">
        <w:rPr>
          <w:rFonts w:ascii="Times New Roman" w:hAnsi="Times New Roman" w:cs="Times New Roman"/>
          <w:sz w:val="24"/>
          <w:szCs w:val="24"/>
          <w:shd w:val="clear" w:color="auto" w:fill="FFFFFF"/>
          <w:lang w:val="sr-Cyrl-RS"/>
        </w:rPr>
        <w:t xml:space="preserve"> анализа ризика на корупцију правног оквира царинског система</w:t>
      </w:r>
      <w:r w:rsidR="007C633C" w:rsidRPr="0081082A">
        <w:rPr>
          <w:rFonts w:ascii="Times New Roman" w:hAnsi="Times New Roman" w:cs="Times New Roman"/>
          <w:sz w:val="24"/>
          <w:szCs w:val="24"/>
          <w:shd w:val="clear" w:color="auto" w:fill="FFFFFF"/>
          <w:lang w:val="sr-Cyrl-RS"/>
        </w:rPr>
        <w:t xml:space="preserve"> и</w:t>
      </w:r>
      <w:r w:rsidRPr="0081082A">
        <w:rPr>
          <w:rFonts w:ascii="Times New Roman" w:hAnsi="Times New Roman" w:cs="Times New Roman"/>
          <w:sz w:val="24"/>
          <w:szCs w:val="24"/>
          <w:shd w:val="clear" w:color="auto" w:fill="FFFFFF"/>
          <w:lang w:val="sr-Cyrl-RS"/>
        </w:rPr>
        <w:t xml:space="preserve"> одржан </w:t>
      </w:r>
      <w:r w:rsidR="007C633C" w:rsidRPr="0081082A">
        <w:rPr>
          <w:rFonts w:ascii="Times New Roman" w:hAnsi="Times New Roman" w:cs="Times New Roman"/>
          <w:sz w:val="24"/>
          <w:szCs w:val="24"/>
          <w:shd w:val="clear" w:color="auto" w:fill="FFFFFF"/>
          <w:lang w:val="sr-Cyrl-RS"/>
        </w:rPr>
        <w:t>низ</w:t>
      </w:r>
      <w:r w:rsidRPr="0081082A">
        <w:rPr>
          <w:rFonts w:ascii="Times New Roman" w:hAnsi="Times New Roman" w:cs="Times New Roman"/>
          <w:sz w:val="24"/>
          <w:szCs w:val="24"/>
          <w:shd w:val="clear" w:color="auto" w:fill="FFFFFF"/>
          <w:lang w:val="sr-Cyrl-RS"/>
        </w:rPr>
        <w:t xml:space="preserve"> обука из </w:t>
      </w:r>
      <w:r w:rsidR="007C633C" w:rsidRPr="0081082A">
        <w:rPr>
          <w:rFonts w:ascii="Times New Roman" w:hAnsi="Times New Roman" w:cs="Times New Roman"/>
          <w:sz w:val="24"/>
          <w:szCs w:val="24"/>
          <w:shd w:val="clear" w:color="auto" w:fill="FFFFFF"/>
          <w:lang w:val="sr-Cyrl-RS"/>
        </w:rPr>
        <w:t>ове области.</w:t>
      </w:r>
    </w:p>
    <w:p w:rsidR="007C633C" w:rsidRPr="0081082A" w:rsidRDefault="007C633C" w:rsidP="0086546D">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cs="Times New Roman"/>
          <w:sz w:val="24"/>
          <w:szCs w:val="24"/>
          <w:shd w:val="clear" w:color="auto" w:fill="FFFFFF"/>
          <w:lang w:val="sr-Cyrl-RS"/>
        </w:rPr>
        <w:t>У</w:t>
      </w:r>
      <w:r w:rsidR="00721398" w:rsidRPr="0081082A">
        <w:rPr>
          <w:rFonts w:ascii="Times New Roman" w:hAnsi="Times New Roman" w:cs="Times New Roman"/>
          <w:sz w:val="24"/>
          <w:szCs w:val="24"/>
          <w:shd w:val="clear" w:color="auto" w:fill="FFFFFF"/>
          <w:lang w:val="sr-Cyrl-RS"/>
        </w:rPr>
        <w:t xml:space="preserve"> складу са Акционим планом за поглавље 24 </w:t>
      </w:r>
      <w:r w:rsidR="00721398" w:rsidRPr="0081082A">
        <w:rPr>
          <w:rFonts w:ascii="Times New Roman" w:hAnsi="Times New Roman"/>
          <w:sz w:val="24"/>
          <w:shd w:val="clear" w:color="auto" w:fill="FFFFFF"/>
          <w:lang w:val="sr-Cyrl-RS"/>
        </w:rPr>
        <w:t xml:space="preserve">– </w:t>
      </w:r>
      <w:r w:rsidR="00721398" w:rsidRPr="0081082A">
        <w:rPr>
          <w:rFonts w:ascii="Times New Roman" w:hAnsi="Times New Roman" w:cs="Times New Roman"/>
          <w:sz w:val="24"/>
          <w:szCs w:val="24"/>
          <w:shd w:val="clear" w:color="auto" w:fill="FFFFFF"/>
          <w:lang w:val="sr-Cyrl-RS"/>
        </w:rPr>
        <w:t>„</w:t>
      </w:r>
      <w:r w:rsidR="00721398" w:rsidRPr="0081082A">
        <w:rPr>
          <w:rFonts w:ascii="Times New Roman" w:hAnsi="Times New Roman"/>
          <w:sz w:val="24"/>
          <w:shd w:val="clear" w:color="auto" w:fill="FFFFFF"/>
          <w:lang w:val="sr-Cyrl-RS"/>
        </w:rPr>
        <w:t>Правда, слобода и безбедност</w:t>
      </w:r>
      <w:r w:rsidR="007E728E" w:rsidRPr="0081082A">
        <w:rPr>
          <w:rFonts w:ascii="Times New Roman" w:hAnsi="Times New Roman" w:cs="Times New Roman"/>
          <w:sz w:val="24"/>
          <w:szCs w:val="24"/>
          <w:shd w:val="clear" w:color="auto" w:fill="FFFFFF"/>
          <w:lang w:val="sr-Cyrl-RS"/>
        </w:rPr>
        <w:t>”</w:t>
      </w:r>
      <w:r w:rsidR="00721398" w:rsidRPr="0081082A">
        <w:rPr>
          <w:rFonts w:ascii="Times New Roman" w:hAnsi="Times New Roman"/>
          <w:sz w:val="24"/>
          <w:shd w:val="clear" w:color="auto" w:fill="FFFFFF"/>
          <w:lang w:val="sr-Cyrl-RS"/>
        </w:rPr>
        <w:t>,</w:t>
      </w:r>
      <w:r w:rsidR="00721398" w:rsidRPr="0081082A">
        <w:rPr>
          <w:rFonts w:ascii="Times New Roman" w:hAnsi="Times New Roman" w:cs="Times New Roman"/>
          <w:sz w:val="24"/>
          <w:szCs w:val="24"/>
          <w:shd w:val="clear" w:color="auto" w:fill="FFFFFF"/>
          <w:lang w:val="sr-Cyrl-RS"/>
        </w:rPr>
        <w:t xml:space="preserve"> потписан је Споразум о сарадњи у области превенције и сузбијања корупције на граници, између Републичког јавног тужилаштва, Министарства унутрашњих послова и Министарства финансија. </w:t>
      </w:r>
    </w:p>
    <w:p w:rsidR="00721398" w:rsidRPr="0081082A" w:rsidRDefault="007C633C" w:rsidP="0086546D">
      <w:pPr>
        <w:spacing w:after="0" w:line="240" w:lineRule="auto"/>
        <w:ind w:firstLine="708"/>
        <w:jc w:val="both"/>
        <w:rPr>
          <w:rFonts w:ascii="Times New Roman" w:hAnsi="Times New Roman" w:cs="Times New Roman"/>
          <w:sz w:val="24"/>
          <w:szCs w:val="24"/>
          <w:shd w:val="clear" w:color="auto" w:fill="FFFFFF"/>
          <w:lang w:val="sr-Cyrl-RS"/>
        </w:rPr>
      </w:pPr>
      <w:r w:rsidRPr="0081082A">
        <w:rPr>
          <w:rFonts w:ascii="Times New Roman" w:hAnsi="Times New Roman" w:cs="Times New Roman"/>
          <w:sz w:val="24"/>
          <w:szCs w:val="24"/>
          <w:shd w:val="clear" w:color="auto" w:fill="FFFFFF"/>
          <w:lang w:val="sr-Cyrl-RS"/>
        </w:rPr>
        <w:t xml:space="preserve">Од 2017. године, усвојено је неколико планских докумената важних за развој Царинске службе, почев од Плана развоја </w:t>
      </w:r>
      <w:r w:rsidR="00721398" w:rsidRPr="0081082A">
        <w:rPr>
          <w:rFonts w:ascii="Times New Roman" w:hAnsi="Times New Roman" w:cs="Times New Roman"/>
          <w:sz w:val="24"/>
          <w:szCs w:val="24"/>
          <w:shd w:val="clear" w:color="auto" w:fill="FFFFFF"/>
          <w:lang w:val="sr-Cyrl-RS"/>
        </w:rPr>
        <w:t xml:space="preserve">Царинске службе </w:t>
      </w:r>
      <w:r w:rsidRPr="0081082A">
        <w:rPr>
          <w:rFonts w:ascii="Times New Roman" w:hAnsi="Times New Roman" w:cs="Times New Roman"/>
          <w:sz w:val="24"/>
          <w:szCs w:val="24"/>
          <w:shd w:val="clear" w:color="auto" w:fill="FFFFFF"/>
          <w:lang w:val="sr-Cyrl-RS"/>
        </w:rPr>
        <w:t>Р</w:t>
      </w:r>
      <w:r w:rsidR="00D539B3" w:rsidRPr="0081082A">
        <w:rPr>
          <w:rFonts w:ascii="Times New Roman" w:hAnsi="Times New Roman" w:cs="Times New Roman"/>
          <w:sz w:val="24"/>
          <w:szCs w:val="24"/>
          <w:shd w:val="clear" w:color="auto" w:fill="FFFFFF"/>
          <w:lang w:val="sr-Cyrl-RS"/>
        </w:rPr>
        <w:t xml:space="preserve">епублике </w:t>
      </w:r>
      <w:r w:rsidRPr="0081082A">
        <w:rPr>
          <w:rFonts w:ascii="Times New Roman" w:hAnsi="Times New Roman" w:cs="Times New Roman"/>
          <w:sz w:val="24"/>
          <w:szCs w:val="24"/>
          <w:shd w:val="clear" w:color="auto" w:fill="FFFFFF"/>
          <w:lang w:val="sr-Cyrl-RS"/>
        </w:rPr>
        <w:t>С</w:t>
      </w:r>
      <w:r w:rsidR="00D539B3" w:rsidRPr="0081082A">
        <w:rPr>
          <w:rFonts w:ascii="Times New Roman" w:hAnsi="Times New Roman" w:cs="Times New Roman"/>
          <w:sz w:val="24"/>
          <w:szCs w:val="24"/>
          <w:shd w:val="clear" w:color="auto" w:fill="FFFFFF"/>
          <w:lang w:val="sr-Cyrl-RS"/>
        </w:rPr>
        <w:t>рбије за период</w:t>
      </w:r>
      <w:r w:rsidRPr="0081082A">
        <w:rPr>
          <w:rFonts w:ascii="Times New Roman" w:hAnsi="Times New Roman" w:cs="Times New Roman"/>
          <w:sz w:val="24"/>
          <w:szCs w:val="24"/>
          <w:shd w:val="clear" w:color="auto" w:fill="FFFFFF"/>
          <w:lang w:val="sr-Cyrl-RS"/>
        </w:rPr>
        <w:t xml:space="preserve"> 2017-</w:t>
      </w:r>
      <w:r w:rsidR="00721398" w:rsidRPr="0081082A">
        <w:rPr>
          <w:rFonts w:ascii="Times New Roman" w:hAnsi="Times New Roman" w:cs="Times New Roman"/>
          <w:sz w:val="24"/>
          <w:szCs w:val="24"/>
          <w:shd w:val="clear" w:color="auto" w:fill="FFFFFF"/>
          <w:lang w:val="sr-Cyrl-RS"/>
        </w:rPr>
        <w:t>2020</w:t>
      </w:r>
      <w:r w:rsidRPr="0081082A">
        <w:rPr>
          <w:rFonts w:ascii="Times New Roman" w:hAnsi="Times New Roman" w:cs="Times New Roman"/>
          <w:sz w:val="24"/>
          <w:szCs w:val="24"/>
          <w:shd w:val="clear" w:color="auto" w:fill="FFFFFF"/>
          <w:lang w:val="sr-Cyrl-RS"/>
        </w:rPr>
        <w:t xml:space="preserve"> и пратећег Акционог плана</w:t>
      </w:r>
      <w:r w:rsidRPr="0081082A">
        <w:rPr>
          <w:rFonts w:ascii="Times New Roman" w:hAnsi="Times New Roman" w:cs="Times New Roman"/>
          <w:sz w:val="24"/>
          <w:szCs w:val="24"/>
          <w:lang w:val="sr-Cyrl-RS"/>
        </w:rPr>
        <w:t>.</w:t>
      </w:r>
      <w:r w:rsidRPr="0081082A">
        <w:rPr>
          <w:rFonts w:ascii="Times New Roman" w:eastAsia="Calibri" w:hAnsi="Times New Roman" w:cs="Times New Roman"/>
          <w:sz w:val="24"/>
          <w:szCs w:val="24"/>
          <w:shd w:val="clear" w:color="auto" w:fill="FFFFFF"/>
          <w:lang w:val="sr-Cyrl-RS"/>
        </w:rPr>
        <w:t xml:space="preserve"> У децембру 2018. године, усвојени су најважнији прописи за функционисање Царинске службе, Царински закон</w:t>
      </w:r>
      <w:r w:rsidRPr="0081082A">
        <w:rPr>
          <w:rStyle w:val="FootnoteReference"/>
          <w:rFonts w:ascii="Times New Roman" w:eastAsia="Calibri" w:hAnsi="Times New Roman" w:cs="Times New Roman"/>
          <w:sz w:val="24"/>
          <w:szCs w:val="24"/>
          <w:shd w:val="clear" w:color="auto" w:fill="FFFFFF"/>
          <w:lang w:val="sr-Cyrl-RS"/>
        </w:rPr>
        <w:footnoteReference w:id="59"/>
      </w:r>
      <w:r w:rsidRPr="0081082A">
        <w:rPr>
          <w:rFonts w:ascii="Times New Roman" w:eastAsia="Calibri" w:hAnsi="Times New Roman" w:cs="Times New Roman"/>
          <w:sz w:val="24"/>
          <w:szCs w:val="24"/>
          <w:shd w:val="clear" w:color="auto" w:fill="FFFFFF"/>
          <w:lang w:val="sr-Cyrl-RS"/>
        </w:rPr>
        <w:t xml:space="preserve"> и Закон о царинској служби</w:t>
      </w:r>
      <w:r w:rsidRPr="0081082A">
        <w:rPr>
          <w:rStyle w:val="FootnoteReference"/>
          <w:rFonts w:ascii="Times New Roman" w:eastAsia="Calibri" w:hAnsi="Times New Roman" w:cs="Times New Roman"/>
          <w:sz w:val="24"/>
          <w:szCs w:val="24"/>
          <w:shd w:val="clear" w:color="auto" w:fill="FFFFFF"/>
          <w:lang w:val="sr-Cyrl-RS"/>
        </w:rPr>
        <w:footnoteReference w:id="60"/>
      </w:r>
      <w:r w:rsidRPr="0081082A">
        <w:rPr>
          <w:rFonts w:ascii="Times New Roman" w:hAnsi="Times New Roman" w:cs="Times New Roman"/>
          <w:sz w:val="24"/>
          <w:szCs w:val="24"/>
          <w:shd w:val="clear" w:color="auto" w:fill="FFFFFF"/>
          <w:lang w:val="sr-Cyrl-RS"/>
        </w:rPr>
        <w:t>. Развој</w:t>
      </w:r>
      <w:r w:rsidR="00721398" w:rsidRPr="0081082A">
        <w:rPr>
          <w:rFonts w:ascii="Times New Roman" w:hAnsi="Times New Roman" w:cs="Times New Roman"/>
          <w:sz w:val="24"/>
          <w:szCs w:val="24"/>
          <w:shd w:val="clear" w:color="auto" w:fill="FFFFFF"/>
          <w:lang w:val="sr-Cyrl-RS"/>
        </w:rPr>
        <w:t xml:space="preserve"> административних капацитета и промовисање политике за борбу против корупције помаже у </w:t>
      </w:r>
      <w:r w:rsidRPr="0081082A">
        <w:rPr>
          <w:rFonts w:ascii="Times New Roman" w:hAnsi="Times New Roman" w:cs="Times New Roman"/>
          <w:sz w:val="24"/>
          <w:szCs w:val="24"/>
          <w:shd w:val="clear" w:color="auto" w:fill="FFFFFF"/>
          <w:lang w:val="sr-Cyrl-RS"/>
        </w:rPr>
        <w:t>подржавању</w:t>
      </w:r>
      <w:r w:rsidR="00721398" w:rsidRPr="0081082A">
        <w:rPr>
          <w:rFonts w:ascii="Times New Roman" w:hAnsi="Times New Roman" w:cs="Times New Roman"/>
          <w:sz w:val="24"/>
          <w:szCs w:val="24"/>
          <w:shd w:val="clear" w:color="auto" w:fill="FFFFFF"/>
          <w:lang w:val="sr-Cyrl-RS"/>
        </w:rPr>
        <w:t xml:space="preserve"> професионалне, етичке и транспарентне </w:t>
      </w:r>
      <w:r w:rsidRPr="0081082A">
        <w:rPr>
          <w:rFonts w:ascii="Times New Roman" w:hAnsi="Times New Roman" w:cs="Times New Roman"/>
          <w:sz w:val="24"/>
          <w:szCs w:val="24"/>
          <w:shd w:val="clear" w:color="auto" w:fill="FFFFFF"/>
          <w:lang w:val="sr-Cyrl-RS"/>
        </w:rPr>
        <w:t>Царинске</w:t>
      </w:r>
      <w:r w:rsidR="00721398" w:rsidRPr="0081082A">
        <w:rPr>
          <w:rFonts w:ascii="Times New Roman" w:hAnsi="Times New Roman" w:cs="Times New Roman"/>
          <w:sz w:val="24"/>
          <w:szCs w:val="24"/>
          <w:shd w:val="clear" w:color="auto" w:fill="FFFFFF"/>
          <w:lang w:val="sr-Cyrl-RS"/>
        </w:rPr>
        <w:t xml:space="preserve"> службе, што је један од циљева Управе царина који доприноси целокупном систему јавних финансија.</w:t>
      </w:r>
    </w:p>
    <w:p w:rsidR="008F51DB" w:rsidRPr="0081082A" w:rsidRDefault="008F51DB" w:rsidP="008F51DB">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sz w:val="24"/>
          <w:shd w:val="clear" w:color="auto" w:fill="FFFFFF"/>
          <w:lang w:val="sr-Cyrl-RS"/>
        </w:rPr>
        <w:t>У жељи да унапреди стратешке документе од значаја за рад царинске службе, Влада је 6. фебруара 2020. године донела Закључак којим се усваја Пословни план за унапређење организације и рада царинске службе Министарства финансија за период 2020–2024. године („Службени гласник РС</w:t>
      </w:r>
      <w:r w:rsidR="007E728E" w:rsidRPr="0081082A">
        <w:rPr>
          <w:rFonts w:ascii="Times New Roman" w:hAnsi="Times New Roman"/>
          <w:sz w:val="24"/>
          <w:shd w:val="clear" w:color="auto" w:fill="FFFFFF"/>
          <w:lang w:val="sr-Cyrl-RS"/>
        </w:rPr>
        <w:t>”</w:t>
      </w:r>
      <w:r w:rsidRPr="0081082A">
        <w:rPr>
          <w:rFonts w:ascii="Times New Roman" w:hAnsi="Times New Roman"/>
          <w:sz w:val="24"/>
          <w:shd w:val="clear" w:color="auto" w:fill="FFFFFF"/>
          <w:lang w:val="sr-Cyrl-RS"/>
        </w:rPr>
        <w:t>, број 11/20). Овај план има седам стратешких циљева (ефикасна наплата прихода; ефективни царински поступци и контроле; ЕУ интеграције и унапређење међународне сарадње; развој информационих и комуникацијских технологија; стратешко управљање, модернизација и реформе; управљање људским ресурсима и развој и побољшање услова рада), чије су мере и активности детаљно разрађене.</w:t>
      </w:r>
    </w:p>
    <w:p w:rsidR="008F51DB" w:rsidRPr="0081082A" w:rsidRDefault="008F51DB" w:rsidP="008F51DB">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sz w:val="24"/>
          <w:shd w:val="clear" w:color="auto" w:fill="FFFFFF"/>
          <w:lang w:val="sr-Cyrl-RS"/>
        </w:rPr>
        <w:t>Такође, Влада је 6. фебруара 2020. године донела Закључак којим се усваја План рада за развој и коришћење електронских система царинске службе Министарства финансија за период 2020–2024. године („Службени гласник РС</w:t>
      </w:r>
      <w:r w:rsidR="007E728E" w:rsidRPr="0081082A">
        <w:rPr>
          <w:rFonts w:ascii="Times New Roman" w:hAnsi="Times New Roman"/>
          <w:sz w:val="24"/>
          <w:shd w:val="clear" w:color="auto" w:fill="FFFFFF"/>
          <w:lang w:val="sr-Cyrl-RS"/>
        </w:rPr>
        <w:t>”</w:t>
      </w:r>
      <w:r w:rsidRPr="0081082A">
        <w:rPr>
          <w:rFonts w:ascii="Times New Roman" w:hAnsi="Times New Roman"/>
          <w:sz w:val="24"/>
          <w:shd w:val="clear" w:color="auto" w:fill="FFFFFF"/>
          <w:lang w:val="sr-Cyrl-RS"/>
        </w:rPr>
        <w:t xml:space="preserve">, број 11/20) . Овај план садржи пет делова (преглед ранијих докумената развоја ИКТ УЦ; резиме „Извештаја анализе тренутног стања (АС-ИС)ˮ; збирни преглед области и смерница релевантних текућих и неопходних будућих апликација; ажурирање безбедности и инфраструктуре ИКТ, планова и смерница; преглед предложене организације и методологије ИКТ УЦ) и три </w:t>
      </w:r>
      <w:r w:rsidR="00B245BD" w:rsidRPr="0081082A">
        <w:rPr>
          <w:rFonts w:ascii="Times New Roman" w:hAnsi="Times New Roman"/>
          <w:sz w:val="24"/>
          <w:shd w:val="clear" w:color="auto" w:fill="FFFFFF"/>
          <w:lang w:val="sr-Cyrl-RS"/>
        </w:rPr>
        <w:t>а</w:t>
      </w:r>
      <w:r w:rsidRPr="0081082A">
        <w:rPr>
          <w:rFonts w:ascii="Times New Roman" w:hAnsi="Times New Roman"/>
          <w:sz w:val="24"/>
          <w:shd w:val="clear" w:color="auto" w:fill="FFFFFF"/>
          <w:lang w:val="sr-Cyrl-RS"/>
        </w:rPr>
        <w:t>некса (Стратегија за међуповезаност и интероперабилност; Организација и управљање Информационо – комуникационим технологијама и Гантов дијаграм акционог плана за спровођење Плана рада за развој и коришћење електронских система електронских система).</w:t>
      </w:r>
    </w:p>
    <w:p w:rsidR="00721398" w:rsidRPr="0081082A" w:rsidRDefault="007C633C" w:rsidP="0086546D">
      <w:pPr>
        <w:spacing w:after="0" w:line="240" w:lineRule="auto"/>
        <w:ind w:firstLine="708"/>
        <w:jc w:val="both"/>
        <w:rPr>
          <w:rFonts w:ascii="Times New Roman" w:eastAsia="Calibri" w:hAnsi="Times New Roman" w:cs="Times New Roman"/>
          <w:sz w:val="24"/>
          <w:szCs w:val="24"/>
          <w:shd w:val="clear" w:color="auto" w:fill="FFFFFF"/>
          <w:lang w:val="sr-Cyrl-RS"/>
        </w:rPr>
      </w:pPr>
      <w:r w:rsidRPr="0081082A">
        <w:rPr>
          <w:rFonts w:ascii="Times New Roman" w:eastAsia="Calibri" w:hAnsi="Times New Roman" w:cs="Times New Roman"/>
          <w:sz w:val="24"/>
          <w:szCs w:val="24"/>
          <w:shd w:val="clear" w:color="auto" w:fill="FFFFFF"/>
          <w:lang w:val="sr-Cyrl-RS"/>
        </w:rPr>
        <w:t>Стратегијом</w:t>
      </w:r>
      <w:r w:rsidR="00721398" w:rsidRPr="0081082A">
        <w:rPr>
          <w:rFonts w:ascii="Times New Roman" w:eastAsia="Calibri" w:hAnsi="Times New Roman" w:cs="Times New Roman"/>
          <w:sz w:val="24"/>
          <w:szCs w:val="24"/>
          <w:shd w:val="clear" w:color="auto" w:fill="FFFFFF"/>
          <w:lang w:val="sr-Cyrl-RS"/>
        </w:rPr>
        <w:t xml:space="preserve"> за интегрисано управљање границом за период 2017-2020. </w:t>
      </w:r>
      <w:r w:rsidRPr="0081082A">
        <w:rPr>
          <w:rFonts w:ascii="Times New Roman" w:eastAsia="Calibri" w:hAnsi="Times New Roman" w:cs="Times New Roman"/>
          <w:sz w:val="24"/>
          <w:szCs w:val="24"/>
          <w:shd w:val="clear" w:color="auto" w:fill="FFFFFF"/>
          <w:lang w:val="sr-Cyrl-RS"/>
        </w:rPr>
        <w:t>године, између осталог је планирано</w:t>
      </w:r>
      <w:r w:rsidR="00721398" w:rsidRPr="0081082A">
        <w:rPr>
          <w:rFonts w:ascii="Times New Roman" w:hAnsi="Times New Roman"/>
          <w:sz w:val="24"/>
          <w:shd w:val="clear" w:color="auto" w:fill="FFFFFF"/>
          <w:lang w:val="sr-Cyrl-RS"/>
        </w:rPr>
        <w:t xml:space="preserve"> формирање заједничких истражних тимова за борбу против корупције на граници</w:t>
      </w:r>
      <w:r w:rsidR="00721398" w:rsidRPr="0081082A">
        <w:rPr>
          <w:rFonts w:ascii="Times New Roman" w:eastAsia="Calibri" w:hAnsi="Times New Roman" w:cs="Times New Roman"/>
          <w:sz w:val="24"/>
          <w:szCs w:val="24"/>
          <w:shd w:val="clear" w:color="auto" w:fill="FFFFFF"/>
          <w:lang w:val="sr-Cyrl-RS"/>
        </w:rPr>
        <w:t>, усвојен је заједнички модел анализе ризика свих служби</w:t>
      </w:r>
      <w:r w:rsidRPr="0081082A">
        <w:rPr>
          <w:rFonts w:ascii="Times New Roman" w:eastAsia="Calibri" w:hAnsi="Times New Roman" w:cs="Times New Roman"/>
          <w:sz w:val="24"/>
          <w:szCs w:val="24"/>
          <w:shd w:val="clear" w:color="auto" w:fill="FFFFFF"/>
          <w:lang w:val="sr-Cyrl-RS"/>
        </w:rPr>
        <w:t>, а</w:t>
      </w:r>
      <w:r w:rsidR="00721398" w:rsidRPr="0081082A">
        <w:rPr>
          <w:rFonts w:ascii="Times New Roman" w:eastAsia="Calibri" w:hAnsi="Times New Roman" w:cs="Times New Roman"/>
          <w:sz w:val="24"/>
          <w:szCs w:val="24"/>
          <w:shd w:val="clear" w:color="auto" w:fill="FFFFFF"/>
          <w:lang w:val="sr-Cyrl-RS"/>
        </w:rPr>
        <w:t xml:space="preserve"> предвиђена је </w:t>
      </w:r>
      <w:r w:rsidRPr="0081082A">
        <w:rPr>
          <w:rFonts w:ascii="Times New Roman" w:eastAsia="Calibri" w:hAnsi="Times New Roman" w:cs="Times New Roman"/>
          <w:sz w:val="24"/>
          <w:szCs w:val="24"/>
          <w:shd w:val="clear" w:color="auto" w:fill="FFFFFF"/>
          <w:lang w:val="sr-Cyrl-RS"/>
        </w:rPr>
        <w:t xml:space="preserve">и </w:t>
      </w:r>
      <w:r w:rsidR="00721398" w:rsidRPr="0081082A">
        <w:rPr>
          <w:rFonts w:ascii="Times New Roman" w:eastAsia="Calibri" w:hAnsi="Times New Roman" w:cs="Times New Roman"/>
          <w:sz w:val="24"/>
          <w:szCs w:val="24"/>
          <w:shd w:val="clear" w:color="auto" w:fill="FFFFFF"/>
          <w:lang w:val="sr-Cyrl-RS"/>
        </w:rPr>
        <w:t>размена информација раног упозорења и криминалистичко-обавештајних информација.</w:t>
      </w:r>
      <w:r w:rsidRPr="0081082A">
        <w:rPr>
          <w:rFonts w:ascii="Times New Roman" w:hAnsi="Times New Roman"/>
          <w:sz w:val="24"/>
          <w:shd w:val="clear" w:color="auto" w:fill="FFFFFF"/>
          <w:lang w:val="sr-Cyrl-RS"/>
        </w:rPr>
        <w:t xml:space="preserve"> </w:t>
      </w:r>
    </w:p>
    <w:p w:rsidR="00721398" w:rsidRPr="0081082A" w:rsidRDefault="00721398" w:rsidP="0086546D">
      <w:pPr>
        <w:spacing w:after="0" w:line="240" w:lineRule="auto"/>
        <w:ind w:firstLine="708"/>
        <w:jc w:val="both"/>
        <w:rPr>
          <w:rFonts w:ascii="Times New Roman" w:eastAsia="Calibri" w:hAnsi="Times New Roman" w:cs="Times New Roman"/>
          <w:iCs/>
          <w:sz w:val="24"/>
          <w:szCs w:val="24"/>
          <w:shd w:val="clear" w:color="auto" w:fill="FFFFFF"/>
          <w:lang w:val="sr-Cyrl-RS"/>
        </w:rPr>
      </w:pPr>
      <w:r w:rsidRPr="0081082A">
        <w:rPr>
          <w:rFonts w:ascii="Times New Roman" w:eastAsia="Calibri" w:hAnsi="Times New Roman" w:cs="Times New Roman"/>
          <w:sz w:val="24"/>
          <w:szCs w:val="24"/>
          <w:shd w:val="clear" w:color="auto" w:fill="FFFFFF"/>
          <w:lang w:val="sr-Cyrl-RS"/>
        </w:rPr>
        <w:t xml:space="preserve">У току 2015. године, у Управи царина </w:t>
      </w:r>
      <w:r w:rsidR="007C633C" w:rsidRPr="0081082A">
        <w:rPr>
          <w:rFonts w:ascii="Times New Roman" w:eastAsia="Calibri" w:hAnsi="Times New Roman" w:cs="Times New Roman"/>
          <w:sz w:val="24"/>
          <w:szCs w:val="24"/>
          <w:shd w:val="clear" w:color="auto" w:fill="FFFFFF"/>
          <w:lang w:val="sr-Cyrl-RS"/>
        </w:rPr>
        <w:t>започето</w:t>
      </w:r>
      <w:r w:rsidRPr="0081082A">
        <w:rPr>
          <w:rFonts w:ascii="Times New Roman" w:eastAsia="Calibri" w:hAnsi="Times New Roman" w:cs="Times New Roman"/>
          <w:sz w:val="24"/>
          <w:szCs w:val="24"/>
          <w:shd w:val="clear" w:color="auto" w:fill="FFFFFF"/>
          <w:lang w:val="sr-Cyrl-RS"/>
        </w:rPr>
        <w:t xml:space="preserve"> је </w:t>
      </w:r>
      <w:r w:rsidR="007C633C" w:rsidRPr="0081082A">
        <w:rPr>
          <w:rFonts w:ascii="Times New Roman" w:eastAsia="Calibri" w:hAnsi="Times New Roman" w:cs="Times New Roman"/>
          <w:sz w:val="24"/>
          <w:szCs w:val="24"/>
          <w:shd w:val="clear" w:color="auto" w:fill="FFFFFF"/>
          <w:lang w:val="sr-Cyrl-RS"/>
        </w:rPr>
        <w:t>спровођење</w:t>
      </w:r>
      <w:r w:rsidRPr="0081082A">
        <w:rPr>
          <w:rFonts w:ascii="Times New Roman" w:eastAsia="Calibri" w:hAnsi="Times New Roman" w:cs="Times New Roman"/>
          <w:sz w:val="24"/>
          <w:szCs w:val="24"/>
          <w:shd w:val="clear" w:color="auto" w:fill="FFFFFF"/>
          <w:lang w:val="sr-Cyrl-RS"/>
        </w:rPr>
        <w:t xml:space="preserve"> новог Националног транзитног поступка по правилима Заједничког транзитног поступка ЕУ</w:t>
      </w:r>
      <w:r w:rsidR="007C633C" w:rsidRPr="0081082A">
        <w:rPr>
          <w:rFonts w:ascii="Times New Roman" w:eastAsia="Calibri" w:hAnsi="Times New Roman" w:cs="Times New Roman"/>
          <w:sz w:val="24"/>
          <w:szCs w:val="24"/>
          <w:shd w:val="clear" w:color="auto" w:fill="FFFFFF"/>
          <w:lang w:val="sr-Cyrl-RS"/>
        </w:rPr>
        <w:t xml:space="preserve">, </w:t>
      </w:r>
      <w:r w:rsidR="007C633C" w:rsidRPr="0081082A">
        <w:rPr>
          <w:rFonts w:ascii="Times New Roman" w:eastAsia="Calibri" w:hAnsi="Times New Roman" w:cs="Times New Roman"/>
          <w:sz w:val="24"/>
          <w:szCs w:val="24"/>
          <w:shd w:val="clear" w:color="auto" w:fill="FFFFFF"/>
          <w:lang w:val="sr-Cyrl-RS"/>
        </w:rPr>
        <w:lastRenderedPageBreak/>
        <w:t>уз коришћење апликације</w:t>
      </w:r>
      <w:r w:rsidRPr="0081082A">
        <w:rPr>
          <w:rFonts w:ascii="Times New Roman" w:eastAsia="Calibri" w:hAnsi="Times New Roman" w:cs="Times New Roman"/>
          <w:sz w:val="24"/>
          <w:szCs w:val="24"/>
          <w:shd w:val="clear" w:color="auto" w:fill="FFFFFF"/>
          <w:lang w:val="sr-Cyrl-RS"/>
        </w:rPr>
        <w:t xml:space="preserve"> за аутоматску евалуацију ризика и оријентацију </w:t>
      </w:r>
      <w:r w:rsidRPr="0081082A">
        <w:rPr>
          <w:rFonts w:ascii="Times New Roman" w:hAnsi="Times New Roman"/>
          <w:sz w:val="24"/>
          <w:shd w:val="clear" w:color="auto" w:fill="FFFFFF"/>
          <w:lang w:val="sr-Cyrl-RS"/>
        </w:rPr>
        <w:t xml:space="preserve">контрола </w:t>
      </w:r>
      <w:r w:rsidRPr="0081082A">
        <w:rPr>
          <w:rFonts w:ascii="Times New Roman" w:hAnsi="Times New Roman"/>
          <w:i/>
          <w:sz w:val="24"/>
          <w:shd w:val="clear" w:color="auto" w:fill="FFFFFF"/>
          <w:lang w:val="sr-Cyrl-RS"/>
        </w:rPr>
        <w:t>ERIAN</w:t>
      </w:r>
      <w:r w:rsidRPr="0081082A">
        <w:rPr>
          <w:rFonts w:ascii="Times New Roman" w:eastAsia="Calibri" w:hAnsi="Times New Roman" w:cs="Times New Roman"/>
          <w:sz w:val="24"/>
          <w:szCs w:val="24"/>
          <w:shd w:val="clear" w:color="auto" w:fill="FFFFFF"/>
          <w:vertAlign w:val="superscript"/>
          <w:lang w:val="sr-Cyrl-RS"/>
        </w:rPr>
        <w:footnoteReference w:id="61"/>
      </w:r>
      <w:r w:rsidR="007C633C" w:rsidRPr="0081082A">
        <w:rPr>
          <w:rFonts w:ascii="Times New Roman" w:eastAsia="Calibri" w:hAnsi="Times New Roman" w:cs="Times New Roman"/>
          <w:sz w:val="24"/>
          <w:szCs w:val="24"/>
          <w:shd w:val="clear" w:color="auto" w:fill="FFFFFF"/>
          <w:lang w:val="sr-Cyrl-RS"/>
        </w:rPr>
        <w:t>.</w:t>
      </w:r>
      <w:r w:rsidR="007C633C" w:rsidRPr="0081082A">
        <w:rPr>
          <w:rStyle w:val="FootnoteReference"/>
          <w:rFonts w:ascii="Times New Roman" w:eastAsia="Calibri" w:hAnsi="Times New Roman" w:cs="Times New Roman"/>
          <w:sz w:val="24"/>
          <w:szCs w:val="24"/>
          <w:shd w:val="clear" w:color="auto" w:fill="FFFFFF"/>
          <w:lang w:val="sr-Cyrl-RS"/>
        </w:rPr>
        <w:footnoteReference w:id="62"/>
      </w:r>
      <w:r w:rsidR="007C633C" w:rsidRPr="0081082A">
        <w:rPr>
          <w:rFonts w:ascii="Times New Roman" w:eastAsia="Calibri" w:hAnsi="Times New Roman" w:cs="Times New Roman"/>
          <w:sz w:val="24"/>
          <w:szCs w:val="24"/>
          <w:shd w:val="clear" w:color="auto" w:fill="FFFFFF"/>
          <w:lang w:val="sr-Cyrl-RS"/>
        </w:rPr>
        <w:t xml:space="preserve"> </w:t>
      </w:r>
      <w:r w:rsidR="007C633C" w:rsidRPr="0081082A">
        <w:rPr>
          <w:rFonts w:ascii="Times New Roman" w:eastAsia="Calibri" w:hAnsi="Times New Roman" w:cs="Times New Roman"/>
          <w:iCs/>
          <w:sz w:val="24"/>
          <w:szCs w:val="24"/>
          <w:shd w:val="clear" w:color="auto" w:fill="FFFFFF"/>
          <w:lang w:val="sr-Cyrl-RS"/>
        </w:rPr>
        <w:t xml:space="preserve"> </w:t>
      </w:r>
    </w:p>
    <w:p w:rsidR="007C633C" w:rsidRPr="0081082A" w:rsidRDefault="00721398" w:rsidP="0086546D">
      <w:pPr>
        <w:spacing w:after="0" w:line="240" w:lineRule="auto"/>
        <w:ind w:firstLine="708"/>
        <w:jc w:val="both"/>
        <w:rPr>
          <w:rFonts w:ascii="Times New Roman" w:eastAsia="Calibri" w:hAnsi="Times New Roman" w:cs="Times New Roman"/>
          <w:iCs/>
          <w:sz w:val="24"/>
          <w:szCs w:val="24"/>
          <w:shd w:val="clear" w:color="auto" w:fill="FFFFFF"/>
          <w:lang w:val="sr-Cyrl-RS"/>
        </w:rPr>
      </w:pPr>
      <w:r w:rsidRPr="0081082A">
        <w:rPr>
          <w:rFonts w:ascii="Times New Roman" w:eastAsia="Calibri" w:hAnsi="Times New Roman" w:cs="Times New Roman"/>
          <w:iCs/>
          <w:sz w:val="24"/>
          <w:szCs w:val="24"/>
          <w:shd w:val="clear" w:color="auto" w:fill="FFFFFF"/>
          <w:lang w:val="sr-Cyrl-RS"/>
        </w:rPr>
        <w:t xml:space="preserve">Осим система за управљање ризиком, Управа царина је у септембру 2017. године започела активности ка стварању услова за </w:t>
      </w:r>
      <w:r w:rsidR="007C633C" w:rsidRPr="0081082A">
        <w:rPr>
          <w:rFonts w:ascii="Times New Roman" w:eastAsia="Calibri" w:hAnsi="Times New Roman" w:cs="Times New Roman"/>
          <w:iCs/>
          <w:sz w:val="24"/>
          <w:szCs w:val="24"/>
          <w:shd w:val="clear" w:color="auto" w:fill="FFFFFF"/>
          <w:lang w:val="sr-Cyrl-RS"/>
        </w:rPr>
        <w:t xml:space="preserve">спровођење </w:t>
      </w:r>
      <w:r w:rsidRPr="0081082A">
        <w:rPr>
          <w:rFonts w:ascii="Times New Roman" w:eastAsia="Calibri" w:hAnsi="Times New Roman" w:cs="Times New Roman"/>
          <w:iCs/>
          <w:sz w:val="24"/>
          <w:szCs w:val="24"/>
          <w:shd w:val="clear" w:color="auto" w:fill="FFFFFF"/>
          <w:lang w:val="sr-Cyrl-RS"/>
        </w:rPr>
        <w:t xml:space="preserve">европских стандарда и процедура које се односе на аутоматизовани систем извоза </w:t>
      </w:r>
      <w:r w:rsidR="007C633C" w:rsidRPr="0081082A">
        <w:rPr>
          <w:rFonts w:ascii="Times New Roman" w:eastAsia="Calibri" w:hAnsi="Times New Roman" w:cs="Times New Roman"/>
          <w:iCs/>
          <w:sz w:val="24"/>
          <w:szCs w:val="24"/>
          <w:shd w:val="clear" w:color="auto" w:fill="FFFFFF"/>
          <w:lang w:val="sr-Cyrl-RS"/>
        </w:rPr>
        <w:t>и увоза (АES/AIS</w:t>
      </w:r>
      <w:r w:rsidRPr="0081082A">
        <w:rPr>
          <w:rFonts w:ascii="Times New Roman" w:eastAsia="Calibri" w:hAnsi="Times New Roman" w:cs="Times New Roman"/>
          <w:iCs/>
          <w:sz w:val="24"/>
          <w:szCs w:val="24"/>
          <w:shd w:val="clear" w:color="auto" w:fill="FFFFFF"/>
          <w:lang w:val="sr-Cyrl-RS"/>
        </w:rPr>
        <w:t xml:space="preserve">), као и на систем управљања царинским одлукама. </w:t>
      </w:r>
      <w:r w:rsidR="007C633C" w:rsidRPr="0081082A">
        <w:rPr>
          <w:rFonts w:ascii="Times New Roman" w:eastAsia="Calibri" w:hAnsi="Times New Roman" w:cs="Times New Roman"/>
          <w:iCs/>
          <w:sz w:val="24"/>
          <w:szCs w:val="24"/>
          <w:shd w:val="clear" w:color="auto" w:fill="FFFFFF"/>
          <w:lang w:val="sr-Cyrl-RS"/>
        </w:rPr>
        <w:t>Систем омогућава електронску размену порука између царине и привредних субјеката, чиме се укида употреба постојећег обрасца царинске декларације</w:t>
      </w:r>
      <w:r w:rsidR="00DD715A" w:rsidRPr="0081082A">
        <w:rPr>
          <w:rFonts w:ascii="Times New Roman" w:eastAsia="Calibri" w:hAnsi="Times New Roman" w:cs="Times New Roman"/>
          <w:iCs/>
          <w:sz w:val="24"/>
          <w:szCs w:val="24"/>
          <w:shd w:val="clear" w:color="auto" w:fill="FFFFFF"/>
          <w:lang w:val="sr-Cyrl-RS"/>
        </w:rPr>
        <w:t xml:space="preserve"> </w:t>
      </w:r>
      <w:r w:rsidR="007C633C" w:rsidRPr="0081082A">
        <w:rPr>
          <w:rFonts w:ascii="Times New Roman" w:eastAsia="Calibri" w:hAnsi="Times New Roman" w:cs="Times New Roman"/>
          <w:iCs/>
          <w:sz w:val="24"/>
          <w:szCs w:val="24"/>
          <w:shd w:val="clear" w:color="auto" w:fill="FFFFFF"/>
          <w:lang w:val="sr-Cyrl-RS"/>
        </w:rPr>
        <w:t>и смањују трошкови спровођења царинског поступка. Контрола улазних/излазних декларација (претходна најава) омогућава успостављање равнотеже између царинских контрола и легалне трговине, која ће допринети смањењу броја контролисаних декларација у поступку царињења. Поред тога, знатно ће се унапредити примена адекватних контролних механизама у поједностављеним поступцима.</w:t>
      </w:r>
    </w:p>
    <w:p w:rsidR="00721398" w:rsidRPr="0081082A" w:rsidRDefault="00721398" w:rsidP="0086546D">
      <w:pPr>
        <w:spacing w:after="0" w:line="240" w:lineRule="auto"/>
        <w:ind w:firstLine="708"/>
        <w:jc w:val="both"/>
        <w:rPr>
          <w:rFonts w:ascii="Times New Roman" w:eastAsia="Calibri" w:hAnsi="Times New Roman" w:cs="Times New Roman"/>
          <w:iCs/>
          <w:sz w:val="24"/>
          <w:szCs w:val="24"/>
          <w:shd w:val="clear" w:color="auto" w:fill="FFFFFF"/>
          <w:lang w:val="sr-Cyrl-RS"/>
        </w:rPr>
      </w:pPr>
      <w:r w:rsidRPr="0081082A">
        <w:rPr>
          <w:rFonts w:ascii="Times New Roman" w:eastAsia="Calibri" w:hAnsi="Times New Roman" w:cs="Times New Roman"/>
          <w:iCs/>
          <w:sz w:val="24"/>
          <w:szCs w:val="24"/>
          <w:shd w:val="clear" w:color="auto" w:fill="FFFFFF"/>
          <w:lang w:val="sr-Cyrl-RS"/>
        </w:rPr>
        <w:t>У циљу олакшавања трговине између земаља чланица ЦЕФТА, у 2018. години, ступио је на снагу</w:t>
      </w:r>
      <w:r w:rsidR="007C633C" w:rsidRPr="0081082A">
        <w:rPr>
          <w:rFonts w:ascii="Times New Roman" w:eastAsia="Calibri" w:hAnsi="Times New Roman" w:cs="Times New Roman"/>
          <w:iCs/>
          <w:sz w:val="24"/>
          <w:szCs w:val="24"/>
          <w:shd w:val="clear" w:color="auto" w:fill="FFFFFF"/>
          <w:lang w:val="sr-Cyrl-RS"/>
        </w:rPr>
        <w:t xml:space="preserve"> </w:t>
      </w:r>
      <w:r w:rsidRPr="0081082A">
        <w:rPr>
          <w:rFonts w:ascii="Times New Roman" w:hAnsi="Times New Roman"/>
          <w:sz w:val="24"/>
          <w:shd w:val="clear" w:color="auto" w:fill="FFFFFF"/>
          <w:lang w:val="sr-Cyrl-RS"/>
        </w:rPr>
        <w:t>„Додатни протокол 5</w:t>
      </w:r>
      <w:r w:rsidR="007E728E" w:rsidRPr="0081082A">
        <w:rPr>
          <w:rFonts w:ascii="Times New Roman" w:hAnsi="Times New Roman"/>
          <w:sz w:val="24"/>
          <w:shd w:val="clear" w:color="auto" w:fill="FFFFFF"/>
          <w:lang w:val="sr-Cyrl-RS"/>
        </w:rPr>
        <w:t>”</w:t>
      </w:r>
      <w:r w:rsidR="007C633C" w:rsidRPr="0081082A">
        <w:rPr>
          <w:rFonts w:ascii="Times New Roman" w:eastAsia="Calibri" w:hAnsi="Times New Roman" w:cs="Times New Roman"/>
          <w:iCs/>
          <w:sz w:val="24"/>
          <w:szCs w:val="24"/>
          <w:shd w:val="clear" w:color="auto" w:fill="FFFFFF"/>
          <w:lang w:val="sr-Cyrl-RS"/>
        </w:rPr>
        <w:t>, којим се, између осталог, предвиђа узајамно признавање статуса овлашћеног привредног субјекта (АЕО). Имајући у виду да овај статус могу добити привредни субјекти који у одређеном периоду, између осталог, нису чинили озбиљније повреде царинских и пореских прописа и који</w:t>
      </w:r>
      <w:r w:rsidR="007B61FC" w:rsidRPr="0081082A">
        <w:rPr>
          <w:rFonts w:ascii="Times New Roman" w:eastAsia="Calibri" w:hAnsi="Times New Roman" w:cs="Times New Roman"/>
          <w:iCs/>
          <w:sz w:val="24"/>
          <w:szCs w:val="24"/>
          <w:shd w:val="clear" w:color="auto" w:fill="FFFFFF"/>
          <w:lang w:val="sr-Cyrl-RS"/>
        </w:rPr>
        <w:t xml:space="preserve"> </w:t>
      </w:r>
      <w:r w:rsidR="007C633C" w:rsidRPr="0081082A">
        <w:rPr>
          <w:rFonts w:ascii="Times New Roman" w:eastAsia="Calibri" w:hAnsi="Times New Roman" w:cs="Times New Roman"/>
          <w:iCs/>
          <w:sz w:val="24"/>
          <w:szCs w:val="24"/>
          <w:shd w:val="clear" w:color="auto" w:fill="FFFFFF"/>
          <w:lang w:val="sr-Cyrl-RS"/>
        </w:rPr>
        <w:t xml:space="preserve">могу да докажу финансијску ликвидност, може се очекивати да ће установљени систем допринети олакшању трговине, уз сигурност у погледу правилног обрачуна и благовремене наплате увозних дажбина.  </w:t>
      </w:r>
    </w:p>
    <w:p w:rsidR="007C633C" w:rsidRPr="0081082A" w:rsidRDefault="007C633C" w:rsidP="0086546D">
      <w:pPr>
        <w:spacing w:after="0" w:line="240" w:lineRule="auto"/>
        <w:ind w:firstLine="708"/>
        <w:jc w:val="both"/>
        <w:rPr>
          <w:rFonts w:ascii="Times New Roman" w:eastAsia="Calibri" w:hAnsi="Times New Roman" w:cs="Times New Roman"/>
          <w:iCs/>
          <w:sz w:val="24"/>
          <w:szCs w:val="24"/>
          <w:shd w:val="clear" w:color="auto" w:fill="FFFFFF"/>
          <w:lang w:val="sr-Cyrl-RS"/>
        </w:rPr>
      </w:pPr>
      <w:r w:rsidRPr="0081082A">
        <w:rPr>
          <w:rFonts w:ascii="Times New Roman" w:eastAsia="Calibri" w:hAnsi="Times New Roman" w:cs="Times New Roman"/>
          <w:iCs/>
          <w:sz w:val="24"/>
          <w:szCs w:val="24"/>
          <w:shd w:val="clear" w:color="auto" w:fill="FFFFFF"/>
          <w:lang w:val="sr-Cyrl-RS"/>
        </w:rPr>
        <w:t>У посматраном периоду, као део примене система финансијског управљања и контроле, успостављени су Регистар оперативних ризика Управе царина и Методолошке смернице за рад</w:t>
      </w:r>
      <w:r w:rsidRPr="0081082A">
        <w:rPr>
          <w:lang w:val="sr-Cyrl-RS"/>
        </w:rPr>
        <w:t xml:space="preserve"> </w:t>
      </w:r>
      <w:r w:rsidRPr="0081082A">
        <w:rPr>
          <w:rFonts w:ascii="Times New Roman" w:eastAsia="Calibri" w:hAnsi="Times New Roman" w:cs="Times New Roman"/>
          <w:iCs/>
          <w:sz w:val="24"/>
          <w:szCs w:val="24"/>
          <w:shd w:val="clear" w:color="auto" w:fill="FFFFFF"/>
          <w:lang w:val="sr-Cyrl-RS"/>
        </w:rPr>
        <w:t xml:space="preserve">Одељења интерне ревизије. </w:t>
      </w:r>
    </w:p>
    <w:p w:rsidR="00721398" w:rsidRPr="0081082A" w:rsidRDefault="00721398" w:rsidP="0086546D">
      <w:pPr>
        <w:spacing w:after="0" w:line="240" w:lineRule="auto"/>
        <w:ind w:firstLine="708"/>
        <w:jc w:val="both"/>
        <w:rPr>
          <w:rFonts w:ascii="Times New Roman" w:eastAsia="Calibri" w:hAnsi="Times New Roman" w:cs="Times New Roman"/>
          <w:sz w:val="24"/>
          <w:szCs w:val="24"/>
          <w:shd w:val="clear" w:color="auto" w:fill="FFFFFF"/>
          <w:lang w:val="sr-Cyrl-RS"/>
        </w:rPr>
      </w:pPr>
      <w:r w:rsidRPr="0081082A">
        <w:rPr>
          <w:rFonts w:ascii="Times New Roman" w:eastAsia="Calibri" w:hAnsi="Times New Roman" w:cs="Times New Roman"/>
          <w:sz w:val="24"/>
          <w:szCs w:val="24"/>
          <w:shd w:val="clear" w:color="auto" w:fill="FFFFFF"/>
          <w:lang w:val="sr-Cyrl-RS"/>
        </w:rPr>
        <w:t>Модернизација Царинске лабораторије представља једну од кључних активности Управе царина ка стварању модерног система испитивања робе</w:t>
      </w:r>
      <w:r w:rsidR="007C633C" w:rsidRPr="0081082A">
        <w:rPr>
          <w:rFonts w:ascii="Times New Roman" w:eastAsia="Calibri" w:hAnsi="Times New Roman" w:cs="Times New Roman"/>
          <w:sz w:val="24"/>
          <w:szCs w:val="24"/>
          <w:shd w:val="clear" w:color="auto" w:fill="FFFFFF"/>
          <w:lang w:val="sr-Cyrl-RS"/>
        </w:rPr>
        <w:t xml:space="preserve"> ради </w:t>
      </w:r>
      <w:r w:rsidR="001E058C" w:rsidRPr="0081082A">
        <w:rPr>
          <w:rFonts w:ascii="Times New Roman" w:eastAsia="Calibri" w:hAnsi="Times New Roman" w:cs="Times New Roman"/>
          <w:sz w:val="24"/>
          <w:szCs w:val="24"/>
          <w:shd w:val="clear" w:color="auto" w:fill="FFFFFF"/>
          <w:lang w:val="sr-Cyrl-RS"/>
        </w:rPr>
        <w:t>њене</w:t>
      </w:r>
      <w:r w:rsidR="007C633C" w:rsidRPr="0081082A">
        <w:rPr>
          <w:rFonts w:ascii="Times New Roman" w:eastAsia="Calibri" w:hAnsi="Times New Roman" w:cs="Times New Roman"/>
          <w:sz w:val="24"/>
          <w:szCs w:val="24"/>
          <w:shd w:val="clear" w:color="auto" w:fill="FFFFFF"/>
          <w:lang w:val="sr-Cyrl-RS"/>
        </w:rPr>
        <w:t xml:space="preserve"> </w:t>
      </w:r>
      <w:r w:rsidR="001E058C" w:rsidRPr="0081082A">
        <w:rPr>
          <w:rFonts w:ascii="Times New Roman" w:eastAsia="Calibri" w:hAnsi="Times New Roman" w:cs="Times New Roman"/>
          <w:sz w:val="24"/>
          <w:szCs w:val="24"/>
          <w:shd w:val="clear" w:color="auto" w:fill="FFFFFF"/>
          <w:lang w:val="sr-Cyrl-RS"/>
        </w:rPr>
        <w:t>идентификације, сврставања по ЦТ</w:t>
      </w:r>
      <w:r w:rsidR="007C633C" w:rsidRPr="0081082A">
        <w:rPr>
          <w:rFonts w:ascii="Times New Roman" w:eastAsia="Calibri" w:hAnsi="Times New Roman" w:cs="Times New Roman"/>
          <w:sz w:val="24"/>
          <w:szCs w:val="24"/>
          <w:shd w:val="clear" w:color="auto" w:fill="FFFFFF"/>
          <w:lang w:val="sr-Cyrl-RS"/>
        </w:rPr>
        <w:t xml:space="preserve"> и правилног обрачуна дажбина.</w:t>
      </w:r>
      <w:r w:rsidR="00146274" w:rsidRPr="0081082A">
        <w:rPr>
          <w:rFonts w:ascii="Times New Roman" w:eastAsia="Calibri" w:hAnsi="Times New Roman" w:cs="Times New Roman"/>
          <w:sz w:val="24"/>
          <w:szCs w:val="24"/>
          <w:shd w:val="clear" w:color="auto" w:fill="FFFFFF"/>
          <w:lang w:val="sr-Cyrl-RS"/>
        </w:rPr>
        <w:t xml:space="preserve"> Резултати пројек</w:t>
      </w:r>
      <w:r w:rsidRPr="0081082A">
        <w:rPr>
          <w:rFonts w:ascii="Times New Roman" w:eastAsia="Calibri" w:hAnsi="Times New Roman" w:cs="Times New Roman"/>
          <w:sz w:val="24"/>
          <w:szCs w:val="24"/>
          <w:shd w:val="clear" w:color="auto" w:fill="FFFFFF"/>
          <w:lang w:val="sr-Cyrl-RS"/>
        </w:rPr>
        <w:t xml:space="preserve">та </w:t>
      </w:r>
      <w:r w:rsidR="007C633C" w:rsidRPr="0081082A">
        <w:rPr>
          <w:rFonts w:ascii="Times New Roman" w:eastAsia="Calibri" w:hAnsi="Times New Roman" w:cs="Times New Roman"/>
          <w:sz w:val="24"/>
          <w:szCs w:val="24"/>
          <w:shd w:val="clear" w:color="auto" w:fill="FFFFFF"/>
          <w:lang w:val="sr-Cyrl-RS"/>
        </w:rPr>
        <w:t>„</w:t>
      </w:r>
      <w:r w:rsidRPr="0081082A">
        <w:rPr>
          <w:rFonts w:ascii="Times New Roman" w:eastAsia="Calibri" w:hAnsi="Times New Roman" w:cs="Times New Roman"/>
          <w:sz w:val="24"/>
          <w:szCs w:val="24"/>
          <w:shd w:val="clear" w:color="auto" w:fill="FFFFFF"/>
          <w:lang w:val="sr-Cyrl-RS"/>
        </w:rPr>
        <w:t xml:space="preserve">Стварање услова за јачање капацитета лабораторије Управе царина </w:t>
      </w:r>
      <w:r w:rsidR="007C633C" w:rsidRPr="0081082A">
        <w:rPr>
          <w:rFonts w:ascii="Times New Roman" w:eastAsia="Calibri" w:hAnsi="Times New Roman" w:cs="Times New Roman"/>
          <w:sz w:val="24"/>
          <w:szCs w:val="24"/>
          <w:shd w:val="clear" w:color="auto" w:fill="FFFFFF"/>
          <w:lang w:val="sr-Cyrl-RS"/>
        </w:rPr>
        <w:t>РС</w:t>
      </w:r>
      <w:r w:rsidR="007E728E" w:rsidRPr="0081082A">
        <w:rPr>
          <w:rFonts w:ascii="Times New Roman" w:eastAsia="Calibri" w:hAnsi="Times New Roman" w:cs="Times New Roman"/>
          <w:sz w:val="24"/>
          <w:szCs w:val="24"/>
          <w:shd w:val="clear" w:color="auto" w:fill="FFFFFF"/>
          <w:lang w:val="sr-Cyrl-RS"/>
        </w:rPr>
        <w:t>”</w:t>
      </w:r>
      <w:r w:rsidRPr="0081082A">
        <w:rPr>
          <w:rFonts w:ascii="Times New Roman" w:eastAsia="Calibri" w:hAnsi="Times New Roman" w:cs="Times New Roman"/>
          <w:sz w:val="24"/>
          <w:szCs w:val="24"/>
          <w:shd w:val="clear" w:color="auto" w:fill="FFFFFF"/>
          <w:lang w:val="sr-Cyrl-RS"/>
        </w:rPr>
        <w:t xml:space="preserve"> завршеног у децембру 2017. године</w:t>
      </w:r>
      <w:r w:rsidR="007C633C" w:rsidRPr="0081082A">
        <w:rPr>
          <w:rFonts w:ascii="Times New Roman" w:eastAsia="Calibri" w:hAnsi="Times New Roman" w:cs="Times New Roman"/>
          <w:sz w:val="24"/>
          <w:szCs w:val="24"/>
          <w:shd w:val="clear" w:color="auto" w:fill="FFFFFF"/>
          <w:lang w:val="sr-Cyrl-RS"/>
        </w:rPr>
        <w:t>,</w:t>
      </w:r>
      <w:r w:rsidRPr="0081082A">
        <w:rPr>
          <w:rFonts w:ascii="Times New Roman" w:eastAsia="Calibri" w:hAnsi="Times New Roman" w:cs="Times New Roman"/>
          <w:sz w:val="24"/>
          <w:szCs w:val="24"/>
          <w:shd w:val="clear" w:color="auto" w:fill="FFFFFF"/>
          <w:lang w:val="sr-Cyrl-RS"/>
        </w:rPr>
        <w:t xml:space="preserve"> представљају полазну основу за све кораке у процесу модернизације Царинске лабораторије. </w:t>
      </w:r>
      <w:r w:rsidR="007C633C" w:rsidRPr="0081082A">
        <w:rPr>
          <w:rFonts w:ascii="Times New Roman" w:eastAsia="Calibri" w:hAnsi="Times New Roman" w:cs="Times New Roman"/>
          <w:sz w:val="24"/>
          <w:szCs w:val="24"/>
          <w:shd w:val="clear" w:color="auto" w:fill="FFFFFF"/>
          <w:lang w:val="sr-Cyrl-RS"/>
        </w:rPr>
        <w:t>У 2018. години, спроведена је обука</w:t>
      </w:r>
      <w:r w:rsidRPr="0081082A">
        <w:rPr>
          <w:rFonts w:ascii="Times New Roman" w:eastAsia="Calibri" w:hAnsi="Times New Roman" w:cs="Times New Roman"/>
          <w:sz w:val="24"/>
          <w:szCs w:val="24"/>
          <w:shd w:val="clear" w:color="auto" w:fill="FFFFFF"/>
          <w:lang w:val="sr-Cyrl-RS"/>
        </w:rPr>
        <w:t xml:space="preserve"> која се односи на упознавање са захтевима стандарда за рад у лабораторији</w:t>
      </w:r>
      <w:r w:rsidR="007C633C" w:rsidRPr="0081082A">
        <w:rPr>
          <w:rStyle w:val="FootnoteReference"/>
          <w:rFonts w:ascii="Times New Roman" w:eastAsia="Calibri" w:hAnsi="Times New Roman" w:cs="Times New Roman"/>
          <w:sz w:val="24"/>
          <w:szCs w:val="24"/>
          <w:shd w:val="clear" w:color="auto" w:fill="FFFFFF"/>
          <w:lang w:val="sr-Cyrl-RS"/>
        </w:rPr>
        <w:footnoteReference w:id="63"/>
      </w:r>
      <w:r w:rsidR="007C633C" w:rsidRPr="0081082A">
        <w:rPr>
          <w:rFonts w:ascii="Times New Roman" w:eastAsia="Calibri" w:hAnsi="Times New Roman" w:cs="Times New Roman"/>
          <w:sz w:val="24"/>
          <w:szCs w:val="24"/>
          <w:shd w:val="clear" w:color="auto" w:fill="FFFFFF"/>
          <w:lang w:val="sr-Cyrl-RS"/>
        </w:rPr>
        <w:t>, а у 2019. години</w:t>
      </w:r>
      <w:r w:rsidRPr="0081082A">
        <w:rPr>
          <w:rFonts w:ascii="Times New Roman" w:eastAsia="Calibri" w:hAnsi="Times New Roman" w:cs="Times New Roman"/>
          <w:sz w:val="24"/>
          <w:szCs w:val="24"/>
          <w:shd w:val="clear" w:color="auto" w:fill="FFFFFF"/>
          <w:lang w:val="sr-Cyrl-RS"/>
        </w:rPr>
        <w:t xml:space="preserve"> спроведена је </w:t>
      </w:r>
      <w:r w:rsidRPr="0081082A">
        <w:rPr>
          <w:rFonts w:ascii="Times New Roman" w:hAnsi="Times New Roman"/>
          <w:i/>
          <w:sz w:val="24"/>
          <w:shd w:val="clear" w:color="auto" w:fill="FFFFFF"/>
          <w:lang w:val="sr-Cyrl-RS"/>
        </w:rPr>
        <w:t xml:space="preserve">TAIEX </w:t>
      </w:r>
      <w:r w:rsidRPr="0081082A">
        <w:rPr>
          <w:rFonts w:ascii="Times New Roman" w:eastAsia="Calibri" w:hAnsi="Times New Roman" w:cs="Times New Roman"/>
          <w:sz w:val="24"/>
          <w:szCs w:val="24"/>
          <w:shd w:val="clear" w:color="auto" w:fill="FFFFFF"/>
          <w:lang w:val="sr-Cyrl-RS"/>
        </w:rPr>
        <w:t xml:space="preserve">експертска мисија </w:t>
      </w:r>
      <w:r w:rsidR="007C633C" w:rsidRPr="0081082A">
        <w:rPr>
          <w:rFonts w:ascii="Times New Roman" w:eastAsia="Calibri" w:hAnsi="Times New Roman" w:cs="Times New Roman"/>
          <w:sz w:val="24"/>
          <w:szCs w:val="24"/>
          <w:shd w:val="clear" w:color="auto" w:fill="FFFFFF"/>
          <w:lang w:val="sr-Cyrl-RS"/>
        </w:rPr>
        <w:t>„</w:t>
      </w:r>
      <w:r w:rsidRPr="0081082A">
        <w:rPr>
          <w:rFonts w:ascii="Times New Roman" w:eastAsia="Calibri" w:hAnsi="Times New Roman" w:cs="Times New Roman"/>
          <w:sz w:val="24"/>
          <w:szCs w:val="24"/>
          <w:shd w:val="clear" w:color="auto" w:fill="FFFFFF"/>
          <w:lang w:val="sr-Cyrl-RS"/>
        </w:rPr>
        <w:t>Унапређење и развој Царинске лабораторије Србије</w:t>
      </w:r>
      <w:r w:rsidR="007E728E" w:rsidRPr="0081082A">
        <w:rPr>
          <w:rFonts w:ascii="Times New Roman" w:eastAsia="Calibri" w:hAnsi="Times New Roman" w:cs="Times New Roman"/>
          <w:sz w:val="24"/>
          <w:szCs w:val="24"/>
          <w:shd w:val="clear" w:color="auto" w:fill="FFFFFF"/>
          <w:lang w:val="sr-Cyrl-RS"/>
        </w:rPr>
        <w:t>”</w:t>
      </w:r>
      <w:r w:rsidRPr="0081082A">
        <w:rPr>
          <w:rFonts w:ascii="Times New Roman" w:eastAsia="Calibri" w:hAnsi="Times New Roman" w:cs="Times New Roman"/>
          <w:sz w:val="24"/>
          <w:szCs w:val="24"/>
          <w:shd w:val="clear" w:color="auto" w:fill="FFFFFF"/>
          <w:lang w:val="sr-Cyrl-RS"/>
        </w:rPr>
        <w:t xml:space="preserve"> </w:t>
      </w:r>
      <w:r w:rsidR="007C633C" w:rsidRPr="0081082A">
        <w:rPr>
          <w:rFonts w:ascii="Times New Roman" w:eastAsia="Calibri" w:hAnsi="Times New Roman" w:cs="Times New Roman"/>
          <w:sz w:val="24"/>
          <w:szCs w:val="24"/>
          <w:shd w:val="clear" w:color="auto" w:fill="FFFFFF"/>
          <w:lang w:val="sr-Cyrl-RS"/>
        </w:rPr>
        <w:t>у погледу</w:t>
      </w:r>
      <w:r w:rsidRPr="0081082A">
        <w:rPr>
          <w:rFonts w:ascii="Times New Roman" w:eastAsia="Calibri" w:hAnsi="Times New Roman" w:cs="Times New Roman"/>
          <w:sz w:val="24"/>
          <w:szCs w:val="24"/>
          <w:shd w:val="clear" w:color="auto" w:fill="FFFFFF"/>
          <w:lang w:val="sr-Cyrl-RS"/>
        </w:rPr>
        <w:t xml:space="preserve"> развоја политике руковођења лабораторијом, система квалитета, процедура и радних метода у скла</w:t>
      </w:r>
      <w:r w:rsidR="00C24F6D" w:rsidRPr="0081082A">
        <w:rPr>
          <w:rFonts w:ascii="Times New Roman" w:eastAsia="Calibri" w:hAnsi="Times New Roman" w:cs="Times New Roman"/>
          <w:sz w:val="24"/>
          <w:szCs w:val="24"/>
          <w:shd w:val="clear" w:color="auto" w:fill="FFFFFF"/>
          <w:lang w:val="sr-Cyrl-RS"/>
        </w:rPr>
        <w:t>ду са законодавством, стандардима</w:t>
      </w:r>
      <w:r w:rsidRPr="0081082A">
        <w:rPr>
          <w:rFonts w:ascii="Times New Roman" w:eastAsia="Calibri" w:hAnsi="Times New Roman" w:cs="Times New Roman"/>
          <w:sz w:val="24"/>
          <w:szCs w:val="24"/>
          <w:shd w:val="clear" w:color="auto" w:fill="FFFFFF"/>
          <w:lang w:val="sr-Cyrl-RS"/>
        </w:rPr>
        <w:t xml:space="preserve"> и најбољом праксом ЕУ.</w:t>
      </w:r>
    </w:p>
    <w:p w:rsidR="00721398" w:rsidRPr="0081082A" w:rsidRDefault="00721398" w:rsidP="0086546D">
      <w:pPr>
        <w:spacing w:after="0" w:line="240" w:lineRule="auto"/>
        <w:ind w:firstLine="708"/>
        <w:jc w:val="both"/>
        <w:rPr>
          <w:rFonts w:ascii="Times New Roman" w:hAnsi="Times New Roman"/>
          <w:sz w:val="24"/>
          <w:shd w:val="clear" w:color="auto" w:fill="FFFFFF"/>
          <w:lang w:val="sr-Cyrl-RS"/>
        </w:rPr>
      </w:pPr>
      <w:r w:rsidRPr="0081082A">
        <w:rPr>
          <w:rFonts w:ascii="Times New Roman" w:hAnsi="Times New Roman"/>
          <w:sz w:val="24"/>
          <w:shd w:val="clear" w:color="auto" w:fill="FFFFFF"/>
          <w:lang w:val="sr-Cyrl-RS"/>
        </w:rPr>
        <w:t>Е</w:t>
      </w:r>
      <w:r w:rsidRPr="0081082A">
        <w:rPr>
          <w:rFonts w:ascii="Times New Roman" w:hAnsi="Times New Roman" w:cs="Times New Roman"/>
          <w:bCs/>
          <w:iCs/>
          <w:sz w:val="24"/>
          <w:szCs w:val="24"/>
          <w:shd w:val="clear" w:color="auto" w:fill="FFFFFF"/>
          <w:lang w:val="sr-Cyrl-RS"/>
        </w:rPr>
        <w:t xml:space="preserve">вропска комисија је у Извештају о </w:t>
      </w:r>
      <w:r w:rsidR="00F3128F" w:rsidRPr="0081082A">
        <w:rPr>
          <w:rFonts w:ascii="Times New Roman" w:hAnsi="Times New Roman" w:cs="Times New Roman"/>
          <w:bCs/>
          <w:iCs/>
          <w:sz w:val="24"/>
          <w:szCs w:val="24"/>
          <w:shd w:val="clear" w:color="auto" w:fill="FFFFFF"/>
          <w:lang w:val="sr-Cyrl-RS"/>
        </w:rPr>
        <w:t>Србији</w:t>
      </w:r>
      <w:r w:rsidRPr="0081082A">
        <w:rPr>
          <w:rFonts w:ascii="Times New Roman" w:hAnsi="Times New Roman" w:cs="Times New Roman"/>
          <w:bCs/>
          <w:iCs/>
          <w:sz w:val="24"/>
          <w:szCs w:val="24"/>
          <w:shd w:val="clear" w:color="auto" w:fill="FFFFFF"/>
          <w:lang w:val="sr-Cyrl-RS"/>
        </w:rPr>
        <w:t xml:space="preserve"> за 2020. годину, у оквиру преговарачког поглавља 29 – Царинска унија, констатовала да је </w:t>
      </w:r>
      <w:r w:rsidR="007C633C" w:rsidRPr="0081082A">
        <w:rPr>
          <w:rFonts w:ascii="Times New Roman" w:hAnsi="Times New Roman" w:cs="Times New Roman"/>
          <w:bCs/>
          <w:iCs/>
          <w:sz w:val="24"/>
          <w:szCs w:val="24"/>
          <w:shd w:val="clear" w:color="auto" w:fill="FFFFFF"/>
          <w:lang w:val="sr-Cyrl-RS"/>
        </w:rPr>
        <w:t>Р</w:t>
      </w:r>
      <w:r w:rsidR="00D539B3" w:rsidRPr="0081082A">
        <w:rPr>
          <w:rFonts w:ascii="Times New Roman" w:hAnsi="Times New Roman" w:cs="Times New Roman"/>
          <w:bCs/>
          <w:iCs/>
          <w:sz w:val="24"/>
          <w:szCs w:val="24"/>
          <w:shd w:val="clear" w:color="auto" w:fill="FFFFFF"/>
          <w:lang w:val="sr-Cyrl-RS"/>
        </w:rPr>
        <w:t xml:space="preserve">епублика </w:t>
      </w:r>
      <w:r w:rsidR="007C633C" w:rsidRPr="0081082A">
        <w:rPr>
          <w:rFonts w:ascii="Times New Roman" w:hAnsi="Times New Roman" w:cs="Times New Roman"/>
          <w:bCs/>
          <w:iCs/>
          <w:sz w:val="24"/>
          <w:szCs w:val="24"/>
          <w:shd w:val="clear" w:color="auto" w:fill="FFFFFF"/>
          <w:lang w:val="sr-Cyrl-RS"/>
        </w:rPr>
        <w:t>С</w:t>
      </w:r>
      <w:r w:rsidR="00D539B3" w:rsidRPr="0081082A">
        <w:rPr>
          <w:rFonts w:ascii="Times New Roman" w:hAnsi="Times New Roman" w:cs="Times New Roman"/>
          <w:bCs/>
          <w:iCs/>
          <w:sz w:val="24"/>
          <w:szCs w:val="24"/>
          <w:shd w:val="clear" w:color="auto" w:fill="FFFFFF"/>
          <w:lang w:val="sr-Cyrl-RS"/>
        </w:rPr>
        <w:t>рбија</w:t>
      </w:r>
      <w:r w:rsidRPr="0081082A">
        <w:rPr>
          <w:rFonts w:ascii="Times New Roman" w:hAnsi="Times New Roman" w:cs="Times New Roman"/>
          <w:bCs/>
          <w:iCs/>
          <w:sz w:val="24"/>
          <w:szCs w:val="24"/>
          <w:shd w:val="clear" w:color="auto" w:fill="FFFFFF"/>
          <w:lang w:val="sr-Cyrl-RS"/>
        </w:rPr>
        <w:t xml:space="preserve"> на добром нивоу припремљености у области </w:t>
      </w:r>
      <w:r w:rsidR="007C633C" w:rsidRPr="0081082A">
        <w:rPr>
          <w:rFonts w:ascii="Times New Roman" w:hAnsi="Times New Roman" w:cs="Times New Roman"/>
          <w:bCs/>
          <w:iCs/>
          <w:sz w:val="24"/>
          <w:szCs w:val="24"/>
          <w:shd w:val="clear" w:color="auto" w:fill="FFFFFF"/>
          <w:lang w:val="sr-Cyrl-RS"/>
        </w:rPr>
        <w:t>Царинске</w:t>
      </w:r>
      <w:r w:rsidRPr="0081082A">
        <w:rPr>
          <w:rFonts w:ascii="Times New Roman" w:hAnsi="Times New Roman" w:cs="Times New Roman"/>
          <w:bCs/>
          <w:iCs/>
          <w:sz w:val="24"/>
          <w:szCs w:val="24"/>
          <w:shd w:val="clear" w:color="auto" w:fill="FFFFFF"/>
          <w:lang w:val="sr-Cyrl-RS"/>
        </w:rPr>
        <w:t xml:space="preserve"> уније и да је остварен</w:t>
      </w:r>
      <w:r w:rsidR="00EB5182" w:rsidRPr="0081082A">
        <w:rPr>
          <w:rFonts w:ascii="Times New Roman" w:hAnsi="Times New Roman" w:cs="Times New Roman"/>
          <w:bCs/>
          <w:iCs/>
          <w:sz w:val="24"/>
          <w:szCs w:val="24"/>
          <w:shd w:val="clear" w:color="auto" w:fill="FFFFFF"/>
          <w:lang w:val="sr-Cyrl-RS"/>
        </w:rPr>
        <w:t xml:space="preserve"> ограничен напредак</w:t>
      </w:r>
      <w:r w:rsidRPr="0081082A">
        <w:rPr>
          <w:rFonts w:ascii="Times New Roman" w:hAnsi="Times New Roman" w:cs="Times New Roman"/>
          <w:bCs/>
          <w:iCs/>
          <w:sz w:val="24"/>
          <w:szCs w:val="24"/>
          <w:shd w:val="clear" w:color="auto" w:fill="FFFFFF"/>
          <w:lang w:val="sr-Cyrl-RS"/>
        </w:rPr>
        <w:t xml:space="preserve"> усвајањем прописа  за функционисање </w:t>
      </w:r>
      <w:r w:rsidR="007C633C" w:rsidRPr="0081082A">
        <w:rPr>
          <w:rFonts w:ascii="Times New Roman" w:hAnsi="Times New Roman" w:cs="Times New Roman"/>
          <w:bCs/>
          <w:iCs/>
          <w:sz w:val="24"/>
          <w:szCs w:val="24"/>
          <w:shd w:val="clear" w:color="auto" w:fill="FFFFFF"/>
          <w:lang w:val="sr-Cyrl-RS"/>
        </w:rPr>
        <w:t>Царинске службе.</w:t>
      </w:r>
      <w:r w:rsidRPr="0081082A">
        <w:rPr>
          <w:rFonts w:ascii="Times New Roman" w:hAnsi="Times New Roman" w:cs="Times New Roman"/>
          <w:bCs/>
          <w:iCs/>
          <w:sz w:val="24"/>
          <w:szCs w:val="24"/>
          <w:shd w:val="clear" w:color="auto" w:fill="FFFFFF"/>
          <w:lang w:val="sr-Cyrl-RS"/>
        </w:rPr>
        <w:t xml:space="preserve"> У наредном</w:t>
      </w:r>
      <w:r w:rsidRPr="0081082A">
        <w:rPr>
          <w:rFonts w:ascii="Times New Roman" w:hAnsi="Times New Roman"/>
          <w:sz w:val="24"/>
          <w:shd w:val="clear" w:color="auto" w:fill="FFFFFF"/>
          <w:lang w:val="sr-Cyrl-RS"/>
        </w:rPr>
        <w:t xml:space="preserve"> </w:t>
      </w:r>
      <w:r w:rsidRPr="0081082A">
        <w:rPr>
          <w:rFonts w:ascii="Times New Roman" w:hAnsi="Times New Roman" w:cs="Times New Roman"/>
          <w:bCs/>
          <w:iCs/>
          <w:sz w:val="24"/>
          <w:szCs w:val="24"/>
          <w:shd w:val="clear" w:color="auto" w:fill="FFFFFF"/>
          <w:lang w:val="sr-Cyrl-RS"/>
        </w:rPr>
        <w:t>периоду</w:t>
      </w:r>
      <w:r w:rsidRPr="0081082A">
        <w:rPr>
          <w:rFonts w:ascii="Times New Roman" w:hAnsi="Times New Roman"/>
          <w:sz w:val="24"/>
          <w:shd w:val="clear" w:color="auto" w:fill="FFFFFF"/>
          <w:lang w:val="sr-Cyrl-RS"/>
        </w:rPr>
        <w:t xml:space="preserve">, </w:t>
      </w:r>
      <w:r w:rsidR="007C633C" w:rsidRPr="0081082A">
        <w:rPr>
          <w:rFonts w:ascii="Times New Roman" w:hAnsi="Times New Roman" w:cs="Times New Roman"/>
          <w:bCs/>
          <w:iCs/>
          <w:sz w:val="24"/>
          <w:szCs w:val="24"/>
          <w:shd w:val="clear" w:color="auto" w:fill="FFFFFF"/>
          <w:lang w:val="sr-Cyrl-RS"/>
        </w:rPr>
        <w:t>Р</w:t>
      </w:r>
      <w:r w:rsidR="00D539B3" w:rsidRPr="0081082A">
        <w:rPr>
          <w:rFonts w:ascii="Times New Roman" w:hAnsi="Times New Roman" w:cs="Times New Roman"/>
          <w:bCs/>
          <w:iCs/>
          <w:sz w:val="24"/>
          <w:szCs w:val="24"/>
          <w:shd w:val="clear" w:color="auto" w:fill="FFFFFF"/>
          <w:lang w:val="sr-Cyrl-RS"/>
        </w:rPr>
        <w:t xml:space="preserve">епублика </w:t>
      </w:r>
      <w:r w:rsidR="007C633C" w:rsidRPr="0081082A">
        <w:rPr>
          <w:rFonts w:ascii="Times New Roman" w:hAnsi="Times New Roman" w:cs="Times New Roman"/>
          <w:bCs/>
          <w:iCs/>
          <w:sz w:val="24"/>
          <w:szCs w:val="24"/>
          <w:shd w:val="clear" w:color="auto" w:fill="FFFFFF"/>
          <w:lang w:val="sr-Cyrl-RS"/>
        </w:rPr>
        <w:t>С</w:t>
      </w:r>
      <w:r w:rsidR="00D539B3" w:rsidRPr="0081082A">
        <w:rPr>
          <w:rFonts w:ascii="Times New Roman" w:hAnsi="Times New Roman" w:cs="Times New Roman"/>
          <w:bCs/>
          <w:iCs/>
          <w:sz w:val="24"/>
          <w:szCs w:val="24"/>
          <w:shd w:val="clear" w:color="auto" w:fill="FFFFFF"/>
          <w:lang w:val="sr-Cyrl-RS"/>
        </w:rPr>
        <w:t>рбија</w:t>
      </w:r>
      <w:r w:rsidRPr="0081082A">
        <w:rPr>
          <w:rFonts w:ascii="Times New Roman" w:hAnsi="Times New Roman"/>
          <w:sz w:val="24"/>
          <w:shd w:val="clear" w:color="auto" w:fill="FFFFFF"/>
          <w:lang w:val="sr-Cyrl-RS"/>
        </w:rPr>
        <w:t xml:space="preserve"> треба пре свега да додатно надогради царински систем </w:t>
      </w:r>
      <w:r w:rsidRPr="0081082A">
        <w:rPr>
          <w:rFonts w:ascii="Times New Roman" w:hAnsi="Times New Roman"/>
          <w:sz w:val="24"/>
          <w:shd w:val="clear" w:color="auto" w:fill="FFFFFF"/>
          <w:lang w:val="sr-Cyrl-RS"/>
        </w:rPr>
        <w:lastRenderedPageBreak/>
        <w:t>обраде</w:t>
      </w:r>
      <w:r w:rsidR="007B61FC" w:rsidRPr="0081082A">
        <w:rPr>
          <w:rFonts w:ascii="Times New Roman" w:hAnsi="Times New Roman"/>
          <w:sz w:val="24"/>
          <w:shd w:val="clear" w:color="auto" w:fill="FFFFFF"/>
          <w:lang w:val="sr-Cyrl-RS"/>
        </w:rPr>
        <w:t>,</w:t>
      </w:r>
      <w:r w:rsidRPr="0081082A">
        <w:rPr>
          <w:rFonts w:ascii="Times New Roman" w:hAnsi="Times New Roman"/>
          <w:sz w:val="24"/>
          <w:shd w:val="clear" w:color="auto" w:fill="FFFFFF"/>
          <w:lang w:val="sr-Cyrl-RS"/>
        </w:rPr>
        <w:t xml:space="preserve"> укључивањем управљања ризиком и </w:t>
      </w:r>
      <w:r w:rsidR="007C633C" w:rsidRPr="0081082A">
        <w:rPr>
          <w:rFonts w:ascii="Times New Roman" w:hAnsi="Times New Roman" w:cs="Times New Roman"/>
          <w:bCs/>
          <w:iCs/>
          <w:sz w:val="24"/>
          <w:szCs w:val="24"/>
          <w:shd w:val="clear" w:color="auto" w:fill="FFFFFF"/>
          <w:lang w:val="sr-Cyrl-RS"/>
        </w:rPr>
        <w:t xml:space="preserve">да </w:t>
      </w:r>
      <w:r w:rsidRPr="0081082A">
        <w:rPr>
          <w:rFonts w:ascii="Times New Roman" w:hAnsi="Times New Roman"/>
          <w:sz w:val="24"/>
          <w:shd w:val="clear" w:color="auto" w:fill="FFFFFF"/>
          <w:lang w:val="sr-Cyrl-RS"/>
        </w:rPr>
        <w:t xml:space="preserve">додатно унапреди ИТ систем </w:t>
      </w:r>
      <w:r w:rsidR="007C633C" w:rsidRPr="0081082A">
        <w:rPr>
          <w:rFonts w:ascii="Times New Roman" w:hAnsi="Times New Roman" w:cs="Times New Roman"/>
          <w:bCs/>
          <w:iCs/>
          <w:sz w:val="24"/>
          <w:szCs w:val="24"/>
          <w:shd w:val="clear" w:color="auto" w:fill="FFFFFF"/>
          <w:lang w:val="sr-Cyrl-RS"/>
        </w:rPr>
        <w:t>Царинске</w:t>
      </w:r>
      <w:r w:rsidRPr="0081082A">
        <w:rPr>
          <w:rFonts w:ascii="Times New Roman" w:hAnsi="Times New Roman"/>
          <w:sz w:val="24"/>
          <w:shd w:val="clear" w:color="auto" w:fill="FFFFFF"/>
          <w:lang w:val="sr-Cyrl-RS"/>
        </w:rPr>
        <w:t xml:space="preserve"> служб</w:t>
      </w:r>
      <w:r w:rsidRPr="0081082A">
        <w:rPr>
          <w:rFonts w:ascii="Times New Roman" w:hAnsi="Times New Roman" w:cs="Times New Roman"/>
          <w:bCs/>
          <w:iCs/>
          <w:sz w:val="24"/>
          <w:szCs w:val="24"/>
          <w:shd w:val="clear" w:color="auto" w:fill="FFFFFF"/>
          <w:lang w:val="sr-Cyrl-RS"/>
        </w:rPr>
        <w:t>е</w:t>
      </w:r>
      <w:r w:rsidRPr="0081082A">
        <w:rPr>
          <w:rFonts w:ascii="Times New Roman" w:hAnsi="Times New Roman"/>
          <w:sz w:val="24"/>
          <w:shd w:val="clear" w:color="auto" w:fill="FFFFFF"/>
          <w:lang w:val="sr-Cyrl-RS"/>
        </w:rPr>
        <w:t xml:space="preserve"> тако да се омогући његова интеграција у систем ЕУ.</w:t>
      </w:r>
      <w:r w:rsidRPr="0081082A">
        <w:rPr>
          <w:rStyle w:val="FootnoteReference"/>
          <w:rFonts w:ascii="Times New Roman" w:hAnsi="Times New Roman"/>
          <w:sz w:val="24"/>
          <w:shd w:val="clear" w:color="auto" w:fill="FFFFFF"/>
          <w:lang w:val="sr-Cyrl-RS"/>
        </w:rPr>
        <w:footnoteReference w:id="64"/>
      </w:r>
    </w:p>
    <w:p w:rsidR="00721398" w:rsidRPr="0081082A" w:rsidRDefault="007C633C" w:rsidP="0086546D">
      <w:pPr>
        <w:spacing w:after="0" w:line="240" w:lineRule="auto"/>
        <w:ind w:firstLine="708"/>
        <w:jc w:val="both"/>
        <w:rPr>
          <w:rFonts w:ascii="Times New Roman" w:hAnsi="Times New Roman"/>
          <w:sz w:val="24"/>
          <w:shd w:val="clear" w:color="auto" w:fill="FFFFFF"/>
          <w:lang w:val="sr-Cyrl-RS"/>
        </w:rPr>
      </w:pPr>
      <w:r w:rsidRPr="0081082A">
        <w:rPr>
          <w:rFonts w:ascii="Times New Roman" w:eastAsia="Calibri" w:hAnsi="Times New Roman" w:cs="Times New Roman"/>
          <w:sz w:val="24"/>
          <w:szCs w:val="24"/>
          <w:shd w:val="clear" w:color="auto" w:fill="FFFFFF"/>
          <w:lang w:val="sr-Cyrl-RS"/>
        </w:rPr>
        <w:t>У</w:t>
      </w:r>
      <w:r w:rsidR="00721398" w:rsidRPr="0081082A">
        <w:rPr>
          <w:rFonts w:ascii="Times New Roman" w:eastAsia="Calibri" w:hAnsi="Times New Roman" w:cs="Times New Roman"/>
          <w:sz w:val="24"/>
          <w:szCs w:val="24"/>
          <w:shd w:val="clear" w:color="auto" w:fill="FFFFFF"/>
          <w:lang w:val="sr-Cyrl-RS"/>
        </w:rPr>
        <w:t xml:space="preserve"> претходном периоду јачање капацитета </w:t>
      </w:r>
      <w:r w:rsidRPr="0081082A">
        <w:rPr>
          <w:rFonts w:ascii="Times New Roman" w:eastAsia="Calibri" w:hAnsi="Times New Roman" w:cs="Times New Roman"/>
          <w:sz w:val="24"/>
          <w:szCs w:val="24"/>
          <w:shd w:val="clear" w:color="auto" w:fill="FFFFFF"/>
          <w:lang w:val="sr-Cyrl-RS"/>
        </w:rPr>
        <w:t>Управе  царина</w:t>
      </w:r>
      <w:r w:rsidR="00721398" w:rsidRPr="0081082A">
        <w:rPr>
          <w:rFonts w:ascii="Times New Roman" w:eastAsia="Calibri" w:hAnsi="Times New Roman" w:cs="Times New Roman"/>
          <w:sz w:val="24"/>
          <w:szCs w:val="24"/>
          <w:shd w:val="clear" w:color="auto" w:fill="FFFFFF"/>
          <w:lang w:val="sr-Cyrl-RS"/>
        </w:rPr>
        <w:t xml:space="preserve"> у </w:t>
      </w:r>
      <w:r w:rsidRPr="0081082A">
        <w:rPr>
          <w:rFonts w:ascii="Times New Roman" w:eastAsia="Calibri" w:hAnsi="Times New Roman" w:cs="Times New Roman"/>
          <w:sz w:val="24"/>
          <w:szCs w:val="24"/>
          <w:shd w:val="clear" w:color="auto" w:fill="FFFFFF"/>
          <w:lang w:val="sr-Cyrl-RS"/>
        </w:rPr>
        <w:t>оквиру преговарачког поглавља</w:t>
      </w:r>
      <w:r w:rsidR="00721398" w:rsidRPr="0081082A">
        <w:rPr>
          <w:rFonts w:ascii="Times New Roman" w:eastAsia="Calibri" w:hAnsi="Times New Roman" w:cs="Times New Roman"/>
          <w:sz w:val="24"/>
          <w:szCs w:val="24"/>
          <w:shd w:val="clear" w:color="auto" w:fill="FFFFFF"/>
          <w:lang w:val="sr-Cyrl-RS"/>
        </w:rPr>
        <w:t xml:space="preserve"> 33</w:t>
      </w:r>
      <w:r w:rsidR="006E2BA9" w:rsidRPr="0081082A">
        <w:rPr>
          <w:rFonts w:ascii="Times New Roman" w:eastAsia="Calibri" w:hAnsi="Times New Roman" w:cs="Times New Roman"/>
          <w:sz w:val="24"/>
          <w:szCs w:val="24"/>
          <w:shd w:val="clear" w:color="auto" w:fill="FFFFFF"/>
          <w:lang w:val="sr-Cyrl-RS"/>
        </w:rPr>
        <w:t xml:space="preserve"> </w:t>
      </w:r>
      <w:r w:rsidR="00721398" w:rsidRPr="0081082A">
        <w:rPr>
          <w:rFonts w:ascii="Times New Roman" w:eastAsia="Calibri" w:hAnsi="Times New Roman" w:cs="Times New Roman"/>
          <w:sz w:val="24"/>
          <w:szCs w:val="24"/>
          <w:shd w:val="clear" w:color="auto" w:fill="FFFFFF"/>
          <w:lang w:val="sr-Cyrl-RS"/>
        </w:rPr>
        <w:t>- Финансијске и буџетске одредбе</w:t>
      </w:r>
      <w:r w:rsidRPr="0081082A">
        <w:rPr>
          <w:rFonts w:ascii="Times New Roman" w:eastAsia="Calibri" w:hAnsi="Times New Roman" w:cs="Times New Roman"/>
          <w:sz w:val="24"/>
          <w:szCs w:val="24"/>
          <w:shd w:val="clear" w:color="auto" w:fill="FFFFFF"/>
          <w:lang w:val="sr-Cyrl-RS"/>
        </w:rPr>
        <w:t>, између осталог је спроведено и</w:t>
      </w:r>
      <w:r w:rsidR="00721398" w:rsidRPr="0081082A">
        <w:rPr>
          <w:rFonts w:ascii="Times New Roman" w:eastAsia="Calibri" w:hAnsi="Times New Roman" w:cs="Times New Roman"/>
          <w:sz w:val="24"/>
          <w:szCs w:val="24"/>
          <w:shd w:val="clear" w:color="auto" w:fill="FFFFFF"/>
          <w:lang w:val="sr-Cyrl-RS"/>
        </w:rPr>
        <w:t xml:space="preserve"> симулирање рачуноводствених правила и извештавања ЕУ на месечном нивоу за Традиционална сопствена средства ЕУ</w:t>
      </w:r>
      <w:r w:rsidRPr="0081082A">
        <w:rPr>
          <w:rFonts w:ascii="Times New Roman" w:eastAsia="Calibri" w:hAnsi="Times New Roman" w:cs="Times New Roman"/>
          <w:sz w:val="24"/>
          <w:szCs w:val="24"/>
          <w:shd w:val="clear" w:color="auto" w:fill="FFFFFF"/>
          <w:lang w:val="sr-Cyrl-RS"/>
        </w:rPr>
        <w:t xml:space="preserve">. </w:t>
      </w:r>
    </w:p>
    <w:p w:rsidR="00721398" w:rsidRPr="0081082A" w:rsidRDefault="00721398" w:rsidP="0086546D">
      <w:pPr>
        <w:spacing w:after="0" w:line="240" w:lineRule="auto"/>
        <w:ind w:firstLine="708"/>
        <w:jc w:val="both"/>
        <w:rPr>
          <w:rFonts w:ascii="Times New Roman" w:eastAsia="Calibri" w:hAnsi="Times New Roman" w:cs="Times New Roman"/>
          <w:sz w:val="24"/>
          <w:szCs w:val="24"/>
          <w:shd w:val="clear" w:color="auto" w:fill="FFFFFF"/>
          <w:lang w:val="sr-Cyrl-RS"/>
        </w:rPr>
      </w:pPr>
      <w:r w:rsidRPr="0081082A">
        <w:rPr>
          <w:rFonts w:ascii="Times New Roman" w:eastAsia="Calibri" w:hAnsi="Times New Roman" w:cs="Times New Roman"/>
          <w:b/>
          <w:sz w:val="24"/>
          <w:szCs w:val="24"/>
          <w:shd w:val="clear" w:color="auto" w:fill="FFFFFF"/>
          <w:lang w:val="sr-Cyrl-RS"/>
        </w:rPr>
        <w:t>Ефикасно управљање јавним дугом</w:t>
      </w:r>
      <w:r w:rsidRPr="0081082A">
        <w:rPr>
          <w:rFonts w:ascii="Times New Roman" w:eastAsia="Calibri" w:hAnsi="Times New Roman" w:cs="Times New Roman"/>
          <w:sz w:val="24"/>
          <w:szCs w:val="24"/>
          <w:shd w:val="clear" w:color="auto" w:fill="FFFFFF"/>
          <w:lang w:val="sr-Cyrl-RS"/>
        </w:rPr>
        <w:t xml:space="preserve"> и обезбеђивање његове силазне и одрживе путање представља један од најзначајнијих елемената доброг система управљања јавним финансијама. Путања јавног дуга у </w:t>
      </w:r>
      <w:r w:rsidR="00AE50B1" w:rsidRPr="0081082A">
        <w:rPr>
          <w:rFonts w:ascii="Times New Roman" w:eastAsia="Calibri" w:hAnsi="Times New Roman" w:cs="Times New Roman"/>
          <w:sz w:val="24"/>
          <w:szCs w:val="24"/>
          <w:shd w:val="clear" w:color="auto" w:fill="FFFFFF"/>
          <w:lang w:val="sr-Cyrl-RS"/>
        </w:rPr>
        <w:t>Р</w:t>
      </w:r>
      <w:r w:rsidR="00D539B3" w:rsidRPr="0081082A">
        <w:rPr>
          <w:rFonts w:ascii="Times New Roman" w:eastAsia="Calibri" w:hAnsi="Times New Roman" w:cs="Times New Roman"/>
          <w:sz w:val="24"/>
          <w:szCs w:val="24"/>
          <w:shd w:val="clear" w:color="auto" w:fill="FFFFFF"/>
          <w:lang w:val="sr-Cyrl-RS"/>
        </w:rPr>
        <w:t xml:space="preserve">епублике </w:t>
      </w:r>
      <w:r w:rsidR="00AE50B1" w:rsidRPr="0081082A">
        <w:rPr>
          <w:rFonts w:ascii="Times New Roman" w:eastAsia="Calibri" w:hAnsi="Times New Roman" w:cs="Times New Roman"/>
          <w:sz w:val="24"/>
          <w:szCs w:val="24"/>
          <w:shd w:val="clear" w:color="auto" w:fill="FFFFFF"/>
          <w:lang w:val="sr-Cyrl-RS"/>
        </w:rPr>
        <w:t>С</w:t>
      </w:r>
      <w:r w:rsidR="00D539B3" w:rsidRPr="0081082A">
        <w:rPr>
          <w:rFonts w:ascii="Times New Roman" w:eastAsia="Calibri" w:hAnsi="Times New Roman" w:cs="Times New Roman"/>
          <w:sz w:val="24"/>
          <w:szCs w:val="24"/>
          <w:shd w:val="clear" w:color="auto" w:fill="FFFFFF"/>
          <w:lang w:val="sr-Cyrl-RS"/>
        </w:rPr>
        <w:t>рбије</w:t>
      </w:r>
      <w:r w:rsidRPr="0081082A">
        <w:rPr>
          <w:rFonts w:ascii="Times New Roman" w:eastAsia="Calibri" w:hAnsi="Times New Roman" w:cs="Times New Roman"/>
          <w:sz w:val="24"/>
          <w:szCs w:val="24"/>
          <w:shd w:val="clear" w:color="auto" w:fill="FFFFFF"/>
          <w:lang w:val="sr-Cyrl-RS"/>
        </w:rPr>
        <w:t xml:space="preserve"> к</w:t>
      </w:r>
      <w:r w:rsidR="0005273D" w:rsidRPr="0081082A">
        <w:rPr>
          <w:rFonts w:ascii="Times New Roman" w:eastAsia="Calibri" w:hAnsi="Times New Roman" w:cs="Times New Roman"/>
          <w:sz w:val="24"/>
          <w:szCs w:val="24"/>
          <w:shd w:val="clear" w:color="auto" w:fill="FFFFFF"/>
          <w:lang w:val="sr-Cyrl-RS"/>
        </w:rPr>
        <w:t>оји је у 2016. години износио 68.7</w:t>
      </w:r>
      <w:r w:rsidRPr="0081082A">
        <w:rPr>
          <w:rFonts w:ascii="Times New Roman" w:eastAsia="Calibri" w:hAnsi="Times New Roman" w:cs="Times New Roman"/>
          <w:sz w:val="24"/>
          <w:szCs w:val="24"/>
          <w:shd w:val="clear" w:color="auto" w:fill="FFFFFF"/>
          <w:lang w:val="sr-Cyrl-RS"/>
        </w:rPr>
        <w:t xml:space="preserve">% БДП-а је  преокренута, при чему је у 2017. години јавни дуг пао за око 10 процентних поена, а тренд смањења јавног дуга у БДП-у настављен је и у 2018. години да би учешће јавног дуга </w:t>
      </w:r>
      <w:r w:rsidR="00591FD7" w:rsidRPr="0081082A">
        <w:rPr>
          <w:rFonts w:ascii="Times New Roman" w:eastAsia="Calibri" w:hAnsi="Times New Roman" w:cs="Times New Roman"/>
          <w:sz w:val="24"/>
          <w:szCs w:val="24"/>
          <w:shd w:val="clear" w:color="auto" w:fill="FFFFFF"/>
          <w:lang w:val="sr-Cyrl-RS"/>
        </w:rPr>
        <w:t>општег</w:t>
      </w:r>
      <w:r w:rsidRPr="0081082A">
        <w:rPr>
          <w:rFonts w:ascii="Times New Roman" w:eastAsia="Calibri" w:hAnsi="Times New Roman" w:cs="Times New Roman"/>
          <w:sz w:val="24"/>
          <w:szCs w:val="24"/>
          <w:shd w:val="clear" w:color="auto" w:fill="FFFFFF"/>
          <w:lang w:val="sr-Cyrl-RS"/>
        </w:rPr>
        <w:t xml:space="preserve"> нивоа власти у БДП-у на крају 2019. године</w:t>
      </w:r>
      <w:r w:rsidRPr="0081082A" w:rsidDel="00142995">
        <w:rPr>
          <w:rFonts w:ascii="Times New Roman" w:eastAsia="Calibri" w:hAnsi="Times New Roman" w:cs="Times New Roman"/>
          <w:sz w:val="24"/>
          <w:szCs w:val="24"/>
          <w:shd w:val="clear" w:color="auto" w:fill="FFFFFF"/>
          <w:lang w:val="sr-Cyrl-RS"/>
        </w:rPr>
        <w:t xml:space="preserve"> </w:t>
      </w:r>
      <w:r w:rsidRPr="0081082A">
        <w:rPr>
          <w:rFonts w:ascii="Times New Roman" w:eastAsia="Calibri" w:hAnsi="Times New Roman" w:cs="Times New Roman"/>
          <w:sz w:val="24"/>
          <w:szCs w:val="24"/>
          <w:shd w:val="clear" w:color="auto" w:fill="FFFFFF"/>
          <w:lang w:val="sr-Cyrl-RS"/>
        </w:rPr>
        <w:t>износило 52</w:t>
      </w:r>
      <w:r w:rsidR="004C6CB3" w:rsidRPr="0081082A">
        <w:rPr>
          <w:rFonts w:ascii="Times New Roman" w:eastAsia="Calibri" w:hAnsi="Times New Roman" w:cs="Times New Roman"/>
          <w:sz w:val="24"/>
          <w:szCs w:val="24"/>
          <w:shd w:val="clear" w:color="auto" w:fill="FFFFFF"/>
          <w:lang w:val="sr-Cyrl-RS"/>
        </w:rPr>
        <w:t>,9</w:t>
      </w:r>
      <w:r w:rsidRPr="0081082A">
        <w:rPr>
          <w:rFonts w:ascii="Times New Roman" w:eastAsia="Calibri" w:hAnsi="Times New Roman" w:cs="Times New Roman"/>
          <w:sz w:val="24"/>
          <w:szCs w:val="24"/>
          <w:shd w:val="clear" w:color="auto" w:fill="FFFFFF"/>
          <w:lang w:val="sr-Cyrl-RS"/>
        </w:rPr>
        <w:t>%</w:t>
      </w:r>
      <w:r w:rsidRPr="00733358">
        <w:rPr>
          <w:rFonts w:ascii="Times New Roman" w:eastAsia="Calibri" w:hAnsi="Times New Roman" w:cs="Times New Roman"/>
          <w:shd w:val="clear" w:color="auto" w:fill="FFFFFF"/>
          <w:vertAlign w:val="superscript"/>
          <w:lang w:val="sr-Cyrl-RS"/>
        </w:rPr>
        <w:footnoteReference w:id="65"/>
      </w:r>
      <w:r w:rsidR="00591FD7" w:rsidRPr="0081082A">
        <w:rPr>
          <w:rFonts w:ascii="Times New Roman" w:eastAsia="Calibri" w:hAnsi="Times New Roman" w:cs="Times New Roman"/>
          <w:sz w:val="24"/>
          <w:szCs w:val="24"/>
          <w:shd w:val="clear" w:color="auto" w:fill="FFFFFF"/>
          <w:lang w:val="sr-Cyrl-RS"/>
        </w:rPr>
        <w:t>, што је за око 15.8</w:t>
      </w:r>
      <w:r w:rsidRPr="0081082A">
        <w:rPr>
          <w:rFonts w:ascii="Times New Roman" w:eastAsia="Calibri" w:hAnsi="Times New Roman" w:cs="Times New Roman"/>
          <w:sz w:val="24"/>
          <w:szCs w:val="24"/>
          <w:shd w:val="clear" w:color="auto" w:fill="FFFFFF"/>
          <w:lang w:val="sr-Cyrl-RS"/>
        </w:rPr>
        <w:t xml:space="preserve"> процентна поена мање у односу на 2016. годину. </w:t>
      </w:r>
      <w:r w:rsidR="00BB00CB" w:rsidRPr="0081082A">
        <w:rPr>
          <w:rFonts w:ascii="Times New Roman" w:eastAsia="Calibri" w:hAnsi="Times New Roman" w:cs="Times New Roman"/>
          <w:sz w:val="24"/>
          <w:szCs w:val="24"/>
          <w:shd w:val="clear" w:color="auto" w:fill="FFFFFF"/>
          <w:lang w:val="sr-Cyrl-RS"/>
        </w:rPr>
        <w:t>Р</w:t>
      </w:r>
      <w:r w:rsidRPr="0081082A">
        <w:rPr>
          <w:rFonts w:ascii="Times New Roman" w:eastAsia="Calibri" w:hAnsi="Times New Roman" w:cs="Times New Roman"/>
          <w:sz w:val="24"/>
          <w:szCs w:val="24"/>
          <w:shd w:val="clear" w:color="auto" w:fill="FFFFFF"/>
          <w:lang w:val="sr-Cyrl-RS"/>
        </w:rPr>
        <w:t xml:space="preserve">аст јавног дуга у 2020. години је резултат </w:t>
      </w:r>
      <w:r w:rsidR="00BB00CB" w:rsidRPr="0081082A">
        <w:rPr>
          <w:rFonts w:ascii="Times New Roman" w:eastAsia="Calibri" w:hAnsi="Times New Roman" w:cs="Times New Roman"/>
          <w:sz w:val="24"/>
          <w:szCs w:val="24"/>
          <w:shd w:val="clear" w:color="auto" w:fill="FFFFFF"/>
          <w:lang w:val="sr-Cyrl-RS"/>
        </w:rPr>
        <w:t>економских</w:t>
      </w:r>
      <w:r w:rsidRPr="0081082A">
        <w:rPr>
          <w:rFonts w:ascii="Times New Roman" w:eastAsia="Calibri" w:hAnsi="Times New Roman" w:cs="Times New Roman"/>
          <w:sz w:val="24"/>
          <w:szCs w:val="24"/>
          <w:shd w:val="clear" w:color="auto" w:fill="FFFFFF"/>
          <w:lang w:val="sr-Cyrl-RS"/>
        </w:rPr>
        <w:t xml:space="preserve"> мера које је </w:t>
      </w:r>
      <w:r w:rsidR="00AE50B1" w:rsidRPr="0081082A">
        <w:rPr>
          <w:rFonts w:ascii="Times New Roman" w:eastAsia="Calibri" w:hAnsi="Times New Roman" w:cs="Times New Roman"/>
          <w:sz w:val="24"/>
          <w:szCs w:val="24"/>
          <w:shd w:val="clear" w:color="auto" w:fill="FFFFFF"/>
          <w:lang w:val="sr-Cyrl-RS"/>
        </w:rPr>
        <w:t>Р</w:t>
      </w:r>
      <w:r w:rsidR="00D539B3" w:rsidRPr="0081082A">
        <w:rPr>
          <w:rFonts w:ascii="Times New Roman" w:eastAsia="Calibri" w:hAnsi="Times New Roman" w:cs="Times New Roman"/>
          <w:sz w:val="24"/>
          <w:szCs w:val="24"/>
          <w:shd w:val="clear" w:color="auto" w:fill="FFFFFF"/>
          <w:lang w:val="sr-Cyrl-RS"/>
        </w:rPr>
        <w:t xml:space="preserve">епублика </w:t>
      </w:r>
      <w:r w:rsidR="00AE50B1" w:rsidRPr="0081082A">
        <w:rPr>
          <w:rFonts w:ascii="Times New Roman" w:eastAsia="Calibri" w:hAnsi="Times New Roman" w:cs="Times New Roman"/>
          <w:sz w:val="24"/>
          <w:szCs w:val="24"/>
          <w:shd w:val="clear" w:color="auto" w:fill="FFFFFF"/>
          <w:lang w:val="sr-Cyrl-RS"/>
        </w:rPr>
        <w:t>С</w:t>
      </w:r>
      <w:r w:rsidR="00D539B3" w:rsidRPr="0081082A">
        <w:rPr>
          <w:rFonts w:ascii="Times New Roman" w:eastAsia="Calibri" w:hAnsi="Times New Roman" w:cs="Times New Roman"/>
          <w:sz w:val="24"/>
          <w:szCs w:val="24"/>
          <w:shd w:val="clear" w:color="auto" w:fill="FFFFFF"/>
          <w:lang w:val="sr-Cyrl-RS"/>
        </w:rPr>
        <w:t>рбија</w:t>
      </w:r>
      <w:r w:rsidRPr="0081082A">
        <w:rPr>
          <w:rFonts w:ascii="Times New Roman" w:eastAsia="Calibri" w:hAnsi="Times New Roman" w:cs="Times New Roman"/>
          <w:sz w:val="24"/>
          <w:szCs w:val="24"/>
          <w:shd w:val="clear" w:color="auto" w:fill="FFFFFF"/>
          <w:lang w:val="sr-Cyrl-RS"/>
        </w:rPr>
        <w:t xml:space="preserve"> </w:t>
      </w:r>
      <w:r w:rsidR="00BB00CB" w:rsidRPr="0081082A">
        <w:rPr>
          <w:rFonts w:ascii="Times New Roman" w:eastAsia="Calibri" w:hAnsi="Times New Roman" w:cs="Times New Roman"/>
          <w:sz w:val="24"/>
          <w:szCs w:val="24"/>
          <w:shd w:val="clear" w:color="auto" w:fill="FFFFFF"/>
          <w:lang w:val="sr-Cyrl-RS"/>
        </w:rPr>
        <w:t xml:space="preserve">применила како би финансирала мере </w:t>
      </w:r>
      <w:r w:rsidRPr="0081082A">
        <w:rPr>
          <w:rFonts w:ascii="Times New Roman" w:eastAsia="Calibri" w:hAnsi="Times New Roman" w:cs="Times New Roman"/>
          <w:sz w:val="24"/>
          <w:szCs w:val="24"/>
          <w:shd w:val="clear" w:color="auto" w:fill="FFFFFF"/>
          <w:lang w:val="sr-Cyrl-RS"/>
        </w:rPr>
        <w:t>у</w:t>
      </w:r>
      <w:r w:rsidR="00BB00CB" w:rsidRPr="0081082A">
        <w:rPr>
          <w:rFonts w:ascii="Times New Roman" w:eastAsia="Calibri" w:hAnsi="Times New Roman" w:cs="Times New Roman"/>
          <w:sz w:val="24"/>
          <w:szCs w:val="24"/>
          <w:shd w:val="clear" w:color="auto" w:fill="FFFFFF"/>
          <w:lang w:val="sr-Cyrl-RS"/>
        </w:rPr>
        <w:t>блажавања</w:t>
      </w:r>
      <w:r w:rsidRPr="0081082A">
        <w:rPr>
          <w:rFonts w:ascii="Times New Roman" w:eastAsia="Calibri" w:hAnsi="Times New Roman" w:cs="Times New Roman"/>
          <w:sz w:val="24"/>
          <w:szCs w:val="24"/>
          <w:shd w:val="clear" w:color="auto" w:fill="FFFFFF"/>
          <w:lang w:val="sr-Cyrl-RS"/>
        </w:rPr>
        <w:t xml:space="preserve"> последица пандемије К</w:t>
      </w:r>
      <w:r w:rsidR="00D05879" w:rsidRPr="0081082A">
        <w:rPr>
          <w:rFonts w:ascii="Times New Roman" w:eastAsia="Calibri" w:hAnsi="Times New Roman" w:cs="Times New Roman"/>
          <w:sz w:val="24"/>
          <w:szCs w:val="24"/>
          <w:shd w:val="clear" w:color="auto" w:fill="FFFFFF"/>
          <w:lang w:val="sr-Cyrl-RS"/>
        </w:rPr>
        <w:t>овид</w:t>
      </w:r>
      <w:r w:rsidRPr="0081082A">
        <w:rPr>
          <w:rFonts w:ascii="Times New Roman" w:eastAsia="Calibri" w:hAnsi="Times New Roman" w:cs="Times New Roman"/>
          <w:sz w:val="24"/>
          <w:szCs w:val="24"/>
          <w:shd w:val="clear" w:color="auto" w:fill="FFFFFF"/>
          <w:lang w:val="sr-Cyrl-RS"/>
        </w:rPr>
        <w:t>-19, при чему је упркос снажно</w:t>
      </w:r>
      <w:r w:rsidR="00BB00CB" w:rsidRPr="0081082A">
        <w:rPr>
          <w:rFonts w:ascii="Times New Roman" w:eastAsia="Calibri" w:hAnsi="Times New Roman" w:cs="Times New Roman"/>
          <w:sz w:val="24"/>
          <w:szCs w:val="24"/>
          <w:shd w:val="clear" w:color="auto" w:fill="FFFFFF"/>
          <w:lang w:val="sr-Cyrl-RS"/>
        </w:rPr>
        <w:t>м</w:t>
      </w:r>
      <w:r w:rsidRPr="0081082A">
        <w:rPr>
          <w:rFonts w:ascii="Times New Roman" w:eastAsia="Calibri" w:hAnsi="Times New Roman" w:cs="Times New Roman"/>
          <w:sz w:val="24"/>
          <w:szCs w:val="24"/>
          <w:shd w:val="clear" w:color="auto" w:fill="FFFFFF"/>
          <w:lang w:val="sr-Cyrl-RS"/>
        </w:rPr>
        <w:t xml:space="preserve"> негативно</w:t>
      </w:r>
      <w:r w:rsidR="00BB00CB" w:rsidRPr="0081082A">
        <w:rPr>
          <w:rFonts w:ascii="Times New Roman" w:eastAsia="Calibri" w:hAnsi="Times New Roman" w:cs="Times New Roman"/>
          <w:sz w:val="24"/>
          <w:szCs w:val="24"/>
          <w:shd w:val="clear" w:color="auto" w:fill="FFFFFF"/>
          <w:lang w:val="sr-Cyrl-RS"/>
        </w:rPr>
        <w:t>м</w:t>
      </w:r>
      <w:r w:rsidRPr="0081082A">
        <w:rPr>
          <w:rFonts w:ascii="Times New Roman" w:eastAsia="Calibri" w:hAnsi="Times New Roman" w:cs="Times New Roman"/>
          <w:sz w:val="24"/>
          <w:szCs w:val="24"/>
          <w:shd w:val="clear" w:color="auto" w:fill="FFFFFF"/>
          <w:lang w:val="sr-Cyrl-RS"/>
        </w:rPr>
        <w:t xml:space="preserve"> утицај</w:t>
      </w:r>
      <w:r w:rsidR="00BB00CB" w:rsidRPr="0081082A">
        <w:rPr>
          <w:rFonts w:ascii="Times New Roman" w:eastAsia="Calibri" w:hAnsi="Times New Roman" w:cs="Times New Roman"/>
          <w:sz w:val="24"/>
          <w:szCs w:val="24"/>
          <w:shd w:val="clear" w:color="auto" w:fill="FFFFFF"/>
          <w:lang w:val="sr-Cyrl-RS"/>
        </w:rPr>
        <w:t>у</w:t>
      </w:r>
      <w:r w:rsidRPr="0081082A">
        <w:rPr>
          <w:rFonts w:ascii="Times New Roman" w:eastAsia="Calibri" w:hAnsi="Times New Roman" w:cs="Times New Roman"/>
          <w:sz w:val="24"/>
          <w:szCs w:val="24"/>
          <w:shd w:val="clear" w:color="auto" w:fill="FFFFFF"/>
          <w:lang w:val="sr-Cyrl-RS"/>
        </w:rPr>
        <w:t xml:space="preserve"> на привреду, јавни дуг </w:t>
      </w:r>
      <w:r w:rsidR="00BB00CB" w:rsidRPr="0081082A">
        <w:rPr>
          <w:rFonts w:ascii="Times New Roman" w:eastAsia="Calibri" w:hAnsi="Times New Roman" w:cs="Times New Roman"/>
          <w:sz w:val="24"/>
          <w:szCs w:val="24"/>
          <w:shd w:val="clear" w:color="auto" w:fill="FFFFFF"/>
          <w:lang w:val="sr-Cyrl-RS"/>
        </w:rPr>
        <w:t xml:space="preserve">на </w:t>
      </w:r>
      <w:r w:rsidR="002D5FB1" w:rsidRPr="0081082A">
        <w:rPr>
          <w:rFonts w:ascii="Times New Roman" w:eastAsia="Calibri" w:hAnsi="Times New Roman" w:cs="Times New Roman"/>
          <w:sz w:val="24"/>
          <w:szCs w:val="24"/>
          <w:shd w:val="clear" w:color="auto" w:fill="FFFFFF"/>
          <w:lang w:val="sr-Cyrl-RS"/>
        </w:rPr>
        <w:t xml:space="preserve">крају </w:t>
      </w:r>
      <w:r w:rsidRPr="0081082A">
        <w:rPr>
          <w:rFonts w:ascii="Times New Roman" w:eastAsia="Calibri" w:hAnsi="Times New Roman" w:cs="Times New Roman"/>
          <w:sz w:val="24"/>
          <w:szCs w:val="24"/>
          <w:shd w:val="clear" w:color="auto" w:fill="FFFFFF"/>
          <w:lang w:val="sr-Cyrl-RS"/>
        </w:rPr>
        <w:t>2020. године износио 5</w:t>
      </w:r>
      <w:r w:rsidR="002D5FB1" w:rsidRPr="0081082A">
        <w:rPr>
          <w:rFonts w:ascii="Times New Roman" w:eastAsia="Calibri" w:hAnsi="Times New Roman" w:cs="Times New Roman"/>
          <w:sz w:val="24"/>
          <w:szCs w:val="24"/>
          <w:shd w:val="clear" w:color="auto" w:fill="FFFFFF"/>
          <w:lang w:val="sr-Cyrl-RS"/>
        </w:rPr>
        <w:t>8</w:t>
      </w:r>
      <w:r w:rsidRPr="0081082A">
        <w:rPr>
          <w:rFonts w:ascii="Times New Roman" w:eastAsia="Calibri" w:hAnsi="Times New Roman" w:cs="Times New Roman"/>
          <w:sz w:val="24"/>
          <w:szCs w:val="24"/>
          <w:shd w:val="clear" w:color="auto" w:fill="FFFFFF"/>
          <w:lang w:val="sr-Cyrl-RS"/>
        </w:rPr>
        <w:t>.</w:t>
      </w:r>
      <w:r w:rsidR="002D5FB1" w:rsidRPr="0081082A">
        <w:rPr>
          <w:rFonts w:ascii="Times New Roman" w:eastAsia="Calibri" w:hAnsi="Times New Roman" w:cs="Times New Roman"/>
          <w:sz w:val="24"/>
          <w:szCs w:val="24"/>
          <w:shd w:val="clear" w:color="auto" w:fill="FFFFFF"/>
          <w:lang w:val="sr-Cyrl-RS"/>
        </w:rPr>
        <w:t>2</w:t>
      </w:r>
      <w:r w:rsidRPr="0081082A">
        <w:rPr>
          <w:rFonts w:ascii="Times New Roman" w:eastAsia="Calibri" w:hAnsi="Times New Roman" w:cs="Times New Roman"/>
          <w:sz w:val="24"/>
          <w:szCs w:val="24"/>
          <w:shd w:val="clear" w:color="auto" w:fill="FFFFFF"/>
          <w:lang w:val="sr-Cyrl-RS"/>
        </w:rPr>
        <w:t xml:space="preserve">% </w:t>
      </w:r>
      <w:r w:rsidR="00BB00CB" w:rsidRPr="0081082A">
        <w:rPr>
          <w:rFonts w:ascii="Times New Roman" w:eastAsia="Calibri" w:hAnsi="Times New Roman" w:cs="Times New Roman"/>
          <w:sz w:val="24"/>
          <w:szCs w:val="24"/>
          <w:shd w:val="clear" w:color="auto" w:fill="FFFFFF"/>
          <w:lang w:val="sr-Cyrl-RS"/>
        </w:rPr>
        <w:t>БДП</w:t>
      </w:r>
      <w:r w:rsidRPr="0081082A">
        <w:rPr>
          <w:rFonts w:ascii="Times New Roman" w:eastAsia="Calibri" w:hAnsi="Times New Roman" w:cs="Times New Roman"/>
          <w:sz w:val="24"/>
          <w:szCs w:val="24"/>
          <w:shd w:val="clear" w:color="auto" w:fill="FFFFFF"/>
          <w:lang w:val="sr-Cyrl-RS"/>
        </w:rPr>
        <w:t xml:space="preserve">. </w:t>
      </w:r>
      <w:r w:rsidR="00BB00CB" w:rsidRPr="0081082A">
        <w:rPr>
          <w:rFonts w:ascii="Times New Roman" w:eastAsia="Calibri" w:hAnsi="Times New Roman" w:cs="Times New Roman"/>
          <w:sz w:val="24"/>
          <w:szCs w:val="24"/>
          <w:shd w:val="clear" w:color="auto" w:fill="FFFFFF"/>
          <w:lang w:val="sr-Cyrl-RS"/>
        </w:rPr>
        <w:t>С обзиром на то да су примењене економске мере дале значајан ефекат, очекује се да након додатног раста овог индикатора у првом кварталу 2021. године, краткорочни тренд раста замени тренд даљег смањења у односу јавног дуга и БДП-а. Овак</w:t>
      </w:r>
      <w:r w:rsidR="00AF0F45" w:rsidRPr="0081082A">
        <w:rPr>
          <w:rFonts w:ascii="Times New Roman" w:eastAsia="Calibri" w:hAnsi="Times New Roman" w:cs="Times New Roman"/>
          <w:sz w:val="24"/>
          <w:szCs w:val="24"/>
          <w:shd w:val="clear" w:color="auto" w:fill="FFFFFF"/>
          <w:lang w:val="sr-Cyrl-RS"/>
        </w:rPr>
        <w:t xml:space="preserve">ва процена </w:t>
      </w:r>
      <w:r w:rsidR="00BB00CB" w:rsidRPr="0081082A">
        <w:rPr>
          <w:rFonts w:ascii="Times New Roman" w:eastAsia="Calibri" w:hAnsi="Times New Roman" w:cs="Times New Roman"/>
          <w:sz w:val="24"/>
          <w:szCs w:val="24"/>
          <w:shd w:val="clear" w:color="auto" w:fill="FFFFFF"/>
          <w:lang w:val="sr-Cyrl-RS"/>
        </w:rPr>
        <w:t>заснива се на претпоставци очекиваног привредног раста у 2021. години</w:t>
      </w:r>
      <w:r w:rsidR="006069E9" w:rsidRPr="0081082A">
        <w:rPr>
          <w:rFonts w:ascii="Times New Roman" w:eastAsia="Calibri" w:hAnsi="Times New Roman" w:cs="Times New Roman"/>
          <w:sz w:val="24"/>
          <w:szCs w:val="24"/>
          <w:shd w:val="clear" w:color="auto" w:fill="FFFFFF"/>
          <w:lang w:val="sr-Cyrl-RS"/>
        </w:rPr>
        <w:t>,</w:t>
      </w:r>
      <w:r w:rsidR="00BB00CB" w:rsidRPr="0081082A">
        <w:rPr>
          <w:rFonts w:ascii="Times New Roman" w:eastAsia="Calibri" w:hAnsi="Times New Roman" w:cs="Times New Roman"/>
          <w:sz w:val="24"/>
          <w:szCs w:val="24"/>
          <w:shd w:val="clear" w:color="auto" w:fill="FFFFFF"/>
          <w:lang w:val="sr-Cyrl-RS"/>
        </w:rPr>
        <w:t xml:space="preserve"> као и успоравања процеса предузимања нових задуживања</w:t>
      </w:r>
      <w:r w:rsidRPr="0081082A">
        <w:rPr>
          <w:rFonts w:ascii="Times New Roman" w:eastAsia="Calibri" w:hAnsi="Times New Roman" w:cs="Times New Roman"/>
          <w:sz w:val="24"/>
          <w:szCs w:val="24"/>
          <w:shd w:val="clear" w:color="auto" w:fill="FFFFFF"/>
          <w:lang w:val="sr-Cyrl-RS"/>
        </w:rPr>
        <w:t xml:space="preserve">. </w:t>
      </w:r>
    </w:p>
    <w:p w:rsidR="00721398" w:rsidRPr="0081082A" w:rsidRDefault="00721398" w:rsidP="0086546D">
      <w:pPr>
        <w:spacing w:after="0" w:line="240" w:lineRule="auto"/>
        <w:ind w:firstLine="708"/>
        <w:jc w:val="both"/>
        <w:rPr>
          <w:rFonts w:ascii="Times New Roman" w:eastAsia="Calibri" w:hAnsi="Times New Roman" w:cs="Times New Roman"/>
          <w:sz w:val="24"/>
          <w:szCs w:val="24"/>
          <w:shd w:val="clear" w:color="auto" w:fill="FFFFFF"/>
          <w:lang w:val="sr-Cyrl-RS"/>
        </w:rPr>
      </w:pPr>
      <w:r w:rsidRPr="0081082A">
        <w:rPr>
          <w:rFonts w:ascii="Times New Roman" w:eastAsia="Calibri" w:hAnsi="Times New Roman" w:cs="Times New Roman"/>
          <w:sz w:val="24"/>
          <w:szCs w:val="24"/>
          <w:shd w:val="clear" w:color="auto" w:fill="FFFFFF"/>
          <w:lang w:val="sr-Cyrl-RS"/>
        </w:rPr>
        <w:t xml:space="preserve">Управа за јавни дуг спровела </w:t>
      </w:r>
      <w:r w:rsidR="00006E86" w:rsidRPr="0081082A">
        <w:rPr>
          <w:rFonts w:ascii="Times New Roman" w:eastAsia="Calibri" w:hAnsi="Times New Roman" w:cs="Times New Roman"/>
          <w:sz w:val="24"/>
          <w:szCs w:val="24"/>
          <w:shd w:val="clear" w:color="auto" w:fill="FFFFFF"/>
          <w:lang w:val="sr-Cyrl-RS"/>
        </w:rPr>
        <w:t xml:space="preserve">је </w:t>
      </w:r>
      <w:r w:rsidRPr="0081082A">
        <w:rPr>
          <w:rFonts w:ascii="Times New Roman" w:eastAsia="Calibri" w:hAnsi="Times New Roman" w:cs="Times New Roman"/>
          <w:sz w:val="24"/>
          <w:szCs w:val="24"/>
          <w:shd w:val="clear" w:color="auto" w:fill="FFFFFF"/>
          <w:lang w:val="sr-Cyrl-RS"/>
        </w:rPr>
        <w:t xml:space="preserve">мере за  континуирану изградњу капацитета кроз обуке и развој софтвера као један од кључних елемената адекватног управљања јавним дугом. Током трајања ПРУЈФ 2016-2020, капацитети Управе за јавни дуг побољшани су јачањем људских капацитета, учењем на основу искуства најбољих пракси, а спроведени су и почетни кораци за увођење нове методологије за праћење ризика и софтвера за управљање јавним дугом. Софтвер за управљање јавним дугом израђен </w:t>
      </w:r>
      <w:r w:rsidR="00B14839" w:rsidRPr="0081082A">
        <w:rPr>
          <w:rFonts w:ascii="Times New Roman" w:eastAsia="Calibri" w:hAnsi="Times New Roman" w:cs="Times New Roman"/>
          <w:sz w:val="24"/>
          <w:szCs w:val="24"/>
          <w:shd w:val="clear" w:color="auto" w:fill="FFFFFF"/>
          <w:lang w:val="sr-Cyrl-RS"/>
        </w:rPr>
        <w:t xml:space="preserve">је </w:t>
      </w:r>
      <w:r w:rsidRPr="0081082A">
        <w:rPr>
          <w:rFonts w:ascii="Times New Roman" w:eastAsia="Calibri" w:hAnsi="Times New Roman" w:cs="Times New Roman"/>
          <w:sz w:val="24"/>
          <w:szCs w:val="24"/>
          <w:shd w:val="clear" w:color="auto" w:fill="FFFFFF"/>
          <w:lang w:val="sr-Cyrl-RS"/>
        </w:rPr>
        <w:t xml:space="preserve">крајем 2018. године, и његово увођење помаже при превазилажењу проблема у раду </w:t>
      </w:r>
      <w:r w:rsidR="00B14839" w:rsidRPr="0081082A">
        <w:rPr>
          <w:rFonts w:ascii="Times New Roman" w:eastAsia="Calibri" w:hAnsi="Times New Roman" w:cs="Times New Roman"/>
          <w:sz w:val="24"/>
          <w:szCs w:val="24"/>
          <w:shd w:val="clear" w:color="auto" w:fill="FFFFFF"/>
          <w:lang w:val="sr-Cyrl-RS"/>
        </w:rPr>
        <w:t>Управе за јавни дуг</w:t>
      </w:r>
      <w:r w:rsidRPr="0081082A">
        <w:rPr>
          <w:rFonts w:ascii="Times New Roman" w:eastAsia="Calibri" w:hAnsi="Times New Roman" w:cs="Times New Roman"/>
          <w:sz w:val="24"/>
          <w:szCs w:val="24"/>
          <w:shd w:val="clear" w:color="auto" w:fill="FFFFFF"/>
          <w:lang w:val="sr-Cyrl-RS"/>
        </w:rPr>
        <w:t xml:space="preserve"> и унапређењу </w:t>
      </w:r>
      <w:r w:rsidR="00B14839" w:rsidRPr="0081082A">
        <w:rPr>
          <w:rFonts w:ascii="Times New Roman" w:eastAsia="Calibri" w:hAnsi="Times New Roman" w:cs="Times New Roman"/>
          <w:sz w:val="24"/>
          <w:szCs w:val="24"/>
          <w:shd w:val="clear" w:color="auto" w:fill="FFFFFF"/>
          <w:lang w:val="sr-Cyrl-RS"/>
        </w:rPr>
        <w:t xml:space="preserve">њених </w:t>
      </w:r>
      <w:r w:rsidRPr="0081082A">
        <w:rPr>
          <w:rFonts w:ascii="Times New Roman" w:eastAsia="Calibri" w:hAnsi="Times New Roman" w:cs="Times New Roman"/>
          <w:sz w:val="24"/>
          <w:szCs w:val="24"/>
          <w:shd w:val="clear" w:color="auto" w:fill="FFFFFF"/>
          <w:lang w:val="sr-Cyrl-RS"/>
        </w:rPr>
        <w:t>аналитичких капацитета.</w:t>
      </w:r>
    </w:p>
    <w:p w:rsidR="00CE1AF1" w:rsidRPr="0081082A" w:rsidRDefault="00CE1AF1"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Током 2020. године, Управа за јавни дуг, заједно са консултантима пројекта комплементарне помоћи „Подршка Mинистарству финансија у оквиру секторског реформског уговора за сектор реформе јавне управе</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наставила је са активностима на унапређењу система за управљање ризицима</w:t>
      </w:r>
      <w:r w:rsidR="00891AAC" w:rsidRPr="0081082A">
        <w:rPr>
          <w:rFonts w:ascii="Times New Roman" w:hAnsi="Times New Roman" w:cs="Times New Roman"/>
          <w:sz w:val="24"/>
          <w:szCs w:val="24"/>
          <w:lang w:val="sr-Cyrl-RS"/>
        </w:rPr>
        <w:t>. У оквиру пројекта</w:t>
      </w:r>
      <w:r w:rsidRPr="0081082A">
        <w:rPr>
          <w:rFonts w:ascii="Times New Roman" w:hAnsi="Times New Roman" w:cs="Times New Roman"/>
          <w:sz w:val="24"/>
          <w:szCs w:val="24"/>
          <w:lang w:val="sr-Cyrl-RS"/>
        </w:rPr>
        <w:t xml:space="preserve"> је израђено и усвојено идејно решење будућег модела за управљање ризицима заједно са техничком ИТ спецификацијом, који су у складу са водећим светским трендовима у овој области. Нови модел за управљање ризицима, који спада у категорију комплексних стохастичких модела, чији се развој у софтверском облику очекује </w:t>
      </w:r>
      <w:r w:rsidR="00910DF9" w:rsidRPr="0081082A">
        <w:rPr>
          <w:rFonts w:ascii="Times New Roman" w:hAnsi="Times New Roman" w:cs="Times New Roman"/>
          <w:sz w:val="24"/>
          <w:szCs w:val="24"/>
          <w:lang w:val="sr-Cyrl-RS"/>
        </w:rPr>
        <w:t>до краја 2024.</w:t>
      </w:r>
      <w:r w:rsidRPr="0081082A">
        <w:rPr>
          <w:rFonts w:ascii="Times New Roman" w:hAnsi="Times New Roman" w:cs="Times New Roman"/>
          <w:sz w:val="24"/>
          <w:szCs w:val="24"/>
          <w:lang w:val="sr-Cyrl-RS"/>
        </w:rPr>
        <w:t xml:space="preserve"> године, допринеће даљем повећању квалитета управљања јавним дугом у </w:t>
      </w:r>
      <w:r w:rsidR="00B14839" w:rsidRPr="0081082A">
        <w:rPr>
          <w:rFonts w:ascii="Times New Roman" w:hAnsi="Times New Roman" w:cs="Times New Roman"/>
          <w:sz w:val="24"/>
          <w:szCs w:val="24"/>
          <w:lang w:val="sr-Cyrl-RS"/>
        </w:rPr>
        <w:t>Р</w:t>
      </w:r>
      <w:r w:rsidR="00D539B3" w:rsidRPr="0081082A">
        <w:rPr>
          <w:rFonts w:ascii="Times New Roman" w:hAnsi="Times New Roman" w:cs="Times New Roman"/>
          <w:sz w:val="24"/>
          <w:szCs w:val="24"/>
          <w:lang w:val="sr-Cyrl-RS"/>
        </w:rPr>
        <w:t xml:space="preserve">епублици </w:t>
      </w:r>
      <w:r w:rsidR="00B14839" w:rsidRPr="0081082A">
        <w:rPr>
          <w:rFonts w:ascii="Times New Roman" w:hAnsi="Times New Roman" w:cs="Times New Roman"/>
          <w:sz w:val="24"/>
          <w:szCs w:val="24"/>
          <w:lang w:val="sr-Cyrl-RS"/>
        </w:rPr>
        <w:t>С</w:t>
      </w:r>
      <w:r w:rsidR="00D539B3" w:rsidRPr="0081082A">
        <w:rPr>
          <w:rFonts w:ascii="Times New Roman" w:hAnsi="Times New Roman" w:cs="Times New Roman"/>
          <w:sz w:val="24"/>
          <w:szCs w:val="24"/>
          <w:lang w:val="sr-Cyrl-RS"/>
        </w:rPr>
        <w:t>рбији</w:t>
      </w:r>
      <w:r w:rsidRPr="0081082A">
        <w:rPr>
          <w:rFonts w:ascii="Times New Roman" w:hAnsi="Times New Roman" w:cs="Times New Roman"/>
          <w:sz w:val="24"/>
          <w:szCs w:val="24"/>
          <w:lang w:val="sr-Cyrl-RS"/>
        </w:rPr>
        <w:t xml:space="preserve">. </w:t>
      </w:r>
    </w:p>
    <w:p w:rsidR="008253F7" w:rsidRPr="0081082A" w:rsidRDefault="008253F7" w:rsidP="0086546D">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bCs/>
          <w:i/>
          <w:iCs/>
          <w:sz w:val="24"/>
          <w:szCs w:val="24"/>
          <w:lang w:val="sr-Cyrl-RS"/>
        </w:rPr>
        <w:lastRenderedPageBreak/>
        <w:t>PEFA</w:t>
      </w:r>
      <w:r w:rsidRPr="0081082A">
        <w:rPr>
          <w:rFonts w:ascii="Times New Roman" w:hAnsi="Times New Roman" w:cs="Times New Roman"/>
          <w:bCs/>
          <w:sz w:val="24"/>
          <w:szCs w:val="24"/>
          <w:lang w:val="sr-Cyrl-RS"/>
        </w:rPr>
        <w:t xml:space="preserve"> процена за Р</w:t>
      </w:r>
      <w:r w:rsidR="00D539B3" w:rsidRPr="0081082A">
        <w:rPr>
          <w:rFonts w:ascii="Times New Roman" w:hAnsi="Times New Roman" w:cs="Times New Roman"/>
          <w:bCs/>
          <w:sz w:val="24"/>
          <w:szCs w:val="24"/>
          <w:lang w:val="sr-Cyrl-RS"/>
        </w:rPr>
        <w:t xml:space="preserve">епублику </w:t>
      </w:r>
      <w:r w:rsidRPr="0081082A">
        <w:rPr>
          <w:rFonts w:ascii="Times New Roman" w:hAnsi="Times New Roman" w:cs="Times New Roman"/>
          <w:bCs/>
          <w:sz w:val="24"/>
          <w:szCs w:val="24"/>
          <w:lang w:val="sr-Cyrl-RS"/>
        </w:rPr>
        <w:t>С</w:t>
      </w:r>
      <w:r w:rsidR="00D539B3" w:rsidRPr="0081082A">
        <w:rPr>
          <w:rFonts w:ascii="Times New Roman" w:hAnsi="Times New Roman" w:cs="Times New Roman"/>
          <w:bCs/>
          <w:sz w:val="24"/>
          <w:szCs w:val="24"/>
          <w:lang w:val="sr-Cyrl-RS"/>
        </w:rPr>
        <w:t>рбију</w:t>
      </w:r>
      <w:r w:rsidRPr="0081082A">
        <w:rPr>
          <w:rFonts w:ascii="Times New Roman" w:hAnsi="Times New Roman" w:cs="Times New Roman"/>
          <w:bCs/>
          <w:sz w:val="24"/>
          <w:szCs w:val="24"/>
          <w:lang w:val="sr-Cyrl-RS"/>
        </w:rPr>
        <w:t xml:space="preserve"> оценила је да је систем управљања јавним дугом добро развијен. Подаци о јавном дугу су ажурни и објављују се на месечном и кварталном нивоу, што је један од главних резултата напора које је Управа за јавни дуг уложила у транспарентност података о јавном дугу Р</w:t>
      </w:r>
      <w:r w:rsidR="00D539B3" w:rsidRPr="0081082A">
        <w:rPr>
          <w:rFonts w:ascii="Times New Roman" w:hAnsi="Times New Roman" w:cs="Times New Roman"/>
          <w:bCs/>
          <w:sz w:val="24"/>
          <w:szCs w:val="24"/>
          <w:lang w:val="sr-Cyrl-RS"/>
        </w:rPr>
        <w:t xml:space="preserve">епублике </w:t>
      </w:r>
      <w:r w:rsidRPr="0081082A">
        <w:rPr>
          <w:rFonts w:ascii="Times New Roman" w:hAnsi="Times New Roman" w:cs="Times New Roman"/>
          <w:bCs/>
          <w:sz w:val="24"/>
          <w:szCs w:val="24"/>
          <w:lang w:val="sr-Cyrl-RS"/>
        </w:rPr>
        <w:t>С</w:t>
      </w:r>
      <w:r w:rsidR="00D539B3" w:rsidRPr="0081082A">
        <w:rPr>
          <w:rFonts w:ascii="Times New Roman" w:hAnsi="Times New Roman" w:cs="Times New Roman"/>
          <w:bCs/>
          <w:sz w:val="24"/>
          <w:szCs w:val="24"/>
          <w:lang w:val="sr-Cyrl-RS"/>
        </w:rPr>
        <w:t>рбије</w:t>
      </w:r>
      <w:r w:rsidRPr="0081082A">
        <w:rPr>
          <w:rFonts w:ascii="Times New Roman" w:hAnsi="Times New Roman" w:cs="Times New Roman"/>
          <w:bCs/>
          <w:sz w:val="24"/>
          <w:szCs w:val="24"/>
          <w:lang w:val="sr-Cyrl-RS"/>
        </w:rPr>
        <w:t xml:space="preserve">. Уз то, позитивно је оцењено што је Управа за јавни дуг једини орган Владе који је целокупно надлежан за задуживање. </w:t>
      </w:r>
    </w:p>
    <w:p w:rsidR="00891AAC" w:rsidRPr="0081082A" w:rsidRDefault="00891AAC" w:rsidP="0086546D">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 xml:space="preserve">Након више од седам година, </w:t>
      </w:r>
      <w:r w:rsidR="00367AB8" w:rsidRPr="0081082A">
        <w:rPr>
          <w:rFonts w:ascii="Times New Roman" w:hAnsi="Times New Roman" w:cs="Times New Roman"/>
          <w:bCs/>
          <w:sz w:val="24"/>
          <w:szCs w:val="24"/>
          <w:lang w:val="sr-Cyrl-RS"/>
        </w:rPr>
        <w:t>Р</w:t>
      </w:r>
      <w:r w:rsidR="00D539B3" w:rsidRPr="0081082A">
        <w:rPr>
          <w:rFonts w:ascii="Times New Roman" w:hAnsi="Times New Roman" w:cs="Times New Roman"/>
          <w:bCs/>
          <w:sz w:val="24"/>
          <w:szCs w:val="24"/>
          <w:lang w:val="sr-Cyrl-RS"/>
        </w:rPr>
        <w:t xml:space="preserve">епублика </w:t>
      </w:r>
      <w:r w:rsidR="00367AB8" w:rsidRPr="0081082A">
        <w:rPr>
          <w:rFonts w:ascii="Times New Roman" w:hAnsi="Times New Roman" w:cs="Times New Roman"/>
          <w:bCs/>
          <w:sz w:val="24"/>
          <w:szCs w:val="24"/>
          <w:lang w:val="sr-Cyrl-RS"/>
        </w:rPr>
        <w:t>С</w:t>
      </w:r>
      <w:r w:rsidR="00D539B3" w:rsidRPr="0081082A">
        <w:rPr>
          <w:rFonts w:ascii="Times New Roman" w:hAnsi="Times New Roman" w:cs="Times New Roman"/>
          <w:bCs/>
          <w:sz w:val="24"/>
          <w:szCs w:val="24"/>
          <w:lang w:val="sr-Cyrl-RS"/>
        </w:rPr>
        <w:t>рбија</w:t>
      </w:r>
      <w:r w:rsidRPr="0081082A">
        <w:rPr>
          <w:rFonts w:ascii="Times New Roman" w:hAnsi="Times New Roman" w:cs="Times New Roman"/>
          <w:bCs/>
          <w:sz w:val="24"/>
          <w:szCs w:val="24"/>
          <w:lang w:val="sr-Cyrl-RS"/>
        </w:rPr>
        <w:t xml:space="preserve"> је 2020. године поново реализовала веома значајну емисију обвезница издатих у америчким доларима. Средства вредности 1,2 милијарде долара прикупљена су издавањем десетогодишњих обвезница по стопи приноса од 2,35%, купонској стопи од 2,125% и купонској стопи у еврима, након реализације хеџинг трансакције, од 1,066%. Средства су веома успешно искоришћена, те је извршена превремена отплата 900 милиона долара обвезница емитованих и реализованих 2011. године</w:t>
      </w:r>
      <w:r w:rsidR="008253F7" w:rsidRPr="0081082A">
        <w:rPr>
          <w:rFonts w:ascii="Times New Roman" w:hAnsi="Times New Roman" w:cs="Times New Roman"/>
          <w:bCs/>
          <w:sz w:val="24"/>
          <w:szCs w:val="24"/>
          <w:lang w:val="sr-Cyrl-RS"/>
        </w:rPr>
        <w:t>.</w:t>
      </w:r>
    </w:p>
    <w:p w:rsidR="00891AAC" w:rsidRPr="0081082A" w:rsidRDefault="00891AAC" w:rsidP="0086546D">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 xml:space="preserve">Наведеном емисијом управљање јавним дугом </w:t>
      </w:r>
      <w:r w:rsidR="00D539B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bCs/>
          <w:sz w:val="24"/>
          <w:szCs w:val="24"/>
          <w:lang w:val="sr-Cyrl-RS"/>
        </w:rPr>
        <w:t xml:space="preserve"> подигнуто је на виши ниво, кроз уговарање првих трансакција путем коришћења финансијских деривата. У четири трансакције, уговорени су унакрсни валутни свопови, чиме је реализована измена услова задужења, те је изложеност 1,2 милијарде долара дуга из дугорочних обвезница издатих </w:t>
      </w:r>
      <w:r w:rsidR="00C7742B" w:rsidRPr="0081082A">
        <w:rPr>
          <w:rFonts w:ascii="Times New Roman" w:hAnsi="Times New Roman" w:cs="Times New Roman"/>
          <w:bCs/>
          <w:sz w:val="24"/>
          <w:szCs w:val="24"/>
          <w:lang w:val="sr-Cyrl-RS"/>
        </w:rPr>
        <w:t>у</w:t>
      </w:r>
      <w:r w:rsidRPr="0081082A">
        <w:rPr>
          <w:rFonts w:ascii="Times New Roman" w:hAnsi="Times New Roman" w:cs="Times New Roman"/>
          <w:bCs/>
          <w:sz w:val="24"/>
          <w:szCs w:val="24"/>
          <w:lang w:val="sr-Cyrl-RS"/>
        </w:rPr>
        <w:t xml:space="preserve"> америчким доларима са каматном стопом од 2,125%, замењена изложеношћу ка е</w:t>
      </w:r>
      <w:r w:rsidR="00106858">
        <w:rPr>
          <w:rFonts w:ascii="Times New Roman" w:hAnsi="Times New Roman" w:cs="Times New Roman"/>
          <w:bCs/>
          <w:sz w:val="24"/>
          <w:szCs w:val="24"/>
          <w:lang w:val="sr-Cyrl-RS"/>
        </w:rPr>
        <w:t>в</w:t>
      </w:r>
      <w:r w:rsidRPr="0081082A">
        <w:rPr>
          <w:rFonts w:ascii="Times New Roman" w:hAnsi="Times New Roman" w:cs="Times New Roman"/>
          <w:bCs/>
          <w:sz w:val="24"/>
          <w:szCs w:val="24"/>
          <w:lang w:val="sr-Cyrl-RS"/>
        </w:rPr>
        <w:t xml:space="preserve">рима, са каматном стопом од 1,066%. Овим трансакцијама учињен је значајан корак у правцу усаглашавања валутне структуре јавног дуга са </w:t>
      </w:r>
      <w:r w:rsidR="008253F7" w:rsidRPr="0081082A">
        <w:rPr>
          <w:rFonts w:ascii="Times New Roman" w:hAnsi="Times New Roman" w:cs="Times New Roman"/>
          <w:bCs/>
          <w:sz w:val="24"/>
          <w:szCs w:val="24"/>
          <w:lang w:val="sr-Cyrl-RS"/>
        </w:rPr>
        <w:t xml:space="preserve">циљевима зацртаним у </w:t>
      </w:r>
      <w:r w:rsidRPr="0081082A">
        <w:rPr>
          <w:rFonts w:ascii="Times New Roman" w:hAnsi="Times New Roman" w:cs="Times New Roman"/>
          <w:bCs/>
          <w:sz w:val="24"/>
          <w:szCs w:val="24"/>
          <w:lang w:val="sr-Cyrl-RS"/>
        </w:rPr>
        <w:t>Стратегиј</w:t>
      </w:r>
      <w:r w:rsidR="008253F7" w:rsidRPr="0081082A">
        <w:rPr>
          <w:rFonts w:ascii="Times New Roman" w:hAnsi="Times New Roman" w:cs="Times New Roman"/>
          <w:bCs/>
          <w:sz w:val="24"/>
          <w:szCs w:val="24"/>
          <w:lang w:val="sr-Cyrl-RS"/>
        </w:rPr>
        <w:t>и</w:t>
      </w:r>
      <w:r w:rsidRPr="0081082A">
        <w:rPr>
          <w:rFonts w:ascii="Times New Roman" w:hAnsi="Times New Roman" w:cs="Times New Roman"/>
          <w:bCs/>
          <w:sz w:val="24"/>
          <w:szCs w:val="24"/>
          <w:lang w:val="sr-Cyrl-RS"/>
        </w:rPr>
        <w:t xml:space="preserve"> за управљање јавним дугом </w:t>
      </w:r>
      <w:r w:rsidR="00D539B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bCs/>
          <w:sz w:val="24"/>
          <w:szCs w:val="24"/>
          <w:lang w:val="sr-Cyrl-RS"/>
        </w:rPr>
        <w:t xml:space="preserve">. </w:t>
      </w:r>
    </w:p>
    <w:p w:rsidR="00721398" w:rsidRPr="0081082A" w:rsidRDefault="00721398" w:rsidP="0086546D">
      <w:pPr>
        <w:keepNext/>
        <w:spacing w:after="0" w:line="240" w:lineRule="auto"/>
        <w:jc w:val="both"/>
        <w:rPr>
          <w:rFonts w:ascii="Times New Roman" w:hAnsi="Times New Roman"/>
          <w:sz w:val="24"/>
          <w:lang w:val="sr-Cyrl-RS"/>
        </w:rPr>
      </w:pPr>
      <w:r w:rsidRPr="0081082A">
        <w:rPr>
          <w:rFonts w:ascii="Times New Roman" w:hAnsi="Times New Roman" w:cs="Times New Roman"/>
          <w:bCs/>
          <w:noProof/>
          <w:sz w:val="24"/>
          <w:szCs w:val="24"/>
        </w:rPr>
        <w:drawing>
          <wp:inline distT="0" distB="0" distL="0" distR="0" wp14:anchorId="0B28B15E" wp14:editId="33291700">
            <wp:extent cx="5305425" cy="1935377"/>
            <wp:effectExtent l="0" t="57150" r="0" b="46355"/>
            <wp:docPr id="214" name="Diagram 2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rsidR="00721398" w:rsidRPr="0081082A" w:rsidRDefault="00721398" w:rsidP="0086546D">
      <w:pPr>
        <w:pStyle w:val="Caption"/>
        <w:spacing w:after="0" w:line="240" w:lineRule="auto"/>
        <w:jc w:val="both"/>
        <w:rPr>
          <w:color w:val="000000" w:themeColor="text1"/>
          <w:sz w:val="20"/>
          <w:lang w:val="sr-Cyrl-RS"/>
        </w:rPr>
      </w:pPr>
      <w:r w:rsidRPr="0081082A">
        <w:rPr>
          <w:rFonts w:ascii="Times New Roman" w:hAnsi="Times New Roman"/>
          <w:color w:val="000000" w:themeColor="text1"/>
          <w:sz w:val="20"/>
          <w:lang w:val="sr-Cyrl-RS"/>
        </w:rPr>
        <w:t>Илустрација</w:t>
      </w:r>
      <w:r w:rsidR="00374927" w:rsidRPr="0081082A">
        <w:rPr>
          <w:rFonts w:ascii="Times New Roman" w:hAnsi="Times New Roman" w:cs="Times New Roman"/>
          <w:color w:val="000000" w:themeColor="text1"/>
          <w:sz w:val="20"/>
          <w:szCs w:val="22"/>
          <w:lang w:val="sr-Cyrl-RS"/>
        </w:rPr>
        <w:t xml:space="preserve"> 3</w:t>
      </w:r>
      <w:r w:rsidRPr="0081082A">
        <w:rPr>
          <w:rFonts w:ascii="Times New Roman" w:hAnsi="Times New Roman"/>
          <w:color w:val="000000" w:themeColor="text1"/>
          <w:sz w:val="20"/>
          <w:lang w:val="sr-Cyrl-RS"/>
        </w:rPr>
        <w:t>: Удео јавног дуга у домаћој валути и удео јавног дуга у америчким доларима</w:t>
      </w:r>
    </w:p>
    <w:p w:rsidR="004B736E" w:rsidRPr="0081082A" w:rsidRDefault="004B736E" w:rsidP="004B736E">
      <w:pPr>
        <w:spacing w:after="0" w:line="240" w:lineRule="auto"/>
        <w:ind w:firstLine="708"/>
        <w:jc w:val="both"/>
        <w:rPr>
          <w:rFonts w:ascii="Times New Roman" w:hAnsi="Times New Roman"/>
          <w:sz w:val="24"/>
          <w:lang w:val="sr-Cyrl-RS"/>
        </w:rPr>
      </w:pPr>
      <w:r w:rsidRPr="0081082A">
        <w:rPr>
          <w:rFonts w:ascii="Times New Roman" w:hAnsi="Times New Roman" w:cs="Times New Roman"/>
          <w:bCs/>
          <w:sz w:val="24"/>
          <w:szCs w:val="24"/>
          <w:lang w:val="sr-Cyrl-RS"/>
        </w:rPr>
        <w:t>Када су у питању најзначајнији показатељи јавног дуга, дошло</w:t>
      </w:r>
      <w:r w:rsidRPr="0081082A">
        <w:rPr>
          <w:rFonts w:ascii="Times New Roman" w:hAnsi="Times New Roman" w:cs="Times New Roman"/>
          <w:sz w:val="24"/>
          <w:szCs w:val="24"/>
          <w:lang w:val="sr-Cyrl-RS"/>
        </w:rPr>
        <w:t xml:space="preserve"> </w:t>
      </w:r>
      <w:r w:rsidRPr="0081082A">
        <w:rPr>
          <w:rFonts w:ascii="Times New Roman" w:hAnsi="Times New Roman" w:cs="Times New Roman"/>
          <w:bCs/>
          <w:sz w:val="24"/>
          <w:szCs w:val="24"/>
          <w:lang w:val="sr-Cyrl-RS"/>
        </w:rPr>
        <w:t xml:space="preserve"> је до значајног напретка у погледу удела јавног дуга на централном ниво</w:t>
      </w:r>
      <w:r w:rsidR="00C8530E" w:rsidRPr="0081082A">
        <w:rPr>
          <w:rFonts w:ascii="Times New Roman" w:hAnsi="Times New Roman" w:cs="Times New Roman"/>
          <w:bCs/>
          <w:sz w:val="24"/>
          <w:szCs w:val="24"/>
          <w:lang w:val="sr-Cyrl-RS"/>
        </w:rPr>
        <w:t>у власти у домаћој валути са 2,6</w:t>
      </w:r>
      <w:r w:rsidRPr="0081082A">
        <w:rPr>
          <w:rFonts w:ascii="Times New Roman" w:hAnsi="Times New Roman" w:cs="Times New Roman"/>
          <w:bCs/>
          <w:sz w:val="24"/>
          <w:szCs w:val="24"/>
          <w:lang w:val="sr-Cyrl-RS"/>
        </w:rPr>
        <w:t xml:space="preserve">% у 2008. години на </w:t>
      </w:r>
      <w:r w:rsidR="00C8530E" w:rsidRPr="0081082A">
        <w:rPr>
          <w:rFonts w:ascii="Times New Roman" w:hAnsi="Times New Roman" w:cs="Times New Roman"/>
          <w:bCs/>
          <w:sz w:val="24"/>
          <w:szCs w:val="24"/>
          <w:lang w:val="sr-Cyrl-RS"/>
        </w:rPr>
        <w:t xml:space="preserve">30,5% на крају </w:t>
      </w:r>
      <w:r w:rsidRPr="0081082A">
        <w:rPr>
          <w:rFonts w:ascii="Times New Roman" w:hAnsi="Times New Roman" w:cs="Times New Roman"/>
          <w:bCs/>
          <w:sz w:val="24"/>
          <w:szCs w:val="24"/>
          <w:lang w:val="sr-Cyrl-RS"/>
        </w:rPr>
        <w:t>2020. године чему су</w:t>
      </w:r>
      <w:r w:rsidR="00C7742B"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пре свега</w:t>
      </w:r>
      <w:r w:rsidR="00C7742B"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допринеле емисије државних хартија од вредности на домаћем тржишту хартија од вредности. Уз то, </w:t>
      </w:r>
      <w:r w:rsidRPr="0081082A">
        <w:rPr>
          <w:rFonts w:ascii="Times New Roman" w:hAnsi="Times New Roman"/>
          <w:sz w:val="24"/>
          <w:lang w:val="sr-Cyrl-RS"/>
        </w:rPr>
        <w:t xml:space="preserve">захваљујући пре свега трансакцијама током 2020. године приликом којих је извршен превремени откуп скупих еврообвезница емитованих у 2011. и 2013. години у америчким доларима, </w:t>
      </w:r>
      <w:r w:rsidRPr="0081082A">
        <w:rPr>
          <w:rFonts w:ascii="Times New Roman" w:hAnsi="Times New Roman" w:cs="Times New Roman"/>
          <w:bCs/>
          <w:sz w:val="24"/>
          <w:szCs w:val="24"/>
          <w:lang w:val="sr-Cyrl-RS"/>
        </w:rPr>
        <w:t>дошло је</w:t>
      </w:r>
      <w:r w:rsidRPr="0081082A">
        <w:rPr>
          <w:rFonts w:ascii="Times New Roman" w:hAnsi="Times New Roman"/>
          <w:sz w:val="24"/>
          <w:lang w:val="sr-Cyrl-RS"/>
        </w:rPr>
        <w:t xml:space="preserve"> до</w:t>
      </w:r>
      <w:r w:rsidR="00C8530E" w:rsidRPr="0081082A">
        <w:rPr>
          <w:rFonts w:ascii="Times New Roman" w:hAnsi="Times New Roman"/>
          <w:sz w:val="24"/>
          <w:lang w:val="sr-Cyrl-RS"/>
        </w:rPr>
        <w:t xml:space="preserve"> значајног</w:t>
      </w:r>
      <w:r w:rsidRPr="0081082A">
        <w:rPr>
          <w:rFonts w:ascii="Times New Roman" w:hAnsi="Times New Roman"/>
          <w:sz w:val="24"/>
          <w:lang w:val="sr-Cyrl-RS"/>
        </w:rPr>
        <w:t xml:space="preserve"> пада учешћа доларског дуга у укупном јавном дугу</w:t>
      </w:r>
      <w:r w:rsidRPr="0081082A">
        <w:rPr>
          <w:rFonts w:ascii="Times New Roman" w:hAnsi="Times New Roman" w:cs="Times New Roman"/>
          <w:bCs/>
          <w:sz w:val="24"/>
          <w:szCs w:val="24"/>
          <w:lang w:val="sr-Cyrl-RS"/>
        </w:rPr>
        <w:t>.</w:t>
      </w:r>
      <w:r w:rsidRPr="0081082A">
        <w:rPr>
          <w:rFonts w:ascii="Times New Roman" w:hAnsi="Times New Roman"/>
          <w:sz w:val="24"/>
          <w:lang w:val="sr-Cyrl-RS"/>
        </w:rPr>
        <w:t xml:space="preserve"> </w:t>
      </w:r>
    </w:p>
    <w:p w:rsidR="00721398" w:rsidRPr="0081082A" w:rsidRDefault="00721398" w:rsidP="0086546D">
      <w:pPr>
        <w:spacing w:after="0" w:line="240" w:lineRule="auto"/>
        <w:ind w:firstLine="708"/>
        <w:jc w:val="both"/>
        <w:rPr>
          <w:rFonts w:ascii="Times New Roman" w:hAnsi="Times New Roman"/>
          <w:sz w:val="24"/>
          <w:lang w:val="sr-Cyrl-RS"/>
        </w:rPr>
      </w:pPr>
      <w:r w:rsidRPr="0081082A">
        <w:rPr>
          <w:rFonts w:ascii="Times New Roman" w:hAnsi="Times New Roman"/>
          <w:b/>
          <w:sz w:val="24"/>
          <w:lang w:val="sr-Cyrl-RS"/>
        </w:rPr>
        <w:t>Канцеларија за јавне набавке</w:t>
      </w:r>
      <w:r w:rsidRPr="0081082A">
        <w:rPr>
          <w:rFonts w:ascii="Times New Roman" w:hAnsi="Times New Roman" w:cs="Times New Roman"/>
          <w:sz w:val="24"/>
          <w:szCs w:val="24"/>
          <w:lang w:val="sr-Cyrl-RS"/>
        </w:rPr>
        <w:t xml:space="preserve"> </w:t>
      </w:r>
      <w:r w:rsidR="00755C11" w:rsidRPr="0081082A">
        <w:rPr>
          <w:rFonts w:ascii="Times New Roman" w:hAnsi="Times New Roman" w:cs="Times New Roman"/>
          <w:sz w:val="24"/>
          <w:szCs w:val="24"/>
          <w:lang w:val="sr-Cyrl-RS"/>
        </w:rPr>
        <w:t>је</w:t>
      </w:r>
      <w:r w:rsidRPr="0081082A">
        <w:rPr>
          <w:rFonts w:ascii="Times New Roman" w:hAnsi="Times New Roman" w:cs="Times New Roman"/>
          <w:sz w:val="24"/>
          <w:szCs w:val="24"/>
          <w:lang w:val="sr-Cyrl-RS"/>
        </w:rPr>
        <w:t xml:space="preserve"> задужена за успостављање и одржавање ефикасног система набавки и израду процедура које ће обезбедити ефикасно и транспарентно трошење јавних средстава, чиме се надовезује на опште напоре и циљ Владе</w:t>
      </w:r>
      <w:r w:rsidR="00755C11"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 xml:space="preserve">да смањи корупцију. Стратешки оквир за развој система јавних набавки успостављен је усвајањем Стратегије развоја јавних набавки 2014. године за период </w:t>
      </w:r>
      <w:r w:rsidRPr="0081082A">
        <w:rPr>
          <w:rFonts w:ascii="Times New Roman" w:hAnsi="Times New Roman" w:cs="Times New Roman"/>
          <w:sz w:val="24"/>
          <w:szCs w:val="24"/>
          <w:lang w:val="sr-Cyrl-RS"/>
        </w:rPr>
        <w:lastRenderedPageBreak/>
        <w:t>2014-2018. године, на коју се надовезао Програм развоја јавних набавки</w:t>
      </w:r>
      <w:r w:rsidRPr="0081082A">
        <w:rPr>
          <w:rFonts w:ascii="Times New Roman" w:hAnsi="Times New Roman"/>
          <w:sz w:val="24"/>
          <w:lang w:val="sr-Cyrl-RS"/>
        </w:rPr>
        <w:t xml:space="preserve"> </w:t>
      </w:r>
      <w:r w:rsidRPr="0081082A">
        <w:rPr>
          <w:rFonts w:ascii="Times New Roman" w:hAnsi="Times New Roman" w:cs="Times New Roman"/>
          <w:sz w:val="24"/>
          <w:szCs w:val="24"/>
          <w:lang w:val="sr-Cyrl-RS"/>
        </w:rPr>
        <w:t xml:space="preserve">у </w:t>
      </w:r>
      <w:r w:rsidR="00534963" w:rsidRPr="0081082A">
        <w:rPr>
          <w:rFonts w:ascii="Times New Roman" w:hAnsi="Times New Roman" w:cs="Times New Roman"/>
          <w:bCs/>
          <w:sz w:val="24"/>
          <w:szCs w:val="24"/>
          <w:lang w:val="sr-Cyrl-RS"/>
        </w:rPr>
        <w:t>Републици Србији</w:t>
      </w:r>
      <w:r w:rsidRPr="0081082A">
        <w:rPr>
          <w:rFonts w:ascii="Times New Roman" w:hAnsi="Times New Roman" w:cs="Times New Roman"/>
          <w:sz w:val="24"/>
          <w:szCs w:val="24"/>
          <w:lang w:val="sr-Cyrl-RS"/>
        </w:rPr>
        <w:t xml:space="preserve"> за период 2019-2023. године, усвојен у новембру 2019. године у складу са Законом о планском систему </w:t>
      </w:r>
      <w:r w:rsidR="002A61BC" w:rsidRPr="0081082A">
        <w:rPr>
          <w:rFonts w:ascii="Times New Roman" w:hAnsi="Times New Roman" w:cs="Times New Roman"/>
          <w:sz w:val="24"/>
          <w:szCs w:val="24"/>
          <w:lang w:val="sr-Cyrl-RS"/>
        </w:rPr>
        <w:t xml:space="preserve"> Републике Србије</w:t>
      </w:r>
      <w:r w:rsidRPr="0081082A">
        <w:rPr>
          <w:rFonts w:ascii="Times New Roman" w:hAnsi="Times New Roman" w:cs="Times New Roman"/>
          <w:sz w:val="24"/>
          <w:szCs w:val="24"/>
          <w:lang w:val="sr-Cyrl-RS"/>
        </w:rPr>
        <w:t xml:space="preserve">. </w:t>
      </w:r>
      <w:r w:rsidR="00D85AF9" w:rsidRPr="0081082A">
        <w:rPr>
          <w:rFonts w:ascii="Times New Roman" w:hAnsi="Times New Roman" w:cs="Times New Roman"/>
          <w:sz w:val="24"/>
          <w:szCs w:val="24"/>
          <w:lang w:val="sr-Cyrl-RS"/>
        </w:rPr>
        <w:t>Овај</w:t>
      </w:r>
      <w:r w:rsidRPr="0081082A">
        <w:rPr>
          <w:rFonts w:ascii="Times New Roman" w:hAnsi="Times New Roman" w:cs="Times New Roman"/>
          <w:sz w:val="24"/>
          <w:szCs w:val="24"/>
          <w:lang w:val="sr-Cyrl-RS"/>
        </w:rPr>
        <w:t xml:space="preserve"> </w:t>
      </w:r>
      <w:r w:rsidR="00C31C36" w:rsidRPr="0081082A">
        <w:rPr>
          <w:rFonts w:ascii="Times New Roman" w:hAnsi="Times New Roman" w:cs="Times New Roman"/>
          <w:sz w:val="24"/>
          <w:szCs w:val="24"/>
          <w:lang w:val="sr-Cyrl-RS"/>
        </w:rPr>
        <w:t xml:space="preserve">програм </w:t>
      </w:r>
      <w:r w:rsidRPr="0081082A">
        <w:rPr>
          <w:rFonts w:ascii="Times New Roman" w:hAnsi="Times New Roman" w:cs="Times New Roman"/>
          <w:sz w:val="24"/>
          <w:szCs w:val="24"/>
          <w:lang w:val="sr-Cyrl-RS"/>
        </w:rPr>
        <w:t xml:space="preserve">се састоји од четири посебна циља и једног општег циља </w:t>
      </w:r>
      <w:r w:rsidR="006C650D"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Даљи развој модерног и ефикасног система јавних набавки</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који у једном делу обухвата електронске јавне набавке, у циљу стварања модерног и ефикасног система јавних набавки. Свеобухватан напредак система јавних набавки допринео је отварању преговарачког поглавља 5 </w:t>
      </w:r>
      <w:r w:rsidR="006809F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Јавне набавке</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у децембру 2016. године. </w:t>
      </w:r>
      <w:r w:rsidRPr="0081082A">
        <w:rPr>
          <w:rFonts w:ascii="Times New Roman" w:hAnsi="Times New Roman"/>
          <w:sz w:val="24"/>
          <w:lang w:val="sr-Cyrl-RS"/>
        </w:rPr>
        <w:t> </w:t>
      </w:r>
    </w:p>
    <w:p w:rsidR="00721398" w:rsidRPr="0081082A" w:rsidRDefault="00721398"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Током протеклих година, развој примарног и секундарног законодавства </w:t>
      </w:r>
      <w:r w:rsidR="008716C0" w:rsidRPr="0081082A">
        <w:rPr>
          <w:rFonts w:ascii="Times New Roman" w:hAnsi="Times New Roman" w:cs="Times New Roman"/>
          <w:sz w:val="24"/>
          <w:szCs w:val="24"/>
          <w:lang w:val="sr-Cyrl-RS"/>
        </w:rPr>
        <w:t xml:space="preserve">које уређује јавне набавке, </w:t>
      </w:r>
      <w:r w:rsidRPr="0081082A">
        <w:rPr>
          <w:rFonts w:ascii="Times New Roman" w:hAnsi="Times New Roman" w:cs="Times New Roman"/>
          <w:sz w:val="24"/>
          <w:szCs w:val="24"/>
          <w:lang w:val="sr-Cyrl-RS"/>
        </w:rPr>
        <w:t xml:space="preserve">довео је до повећања транспарентности и ефикасности процедура јавних набавки, кроз увођење обавезе наручилаца </w:t>
      </w:r>
      <w:r w:rsidRPr="0081082A">
        <w:rPr>
          <w:rFonts w:ascii="Times New Roman" w:hAnsi="Times New Roman" w:cs="Times New Roman"/>
          <w:bCs/>
          <w:sz w:val="24"/>
          <w:szCs w:val="24"/>
          <w:lang w:val="sr-Cyrl-RS"/>
        </w:rPr>
        <w:t>да објављују планове јавних набавки на Порталу јавних набавки</w:t>
      </w:r>
      <w:r w:rsidRPr="0081082A">
        <w:rPr>
          <w:rFonts w:ascii="Times New Roman" w:hAnsi="Times New Roman" w:cs="Times New Roman"/>
          <w:sz w:val="24"/>
          <w:szCs w:val="24"/>
          <w:lang w:val="sr-Cyrl-RS"/>
        </w:rPr>
        <w:t xml:space="preserve">. Делимично усклађивање закона са ЕУ директивама је обављено у 2015. години, а даљи кораци </w:t>
      </w:r>
      <w:r w:rsidR="005039E1" w:rsidRPr="0081082A">
        <w:rPr>
          <w:rFonts w:ascii="Times New Roman" w:hAnsi="Times New Roman" w:cs="Times New Roman"/>
          <w:sz w:val="24"/>
          <w:szCs w:val="24"/>
          <w:lang w:val="sr-Cyrl-RS"/>
        </w:rPr>
        <w:t>према</w:t>
      </w:r>
      <w:r w:rsidRPr="0081082A">
        <w:rPr>
          <w:rFonts w:ascii="Times New Roman" w:hAnsi="Times New Roman" w:cs="Times New Roman"/>
          <w:sz w:val="24"/>
          <w:szCs w:val="24"/>
          <w:lang w:val="sr-Cyrl-RS"/>
        </w:rPr>
        <w:t xml:space="preserve"> потпуном усклађивању остварени су усвајањем новог Закона о јавним набавкама</w:t>
      </w:r>
      <w:r w:rsidRPr="0081082A">
        <w:rPr>
          <w:rStyle w:val="FootnoteReference"/>
          <w:rFonts w:ascii="Times New Roman" w:hAnsi="Times New Roman" w:cs="Times New Roman"/>
          <w:bCs/>
          <w:sz w:val="24"/>
          <w:szCs w:val="24"/>
          <w:lang w:val="sr-Cyrl-RS"/>
        </w:rPr>
        <w:footnoteReference w:id="66"/>
      </w:r>
      <w:r w:rsidRPr="0081082A">
        <w:rPr>
          <w:rFonts w:ascii="Times New Roman" w:hAnsi="Times New Roman" w:cs="Times New Roman"/>
          <w:sz w:val="24"/>
          <w:szCs w:val="24"/>
          <w:lang w:val="sr-Cyrl-RS"/>
        </w:rPr>
        <w:t>, који је почео са применом 1. јула 2020. године, пратећих подзаконских аката и израдом новог Портала јавн</w:t>
      </w:r>
      <w:r w:rsidR="00606FBD" w:rsidRPr="0081082A">
        <w:rPr>
          <w:rFonts w:ascii="Times New Roman" w:hAnsi="Times New Roman" w:cs="Times New Roman"/>
          <w:sz w:val="24"/>
          <w:szCs w:val="24"/>
          <w:lang w:val="sr-Cyrl-RS"/>
        </w:rPr>
        <w:t>их</w:t>
      </w:r>
      <w:r w:rsidRPr="0081082A">
        <w:rPr>
          <w:rFonts w:ascii="Times New Roman" w:hAnsi="Times New Roman" w:cs="Times New Roman"/>
          <w:sz w:val="24"/>
          <w:szCs w:val="24"/>
          <w:lang w:val="sr-Cyrl-RS"/>
        </w:rPr>
        <w:t xml:space="preserve"> набавк</w:t>
      </w:r>
      <w:r w:rsidR="00606FBD" w:rsidRPr="0081082A">
        <w:rPr>
          <w:rFonts w:ascii="Times New Roman" w:hAnsi="Times New Roman" w:cs="Times New Roman"/>
          <w:sz w:val="24"/>
          <w:szCs w:val="24"/>
          <w:lang w:val="sr-Cyrl-RS"/>
        </w:rPr>
        <w:t>и</w:t>
      </w:r>
      <w:r w:rsidRPr="0081082A">
        <w:rPr>
          <w:rFonts w:ascii="Times New Roman" w:hAnsi="Times New Roman" w:cs="Times New Roman"/>
          <w:sz w:val="24"/>
          <w:szCs w:val="24"/>
          <w:lang w:val="sr-Cyrl-RS"/>
        </w:rPr>
        <w:t xml:space="preserve"> који је у потпуности у складу са </w:t>
      </w:r>
      <w:r w:rsidR="00CA4079" w:rsidRPr="0081082A">
        <w:rPr>
          <w:rFonts w:ascii="Times New Roman" w:hAnsi="Times New Roman" w:cs="Times New Roman"/>
          <w:sz w:val="24"/>
          <w:szCs w:val="24"/>
          <w:lang w:val="sr-Cyrl-RS"/>
        </w:rPr>
        <w:t>наведеним</w:t>
      </w:r>
      <w:r w:rsidRPr="0081082A">
        <w:rPr>
          <w:rFonts w:ascii="Times New Roman" w:hAnsi="Times New Roman" w:cs="Times New Roman"/>
          <w:sz w:val="24"/>
          <w:szCs w:val="24"/>
          <w:lang w:val="sr-Cyrl-RS"/>
        </w:rPr>
        <w:t xml:space="preserve"> Законом и омогућава: е-подношење понуда, е-доделу уговора, е-аукције, динамични систем набавке, е-планирање, е-жалбе, е-каталог</w:t>
      </w:r>
      <w:r w:rsidR="00E169BB" w:rsidRPr="0081082A">
        <w:rPr>
          <w:rStyle w:val="FootnoteReference"/>
          <w:rFonts w:ascii="Times New Roman" w:hAnsi="Times New Roman" w:cs="Times New Roman"/>
          <w:sz w:val="24"/>
          <w:szCs w:val="24"/>
          <w:lang w:val="sr-Cyrl-RS"/>
        </w:rPr>
        <w:footnoteReference w:id="67"/>
      </w:r>
      <w:r w:rsidR="00A2214B">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Обавештења о јавним набавкама такође </w:t>
      </w:r>
      <w:r w:rsidR="00311934" w:rsidRPr="0081082A">
        <w:rPr>
          <w:rFonts w:ascii="Times New Roman" w:hAnsi="Times New Roman" w:cs="Times New Roman"/>
          <w:sz w:val="24"/>
          <w:szCs w:val="24"/>
          <w:lang w:val="sr-Cyrl-RS"/>
        </w:rPr>
        <w:t xml:space="preserve">су </w:t>
      </w:r>
      <w:r w:rsidRPr="0081082A">
        <w:rPr>
          <w:rFonts w:ascii="Times New Roman" w:hAnsi="Times New Roman" w:cs="Times New Roman"/>
          <w:sz w:val="24"/>
          <w:szCs w:val="24"/>
          <w:lang w:val="sr-Cyrl-RS"/>
        </w:rPr>
        <w:t>у потпуности усклађена са директивама ЕУ</w:t>
      </w:r>
      <w:r w:rsidRPr="0081082A">
        <w:rPr>
          <w:rStyle w:val="FootnoteReference"/>
          <w:rFonts w:ascii="Times New Roman" w:hAnsi="Times New Roman" w:cs="Times New Roman"/>
          <w:sz w:val="24"/>
          <w:szCs w:val="24"/>
          <w:lang w:val="sr-Cyrl-RS"/>
        </w:rPr>
        <w:footnoteReference w:id="68"/>
      </w:r>
      <w:r w:rsidRPr="0081082A">
        <w:rPr>
          <w:rFonts w:ascii="Times New Roman" w:hAnsi="Times New Roman" w:cs="Times New Roman"/>
          <w:sz w:val="24"/>
          <w:szCs w:val="24"/>
          <w:lang w:val="sr-Cyrl-RS"/>
        </w:rPr>
        <w:t xml:space="preserve">. </w:t>
      </w:r>
      <w:r w:rsidR="0033146B" w:rsidRPr="0081082A">
        <w:rPr>
          <w:rFonts w:ascii="Times New Roman" w:hAnsi="Times New Roman" w:cs="Times New Roman"/>
          <w:i/>
          <w:iCs/>
          <w:sz w:val="24"/>
          <w:szCs w:val="24"/>
          <w:lang w:val="sr-Cyrl-RS"/>
        </w:rPr>
        <w:t>PEFA</w:t>
      </w:r>
      <w:r w:rsidRPr="0081082A">
        <w:rPr>
          <w:rFonts w:ascii="Times New Roman" w:hAnsi="Times New Roman" w:cs="Times New Roman"/>
          <w:sz w:val="24"/>
          <w:szCs w:val="24"/>
          <w:lang w:val="sr-Cyrl-RS"/>
        </w:rPr>
        <w:t xml:space="preserve"> процена за Србију потврдила је оквир успостављен 2019. године који је омогућио  да конкурентне методе чине 84,10% укупне вредности уговора и да је транспарентност поступака јавних набавки на високом нивоу. Уз то, Светска банка је </w:t>
      </w:r>
      <w:r w:rsidR="000A481D" w:rsidRPr="0081082A">
        <w:rPr>
          <w:rFonts w:ascii="Times New Roman" w:hAnsi="Times New Roman" w:cs="Times New Roman"/>
          <w:sz w:val="24"/>
          <w:szCs w:val="24"/>
          <w:lang w:val="sr-Cyrl-RS"/>
        </w:rPr>
        <w:t>позитивно оценила</w:t>
      </w:r>
      <w:r w:rsidRPr="0081082A">
        <w:rPr>
          <w:rFonts w:ascii="Times New Roman" w:hAnsi="Times New Roman" w:cs="Times New Roman"/>
          <w:sz w:val="24"/>
          <w:szCs w:val="24"/>
          <w:lang w:val="sr-Cyrl-RS"/>
        </w:rPr>
        <w:t xml:space="preserve"> садржај новог Портала за јавне набавке, који заинтересованим странама даје увид у најновије планове набавки, обавештења и доделе уговора, као и годишњу статистику о јавним набавкама. </w:t>
      </w:r>
    </w:p>
    <w:p w:rsidR="00721398" w:rsidRPr="0081082A" w:rsidRDefault="00721398" w:rsidP="0086546D">
      <w:pPr>
        <w:spacing w:after="0" w:line="240" w:lineRule="auto"/>
        <w:ind w:firstLine="708"/>
        <w:jc w:val="both"/>
        <w:rPr>
          <w:rFonts w:ascii="Times New Roman" w:hAnsi="Times New Roman"/>
          <w:sz w:val="24"/>
          <w:lang w:val="sr-Cyrl-RS"/>
        </w:rPr>
      </w:pPr>
      <w:r w:rsidRPr="0081082A">
        <w:rPr>
          <w:rFonts w:ascii="Times New Roman" w:hAnsi="Times New Roman" w:cs="Times New Roman"/>
          <w:sz w:val="24"/>
          <w:szCs w:val="24"/>
          <w:lang w:val="sr-Cyrl-RS"/>
        </w:rPr>
        <w:t xml:space="preserve">Канцеларија за јавне набавке је припремила и објавила бројне моделе тендерске документације и упутстава, како би </w:t>
      </w:r>
      <w:r w:rsidR="00075979" w:rsidRPr="0081082A">
        <w:rPr>
          <w:rFonts w:ascii="Times New Roman" w:hAnsi="Times New Roman" w:cs="Times New Roman"/>
          <w:sz w:val="24"/>
          <w:szCs w:val="24"/>
          <w:lang w:val="sr-Cyrl-RS"/>
        </w:rPr>
        <w:t xml:space="preserve">олакшала наручиоцима приликом припреме набавке, </w:t>
      </w:r>
      <w:r w:rsidRPr="0081082A">
        <w:rPr>
          <w:rFonts w:ascii="Times New Roman" w:hAnsi="Times New Roman" w:cs="Times New Roman"/>
          <w:sz w:val="24"/>
          <w:szCs w:val="24"/>
          <w:lang w:val="sr-Cyrl-RS"/>
        </w:rPr>
        <w:t>осигурала боље спровођење закона и правила о јавним набавкама</w:t>
      </w:r>
      <w:r w:rsidR="00075979" w:rsidRPr="0081082A">
        <w:rPr>
          <w:rFonts w:ascii="Times New Roman" w:hAnsi="Times New Roman" w:cs="Times New Roman"/>
          <w:sz w:val="24"/>
          <w:szCs w:val="24"/>
          <w:lang w:val="sr-Cyrl-RS"/>
        </w:rPr>
        <w:t>, и смањила број неправилности у поступку набавке</w:t>
      </w:r>
      <w:r w:rsidRPr="0081082A">
        <w:rPr>
          <w:rFonts w:ascii="Times New Roman" w:hAnsi="Times New Roman" w:cs="Times New Roman"/>
          <w:sz w:val="24"/>
          <w:szCs w:val="24"/>
          <w:lang w:val="sr-Cyrl-RS"/>
        </w:rPr>
        <w:t>.</w:t>
      </w:r>
      <w:r w:rsidRPr="0081082A">
        <w:rPr>
          <w:rFonts w:ascii="Times New Roman" w:hAnsi="Times New Roman"/>
          <w:sz w:val="24"/>
          <w:lang w:val="sr-Cyrl-RS"/>
        </w:rPr>
        <w:t xml:space="preserve"> </w:t>
      </w:r>
      <w:r w:rsidRPr="0081082A">
        <w:rPr>
          <w:rFonts w:ascii="Times New Roman" w:hAnsi="Times New Roman" w:cs="Times New Roman"/>
          <w:sz w:val="24"/>
          <w:szCs w:val="24"/>
          <w:lang w:val="sr-Cyrl-RS"/>
        </w:rPr>
        <w:t>Такође, Канцеларија је</w:t>
      </w:r>
      <w:r w:rsidR="0007597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уз подршку пројекта који спроводи ГИЗ </w:t>
      </w:r>
      <w:r w:rsidR="0007597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Подршка даљем унапређењу система јавних набавки у </w:t>
      </w:r>
      <w:r w:rsidR="00075979" w:rsidRPr="0081082A">
        <w:rPr>
          <w:rFonts w:ascii="Times New Roman" w:hAnsi="Times New Roman" w:cs="Times New Roman"/>
          <w:sz w:val="24"/>
          <w:szCs w:val="24"/>
          <w:lang w:val="sr-Cyrl-RS"/>
        </w:rPr>
        <w:t>РС</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из ИПА 2013, припремила</w:t>
      </w:r>
      <w:r w:rsidR="00592959" w:rsidRPr="0081082A">
        <w:rPr>
          <w:rFonts w:ascii="Times New Roman" w:hAnsi="Times New Roman" w:cs="Times New Roman"/>
          <w:sz w:val="24"/>
          <w:szCs w:val="24"/>
          <w:lang w:val="sr-Cyrl-RS"/>
        </w:rPr>
        <w:t xml:space="preserve"> и објавила Смернице за израду оквирних споразума </w:t>
      </w:r>
      <w:r w:rsidR="00592959" w:rsidRPr="0081082A">
        <w:rPr>
          <w:rStyle w:val="FootnoteReference"/>
          <w:rFonts w:ascii="Times New Roman" w:hAnsi="Times New Roman" w:cs="Times New Roman"/>
          <w:sz w:val="24"/>
          <w:szCs w:val="24"/>
          <w:lang w:val="sr-Cyrl-RS"/>
        </w:rPr>
        <w:footnoteReference w:id="69"/>
      </w:r>
      <w:r w:rsidR="00592959" w:rsidRPr="0081082A">
        <w:rPr>
          <w:rFonts w:ascii="Times New Roman" w:hAnsi="Times New Roman" w:cs="Times New Roman"/>
          <w:sz w:val="24"/>
          <w:szCs w:val="24"/>
          <w:lang w:val="sr-Cyrl-RS"/>
        </w:rPr>
        <w:t>, као и припремила моделе конкурсних документација за јавну набавку у отвореном по</w:t>
      </w:r>
      <w:r w:rsidR="00277763">
        <w:rPr>
          <w:rFonts w:ascii="Times New Roman" w:hAnsi="Times New Roman" w:cs="Times New Roman"/>
          <w:sz w:val="24"/>
          <w:szCs w:val="24"/>
          <w:lang w:val="sr-Cyrl-RS"/>
        </w:rPr>
        <w:t>с</w:t>
      </w:r>
      <w:r w:rsidR="00592959" w:rsidRPr="0081082A">
        <w:rPr>
          <w:rFonts w:ascii="Times New Roman" w:hAnsi="Times New Roman" w:cs="Times New Roman"/>
          <w:sz w:val="24"/>
          <w:szCs w:val="24"/>
          <w:lang w:val="sr-Cyrl-RS"/>
        </w:rPr>
        <w:t>тупку и поступак јавне набавке са закључењем оквирног споразума</w:t>
      </w:r>
      <w:r w:rsidRPr="0081082A">
        <w:rPr>
          <w:rFonts w:ascii="Times New Roman" w:hAnsi="Times New Roman" w:cs="Times New Roman"/>
          <w:sz w:val="24"/>
          <w:szCs w:val="24"/>
          <w:lang w:val="sr-Cyrl-RS"/>
        </w:rPr>
        <w:t>, што ће значајно допринети смањењу административног оптерећења и уложеног времена за процес спровођења јавне набавке.</w:t>
      </w:r>
      <w:r w:rsidR="00075979" w:rsidRPr="0081082A">
        <w:rPr>
          <w:rStyle w:val="FootnoteReference"/>
          <w:rFonts w:ascii="Times New Roman" w:hAnsi="Times New Roman" w:cs="Times New Roman"/>
          <w:sz w:val="24"/>
          <w:szCs w:val="24"/>
          <w:lang w:val="sr-Cyrl-RS"/>
        </w:rPr>
        <w:footnoteReference w:id="70"/>
      </w:r>
      <w:r w:rsidRPr="0081082A">
        <w:rPr>
          <w:rFonts w:ascii="Times New Roman" w:hAnsi="Times New Roman" w:cs="Times New Roman"/>
          <w:sz w:val="24"/>
          <w:szCs w:val="24"/>
          <w:lang w:val="sr-Cyrl-RS"/>
        </w:rPr>
        <w:t xml:space="preserve"> </w:t>
      </w:r>
    </w:p>
    <w:p w:rsidR="00721398" w:rsidRPr="0081082A" w:rsidRDefault="00592959" w:rsidP="0086546D">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sz w:val="24"/>
          <w:szCs w:val="24"/>
          <w:lang w:val="sr-Cyrl-RS"/>
        </w:rPr>
        <w:t>Институционални и административни капацитети у области јавних</w:t>
      </w:r>
      <w:r w:rsidR="00721398" w:rsidRPr="0081082A">
        <w:rPr>
          <w:rFonts w:ascii="Times New Roman" w:hAnsi="Times New Roman" w:cs="Times New Roman"/>
          <w:sz w:val="24"/>
          <w:szCs w:val="24"/>
          <w:lang w:val="sr-Cyrl-RS"/>
        </w:rPr>
        <w:t xml:space="preserve"> набавк</w:t>
      </w:r>
      <w:r w:rsidRPr="0081082A">
        <w:rPr>
          <w:rFonts w:ascii="Times New Roman" w:hAnsi="Times New Roman" w:cs="Times New Roman"/>
          <w:sz w:val="24"/>
          <w:szCs w:val="24"/>
          <w:lang w:val="sr-Cyrl-RS"/>
        </w:rPr>
        <w:t>и</w:t>
      </w:r>
      <w:r w:rsidR="00721398" w:rsidRPr="0081082A">
        <w:rPr>
          <w:rFonts w:ascii="Times New Roman" w:hAnsi="Times New Roman" w:cs="Times New Roman"/>
          <w:sz w:val="24"/>
          <w:szCs w:val="24"/>
          <w:lang w:val="sr-Cyrl-RS"/>
        </w:rPr>
        <w:t xml:space="preserve"> </w:t>
      </w:r>
      <w:r w:rsidR="00857D67" w:rsidRPr="0081082A">
        <w:rPr>
          <w:rFonts w:ascii="Times New Roman" w:hAnsi="Times New Roman" w:cs="Times New Roman"/>
          <w:sz w:val="24"/>
          <w:szCs w:val="24"/>
          <w:lang w:val="sr-Cyrl-RS"/>
        </w:rPr>
        <w:t>су</w:t>
      </w:r>
      <w:r w:rsidR="00721398" w:rsidRPr="0081082A">
        <w:rPr>
          <w:rFonts w:ascii="Times New Roman" w:hAnsi="Times New Roman" w:cs="Times New Roman"/>
          <w:sz w:val="24"/>
          <w:szCs w:val="24"/>
          <w:lang w:val="sr-Cyrl-RS"/>
        </w:rPr>
        <w:t xml:space="preserve"> из године у годину побољшавани кроз сертификацију службеника који обављају јавне набавке, при чему је</w:t>
      </w:r>
      <w:r w:rsidR="00721398" w:rsidRPr="0081082A">
        <w:rPr>
          <w:rFonts w:ascii="Times New Roman" w:hAnsi="Times New Roman" w:cs="Times New Roman"/>
          <w:bCs/>
          <w:sz w:val="24"/>
          <w:szCs w:val="24"/>
          <w:lang w:val="sr-Cyrl-RS"/>
        </w:rPr>
        <w:t xml:space="preserve"> премашен циљани број сертификованих службеника за јавне набавке</w:t>
      </w:r>
      <w:r w:rsidR="00A10961" w:rsidRPr="0081082A">
        <w:rPr>
          <w:rFonts w:ascii="Times New Roman" w:hAnsi="Times New Roman" w:cs="Times New Roman"/>
          <w:bCs/>
          <w:sz w:val="24"/>
          <w:szCs w:val="24"/>
          <w:lang w:val="sr-Cyrl-RS"/>
        </w:rPr>
        <w:t>. Наиме,</w:t>
      </w:r>
      <w:r w:rsidR="00721398" w:rsidRPr="0081082A">
        <w:rPr>
          <w:rFonts w:ascii="Times New Roman" w:hAnsi="Times New Roman" w:cs="Times New Roman"/>
          <w:bCs/>
          <w:sz w:val="24"/>
          <w:szCs w:val="24"/>
          <w:lang w:val="sr-Cyrl-RS"/>
        </w:rPr>
        <w:t xml:space="preserve"> од 2</w:t>
      </w:r>
      <w:r w:rsidR="00B66E43" w:rsidRPr="0081082A">
        <w:rPr>
          <w:rFonts w:ascii="Times New Roman" w:hAnsi="Times New Roman" w:cs="Times New Roman"/>
          <w:bCs/>
          <w:sz w:val="24"/>
          <w:szCs w:val="24"/>
          <w:lang w:val="sr-Cyrl-RS"/>
        </w:rPr>
        <w:t>.</w:t>
      </w:r>
      <w:r w:rsidR="00721398" w:rsidRPr="0081082A">
        <w:rPr>
          <w:rFonts w:ascii="Times New Roman" w:hAnsi="Times New Roman" w:cs="Times New Roman"/>
          <w:bCs/>
          <w:sz w:val="24"/>
          <w:szCs w:val="24"/>
          <w:lang w:val="sr-Cyrl-RS"/>
        </w:rPr>
        <w:t>300</w:t>
      </w:r>
      <w:r w:rsidR="00A10961" w:rsidRPr="0081082A">
        <w:rPr>
          <w:rFonts w:ascii="Times New Roman" w:hAnsi="Times New Roman" w:cs="Times New Roman"/>
          <w:bCs/>
          <w:sz w:val="24"/>
          <w:szCs w:val="24"/>
          <w:lang w:val="sr-Cyrl-RS"/>
        </w:rPr>
        <w:t xml:space="preserve"> особа које су првобитно планиране да буду сертификоване до </w:t>
      </w:r>
      <w:r w:rsidR="00A10961" w:rsidRPr="0081082A">
        <w:rPr>
          <w:rFonts w:ascii="Times New Roman" w:hAnsi="Times New Roman" w:cs="Times New Roman"/>
          <w:bCs/>
          <w:sz w:val="24"/>
          <w:szCs w:val="24"/>
          <w:lang w:val="sr-Cyrl-RS"/>
        </w:rPr>
        <w:lastRenderedPageBreak/>
        <w:t>краја 2017. године, 3</w:t>
      </w:r>
      <w:r w:rsidR="00B66E43" w:rsidRPr="0081082A">
        <w:rPr>
          <w:rFonts w:ascii="Times New Roman" w:hAnsi="Times New Roman" w:cs="Times New Roman"/>
          <w:bCs/>
          <w:sz w:val="24"/>
          <w:szCs w:val="24"/>
          <w:lang w:val="sr-Cyrl-RS"/>
        </w:rPr>
        <w:t>.</w:t>
      </w:r>
      <w:r w:rsidR="00A10961" w:rsidRPr="0081082A">
        <w:rPr>
          <w:rFonts w:ascii="Times New Roman" w:hAnsi="Times New Roman" w:cs="Times New Roman"/>
          <w:bCs/>
          <w:sz w:val="24"/>
          <w:szCs w:val="24"/>
          <w:lang w:val="sr-Cyrl-RS"/>
        </w:rPr>
        <w:t>762 лица је добило сертификате, што показује повећање од 63% изнад циљане вредности</w:t>
      </w:r>
      <w:r w:rsidR="00721398" w:rsidRPr="0081082A">
        <w:rPr>
          <w:rFonts w:ascii="Times New Roman" w:hAnsi="Times New Roman" w:cs="Times New Roman"/>
          <w:bCs/>
          <w:sz w:val="24"/>
          <w:szCs w:val="24"/>
          <w:lang w:val="sr-Cyrl-RS"/>
        </w:rPr>
        <w:t>, а одржане су и четири обуке за више од 80 одабраних особа и доносилаца одлука ток</w:t>
      </w:r>
      <w:r w:rsidR="00A10961" w:rsidRPr="0081082A">
        <w:rPr>
          <w:rFonts w:ascii="Times New Roman" w:hAnsi="Times New Roman" w:cs="Times New Roman"/>
          <w:bCs/>
          <w:sz w:val="24"/>
          <w:szCs w:val="24"/>
          <w:lang w:val="sr-Cyrl-RS"/>
        </w:rPr>
        <w:t>ом</w:t>
      </w:r>
      <w:r w:rsidR="00721398" w:rsidRPr="0081082A">
        <w:rPr>
          <w:rFonts w:ascii="Times New Roman" w:hAnsi="Times New Roman" w:cs="Times New Roman"/>
          <w:bCs/>
          <w:sz w:val="24"/>
          <w:szCs w:val="24"/>
          <w:lang w:val="sr-Cyrl-RS"/>
        </w:rPr>
        <w:t xml:space="preserve"> 2016. и 2017. године</w:t>
      </w:r>
      <w:r w:rsidR="00721398" w:rsidRPr="0081082A">
        <w:rPr>
          <w:rStyle w:val="FootnoteReference"/>
          <w:rFonts w:ascii="Times New Roman" w:hAnsi="Times New Roman" w:cs="Times New Roman"/>
          <w:bCs/>
          <w:sz w:val="24"/>
          <w:szCs w:val="24"/>
          <w:lang w:val="sr-Cyrl-RS"/>
        </w:rPr>
        <w:footnoteReference w:id="71"/>
      </w:r>
      <w:r w:rsidR="00A27215" w:rsidRPr="0081082A">
        <w:rPr>
          <w:rFonts w:ascii="Times New Roman" w:hAnsi="Times New Roman" w:cs="Times New Roman"/>
          <w:bCs/>
          <w:sz w:val="24"/>
          <w:szCs w:val="24"/>
          <w:lang w:val="sr-Cyrl-RS"/>
        </w:rPr>
        <w:t xml:space="preserve"> пре ревидирања Програма управљања јавним финансијама. Са обукама наручиоца и понуђача је настављено и даље, те је само од октобра 2019. године до краја 2020. године одржано око 15 обука/радионица за представнике наручиоца и понуђача у смислу примене новог ЗЈН и Портала јавних набавки који је започео са својом применом од 1. јуна 2020. године. Такође, даље јачање административних капацитета и спровођење серт</w:t>
      </w:r>
      <w:r w:rsidR="00DB4034">
        <w:rPr>
          <w:rFonts w:ascii="Times New Roman" w:hAnsi="Times New Roman" w:cs="Times New Roman"/>
          <w:bCs/>
          <w:sz w:val="24"/>
          <w:szCs w:val="24"/>
          <w:lang w:val="sr-Cyrl-RS"/>
        </w:rPr>
        <w:t>и</w:t>
      </w:r>
      <w:r w:rsidR="00A27215" w:rsidRPr="0081082A">
        <w:rPr>
          <w:rFonts w:ascii="Times New Roman" w:hAnsi="Times New Roman" w:cs="Times New Roman"/>
          <w:bCs/>
          <w:sz w:val="24"/>
          <w:szCs w:val="24"/>
          <w:lang w:val="sr-Cyrl-RS"/>
        </w:rPr>
        <w:t>фикације је н</w:t>
      </w:r>
      <w:r w:rsidR="00733358">
        <w:rPr>
          <w:rFonts w:ascii="Times New Roman" w:hAnsi="Times New Roman" w:cs="Times New Roman"/>
          <w:bCs/>
          <w:sz w:val="24"/>
          <w:szCs w:val="24"/>
          <w:lang w:val="sr-Cyrl-RS"/>
        </w:rPr>
        <w:t>астављено и 2019. године. Током</w:t>
      </w:r>
      <w:r w:rsidR="00A27215" w:rsidRPr="0081082A">
        <w:rPr>
          <w:rFonts w:ascii="Times New Roman" w:hAnsi="Times New Roman" w:cs="Times New Roman"/>
          <w:bCs/>
          <w:sz w:val="24"/>
          <w:szCs w:val="24"/>
          <w:lang w:val="sr-Cyrl-RS"/>
        </w:rPr>
        <w:t xml:space="preserve"> 2019. године, одржано је 25 испита за службеника за јавне набавке, на којима је полагало 759 кандидата, а положило 481. Ако се погледају подаци од октобра 2014. године, када је започет други циклус сертификације службеника за јавне набавке, закључно са 2019. годином, организовано је 145 испита, на којима је укупно полагало 4.844 кандидата, од којих је 2.917 положило испит и стекло сертификат за службеника за јавне набавке.</w:t>
      </w:r>
      <w:r w:rsidR="00721398" w:rsidRPr="0081082A">
        <w:rPr>
          <w:rFonts w:ascii="Times New Roman" w:hAnsi="Times New Roman" w:cs="Times New Roman"/>
          <w:bCs/>
          <w:sz w:val="24"/>
          <w:szCs w:val="24"/>
          <w:lang w:val="sr-Cyrl-RS"/>
        </w:rPr>
        <w:t xml:space="preserve"> Одржане обуке </w:t>
      </w:r>
      <w:r w:rsidR="00930F62" w:rsidRPr="0081082A">
        <w:rPr>
          <w:rFonts w:ascii="Times New Roman" w:hAnsi="Times New Roman" w:cs="Times New Roman"/>
          <w:bCs/>
          <w:sz w:val="24"/>
          <w:szCs w:val="24"/>
          <w:lang w:val="sr-Cyrl-RS"/>
        </w:rPr>
        <w:t>су</w:t>
      </w:r>
      <w:r w:rsidR="00A10961" w:rsidRPr="0081082A">
        <w:rPr>
          <w:rFonts w:ascii="Times New Roman" w:hAnsi="Times New Roman" w:cs="Times New Roman"/>
          <w:bCs/>
          <w:sz w:val="24"/>
          <w:szCs w:val="24"/>
          <w:lang w:val="sr-Cyrl-RS"/>
        </w:rPr>
        <w:t>,</w:t>
      </w:r>
      <w:r w:rsidR="00721398" w:rsidRPr="0081082A">
        <w:rPr>
          <w:rFonts w:ascii="Times New Roman" w:hAnsi="Times New Roman" w:cs="Times New Roman"/>
          <w:bCs/>
          <w:sz w:val="24"/>
          <w:szCs w:val="24"/>
          <w:lang w:val="sr-Cyrl-RS"/>
        </w:rPr>
        <w:t xml:space="preserve"> у комбинацији са другим предузетим мерама, резултирале у смањењу броја обустављених поступака са 13% у 2014. на </w:t>
      </w:r>
      <w:r w:rsidR="00535F13" w:rsidRPr="0081082A">
        <w:rPr>
          <w:rFonts w:ascii="Times New Roman" w:hAnsi="Times New Roman" w:cs="Times New Roman"/>
          <w:bCs/>
          <w:sz w:val="24"/>
          <w:szCs w:val="24"/>
          <w:lang w:val="sr-Cyrl-RS"/>
        </w:rPr>
        <w:t>9</w:t>
      </w:r>
      <w:r w:rsidR="00721398" w:rsidRPr="0081082A">
        <w:rPr>
          <w:rFonts w:ascii="Times New Roman" w:hAnsi="Times New Roman" w:cs="Times New Roman"/>
          <w:bCs/>
          <w:sz w:val="24"/>
          <w:szCs w:val="24"/>
          <w:lang w:val="sr-Cyrl-RS"/>
        </w:rPr>
        <w:t>% у 201</w:t>
      </w:r>
      <w:r w:rsidR="00535F13" w:rsidRPr="0081082A">
        <w:rPr>
          <w:rFonts w:ascii="Times New Roman" w:hAnsi="Times New Roman" w:cs="Times New Roman"/>
          <w:bCs/>
          <w:sz w:val="24"/>
          <w:szCs w:val="24"/>
          <w:lang w:val="sr-Cyrl-RS"/>
        </w:rPr>
        <w:t>9</w:t>
      </w:r>
      <w:r w:rsidR="00721398" w:rsidRPr="0081082A">
        <w:rPr>
          <w:rFonts w:ascii="Times New Roman" w:hAnsi="Times New Roman" w:cs="Times New Roman"/>
          <w:bCs/>
          <w:sz w:val="24"/>
          <w:szCs w:val="24"/>
          <w:lang w:val="sr-Cyrl-RS"/>
        </w:rPr>
        <w:t>. години.</w:t>
      </w:r>
    </w:p>
    <w:p w:rsidR="00721398" w:rsidRPr="0081082A" w:rsidRDefault="00721398" w:rsidP="0086546D">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У протекле четири године остварен је напредак у праћењу еколошке политике набавки и развоју зелених јавних набавки. Еколошке политике набавке имају за циљ набавку производа и услуга које су еколошки прихватљиве</w:t>
      </w:r>
      <w:r w:rsidRPr="0081082A">
        <w:rPr>
          <w:rFonts w:ascii="Times New Roman" w:hAnsi="Times New Roman"/>
          <w:sz w:val="24"/>
          <w:lang w:val="sr-Cyrl-RS"/>
        </w:rPr>
        <w:t xml:space="preserve"> </w:t>
      </w:r>
      <w:r w:rsidRPr="0081082A">
        <w:rPr>
          <w:rFonts w:ascii="Times New Roman" w:hAnsi="Times New Roman" w:cs="Times New Roman"/>
          <w:bCs/>
          <w:sz w:val="24"/>
          <w:szCs w:val="24"/>
          <w:lang w:val="sr-Cyrl-RS"/>
        </w:rPr>
        <w:t xml:space="preserve">и Закон утврђује принципе заштите животне средине и енергетске ефикасности као један од основних принципа јавних набавки. С тим у вези, </w:t>
      </w:r>
      <w:r w:rsidRPr="0081082A">
        <w:rPr>
          <w:rFonts w:ascii="Times New Roman" w:hAnsi="Times New Roman"/>
          <w:sz w:val="24"/>
          <w:lang w:val="sr-Cyrl-RS"/>
        </w:rPr>
        <w:t>Канцеларија</w:t>
      </w:r>
      <w:r w:rsidRPr="0081082A">
        <w:rPr>
          <w:rFonts w:ascii="Times New Roman" w:hAnsi="Times New Roman" w:cs="Times New Roman"/>
          <w:bCs/>
          <w:sz w:val="24"/>
          <w:szCs w:val="24"/>
          <w:lang w:val="sr-Cyrl-RS"/>
        </w:rPr>
        <w:t xml:space="preserve"> за јавне набавке је израдила Смернице за обрачун животног циклуса, а у циљу даље промоције зелених набавки, извршена је анализа тренутног стања у области зелених набавки како би се утврдило у којој мери </w:t>
      </w:r>
      <w:r w:rsidR="00261BA7" w:rsidRPr="0081082A">
        <w:rPr>
          <w:rFonts w:ascii="Times New Roman" w:hAnsi="Times New Roman" w:cs="Times New Roman"/>
          <w:bCs/>
          <w:sz w:val="24"/>
          <w:szCs w:val="24"/>
          <w:lang w:val="sr-Cyrl-RS"/>
        </w:rPr>
        <w:t>н</w:t>
      </w:r>
      <w:r w:rsidRPr="0081082A">
        <w:rPr>
          <w:rFonts w:ascii="Times New Roman" w:hAnsi="Times New Roman"/>
          <w:sz w:val="24"/>
          <w:lang w:val="sr-Cyrl-RS"/>
        </w:rPr>
        <w:t>аручиоци</w:t>
      </w:r>
      <w:r w:rsidRPr="0081082A">
        <w:rPr>
          <w:rFonts w:ascii="Times New Roman" w:hAnsi="Times New Roman" w:cs="Times New Roman"/>
          <w:bCs/>
          <w:sz w:val="24"/>
          <w:szCs w:val="24"/>
          <w:lang w:val="sr-Cyrl-RS"/>
        </w:rPr>
        <w:t xml:space="preserve"> узимају у обзир критеријуме за уштеду енергије и очување околине приликом покретања процедура јавних набавки, као и шта су главне препреке за куповину зелених производа или услуга. На основу резултата анализе, израђене су Смернице за побољшање зелених јавних набавки за </w:t>
      </w:r>
      <w:r w:rsidR="00261BA7" w:rsidRPr="0081082A">
        <w:rPr>
          <w:rFonts w:ascii="Times New Roman" w:hAnsi="Times New Roman" w:cs="Times New Roman"/>
          <w:bCs/>
          <w:sz w:val="24"/>
          <w:szCs w:val="24"/>
          <w:lang w:val="sr-Cyrl-RS"/>
        </w:rPr>
        <w:t>н</w:t>
      </w:r>
      <w:r w:rsidRPr="0081082A">
        <w:rPr>
          <w:rFonts w:ascii="Times New Roman" w:hAnsi="Times New Roman" w:cs="Times New Roman"/>
          <w:bCs/>
          <w:sz w:val="24"/>
          <w:szCs w:val="24"/>
          <w:lang w:val="sr-Cyrl-RS"/>
        </w:rPr>
        <w:t xml:space="preserve">аручиоце и економске </w:t>
      </w:r>
      <w:r w:rsidR="00EF17ED" w:rsidRPr="0081082A">
        <w:rPr>
          <w:rFonts w:ascii="Times New Roman" w:hAnsi="Times New Roman" w:cs="Times New Roman"/>
          <w:bCs/>
          <w:sz w:val="24"/>
          <w:szCs w:val="24"/>
          <w:lang w:val="sr-Cyrl-RS"/>
        </w:rPr>
        <w:t xml:space="preserve">понуђаче </w:t>
      </w:r>
      <w:r w:rsidRPr="0081082A">
        <w:rPr>
          <w:rFonts w:ascii="Times New Roman" w:hAnsi="Times New Roman" w:cs="Times New Roman"/>
          <w:bCs/>
          <w:sz w:val="24"/>
          <w:szCs w:val="24"/>
          <w:lang w:val="sr-Cyrl-RS"/>
        </w:rPr>
        <w:t xml:space="preserve">са препорукама и најбољим праксама за зелене набавке. Напори уложени у област зелених набавки су у складу са еколошким политикама и заштитом животне средине, што је једна од кључних области у којима је неопходно остварити напредак у оквиру процеса приступања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bCs/>
          <w:sz w:val="24"/>
          <w:szCs w:val="24"/>
          <w:lang w:val="sr-Cyrl-RS"/>
        </w:rPr>
        <w:t xml:space="preserve"> </w:t>
      </w:r>
      <w:r w:rsidR="006A1272" w:rsidRPr="0081082A">
        <w:rPr>
          <w:rFonts w:ascii="Times New Roman" w:hAnsi="Times New Roman" w:cs="Times New Roman"/>
          <w:bCs/>
          <w:sz w:val="24"/>
          <w:szCs w:val="24"/>
          <w:lang w:val="sr-Cyrl-RS"/>
        </w:rPr>
        <w:t>ЕУ</w:t>
      </w:r>
      <w:r w:rsidRPr="0081082A">
        <w:rPr>
          <w:rFonts w:ascii="Times New Roman" w:hAnsi="Times New Roman" w:cs="Times New Roman"/>
          <w:bCs/>
          <w:sz w:val="24"/>
          <w:szCs w:val="24"/>
          <w:lang w:val="sr-Cyrl-RS"/>
        </w:rPr>
        <w:t>.</w:t>
      </w:r>
    </w:p>
    <w:p w:rsidR="00C464AD" w:rsidRPr="0081082A" w:rsidRDefault="00C464AD" w:rsidP="0086546D">
      <w:pPr>
        <w:spacing w:after="0" w:line="240" w:lineRule="auto"/>
        <w:ind w:firstLine="708"/>
        <w:jc w:val="both"/>
        <w:rPr>
          <w:rFonts w:ascii="Times New Roman" w:hAnsi="Times New Roman" w:cs="Times New Roman"/>
          <w:bCs/>
          <w:sz w:val="24"/>
          <w:szCs w:val="24"/>
          <w:lang w:val="sr-Cyrl-RS"/>
        </w:rPr>
      </w:pPr>
    </w:p>
    <w:p w:rsidR="00721398" w:rsidRPr="0081082A" w:rsidRDefault="00721398" w:rsidP="00261BA7">
      <w:pPr>
        <w:pStyle w:val="Heading2"/>
        <w:jc w:val="center"/>
        <w:rPr>
          <w:rFonts w:ascii="Times New Roman" w:hAnsi="Times New Roman"/>
          <w:sz w:val="24"/>
          <w:lang w:val="sr-Cyrl-RS"/>
        </w:rPr>
      </w:pPr>
      <w:bookmarkStart w:id="16" w:name="_Toc72488797"/>
      <w:r w:rsidRPr="0081082A">
        <w:rPr>
          <w:rFonts w:ascii="Times New Roman" w:hAnsi="Times New Roman"/>
          <w:sz w:val="24"/>
          <w:lang w:val="sr-Cyrl-RS"/>
        </w:rPr>
        <w:t>Планиране реформске мере у периоду 2021-2025</w:t>
      </w:r>
      <w:bookmarkEnd w:id="16"/>
    </w:p>
    <w:p w:rsidR="00721398" w:rsidRPr="0081082A" w:rsidRDefault="00721398" w:rsidP="0086546D">
      <w:pPr>
        <w:spacing w:after="0" w:line="240" w:lineRule="auto"/>
        <w:jc w:val="both"/>
        <w:rPr>
          <w:rFonts w:ascii="Times New Roman" w:hAnsi="Times New Roman" w:cs="Times New Roman"/>
          <w:b/>
          <w:sz w:val="24"/>
          <w:u w:val="single"/>
          <w:lang w:val="sr-Cyrl-RS"/>
        </w:rPr>
      </w:pPr>
      <w:bookmarkStart w:id="17" w:name="_Hlk63697536"/>
      <w:r w:rsidRPr="0081082A">
        <w:rPr>
          <w:rFonts w:ascii="Times New Roman" w:hAnsi="Times New Roman" w:cs="Times New Roman"/>
          <w:b/>
          <w:sz w:val="24"/>
          <w:u w:val="single"/>
          <w:lang w:val="sr-Cyrl-RS"/>
        </w:rPr>
        <w:t>Мера</w:t>
      </w:r>
      <w:r w:rsidR="00F16ED7" w:rsidRPr="0081082A">
        <w:rPr>
          <w:rFonts w:ascii="Times New Roman" w:hAnsi="Times New Roman" w:cs="Times New Roman"/>
          <w:b/>
          <w:sz w:val="24"/>
          <w:u w:val="single"/>
          <w:lang w:val="sr-Cyrl-RS"/>
        </w:rPr>
        <w:t xml:space="preserve"> </w:t>
      </w:r>
      <w:r w:rsidR="00834C69" w:rsidRPr="0081082A">
        <w:rPr>
          <w:rFonts w:ascii="Times New Roman" w:hAnsi="Times New Roman" w:cs="Times New Roman"/>
          <w:b/>
          <w:sz w:val="24"/>
          <w:u w:val="single"/>
          <w:lang w:val="sr-Cyrl-RS"/>
        </w:rPr>
        <w:t xml:space="preserve">2.1 </w:t>
      </w:r>
      <w:r w:rsidRPr="0081082A">
        <w:rPr>
          <w:rFonts w:ascii="Times New Roman" w:hAnsi="Times New Roman" w:cs="Times New Roman"/>
          <w:b/>
          <w:sz w:val="24"/>
          <w:u w:val="single"/>
          <w:lang w:val="sr-Cyrl-RS"/>
        </w:rPr>
        <w:t>- Ефикасно прикупљање</w:t>
      </w:r>
      <w:r w:rsidR="00834C69" w:rsidRPr="0081082A">
        <w:rPr>
          <w:rFonts w:ascii="Times New Roman" w:hAnsi="Times New Roman" w:cs="Times New Roman"/>
          <w:b/>
          <w:sz w:val="24"/>
          <w:u w:val="single"/>
          <w:lang w:val="sr-Cyrl-RS"/>
        </w:rPr>
        <w:t xml:space="preserve"> буџетских</w:t>
      </w:r>
      <w:r w:rsidRPr="0081082A">
        <w:rPr>
          <w:rFonts w:ascii="Times New Roman" w:hAnsi="Times New Roman" w:cs="Times New Roman"/>
          <w:b/>
          <w:sz w:val="24"/>
          <w:u w:val="single"/>
          <w:lang w:val="sr-Cyrl-RS"/>
        </w:rPr>
        <w:t xml:space="preserve"> прихода</w:t>
      </w:r>
      <w:r w:rsidR="00314C76" w:rsidRPr="0081082A">
        <w:rPr>
          <w:rFonts w:ascii="Times New Roman" w:hAnsi="Times New Roman" w:cs="Times New Roman"/>
          <w:b/>
          <w:sz w:val="24"/>
          <w:u w:val="single"/>
          <w:lang w:val="sr-Cyrl-RS"/>
        </w:rPr>
        <w:t xml:space="preserve"> који су у надлежности </w:t>
      </w:r>
      <w:r w:rsidR="00600253" w:rsidRPr="0081082A">
        <w:rPr>
          <w:rFonts w:ascii="Times New Roman" w:hAnsi="Times New Roman"/>
          <w:sz w:val="24"/>
          <w:szCs w:val="24"/>
          <w:lang w:val="sr-Cyrl-RS"/>
        </w:rPr>
        <w:t>ПУРС</w:t>
      </w:r>
    </w:p>
    <w:p w:rsidR="005D54A5" w:rsidRPr="0081082A" w:rsidRDefault="00721398"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складу са препорукама Европске комисије</w:t>
      </w:r>
      <w:r w:rsidR="005D54A5" w:rsidRPr="0081082A">
        <w:rPr>
          <w:rStyle w:val="FootnoteReference"/>
          <w:rFonts w:ascii="Times New Roman" w:hAnsi="Times New Roman" w:cs="Times New Roman"/>
          <w:sz w:val="24"/>
          <w:szCs w:val="24"/>
          <w:lang w:val="sr-Cyrl-RS"/>
        </w:rPr>
        <w:footnoteReference w:id="72"/>
      </w:r>
      <w:r w:rsidR="005D54A5" w:rsidRPr="0081082A">
        <w:rPr>
          <w:rFonts w:ascii="Times New Roman" w:hAnsi="Times New Roman" w:cs="Times New Roman"/>
          <w:sz w:val="24"/>
          <w:szCs w:val="24"/>
          <w:lang w:val="sr-Cyrl-RS"/>
        </w:rPr>
        <w:t>, ПУРС</w:t>
      </w:r>
      <w:r w:rsidRPr="0081082A">
        <w:rPr>
          <w:rFonts w:ascii="Times New Roman" w:hAnsi="Times New Roman" w:cs="Times New Roman"/>
          <w:sz w:val="24"/>
          <w:szCs w:val="24"/>
          <w:lang w:val="sr-Cyrl-RS"/>
        </w:rPr>
        <w:t xml:space="preserve"> ће остати посвећена успешном спровођењу Програма трансформације и након завршене прве фазе у реорганизацији</w:t>
      </w:r>
      <w:r w:rsidR="005D54A5"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У складу са препорукама, планиран је наставак фокуса на основне пореске делатности</w:t>
      </w:r>
      <w:r w:rsidR="005D54A5" w:rsidRPr="0081082A">
        <w:rPr>
          <w:rFonts w:ascii="Times New Roman" w:hAnsi="Times New Roman" w:cs="Times New Roman"/>
          <w:sz w:val="24"/>
          <w:szCs w:val="24"/>
          <w:lang w:val="sr-Cyrl-RS"/>
        </w:rPr>
        <w:t>.</w:t>
      </w:r>
      <w:r w:rsidR="00833630" w:rsidRPr="0081082A">
        <w:rPr>
          <w:rFonts w:ascii="Times New Roman" w:hAnsi="Times New Roman" w:cs="Times New Roman"/>
          <w:sz w:val="24"/>
          <w:szCs w:val="24"/>
          <w:lang w:val="sr-Cyrl-RS"/>
        </w:rPr>
        <w:t xml:space="preserve"> </w:t>
      </w:r>
      <w:r w:rsidRPr="0081082A">
        <w:rPr>
          <w:rFonts w:ascii="Times New Roman" w:hAnsi="Times New Roman"/>
          <w:sz w:val="24"/>
          <w:lang w:val="sr-Cyrl-RS"/>
        </w:rPr>
        <w:t>Сам</w:t>
      </w:r>
      <w:r w:rsidRPr="0081082A">
        <w:rPr>
          <w:rFonts w:ascii="Times New Roman" w:hAnsi="Times New Roman" w:cs="Times New Roman"/>
          <w:sz w:val="24"/>
          <w:szCs w:val="24"/>
          <w:lang w:val="sr-Cyrl-RS"/>
        </w:rPr>
        <w:t xml:space="preserve"> процес консолидације организационих јединица </w:t>
      </w:r>
      <w:r w:rsidR="005D54A5" w:rsidRPr="0081082A">
        <w:rPr>
          <w:rFonts w:ascii="Times New Roman" w:hAnsi="Times New Roman" w:cs="Times New Roman"/>
          <w:sz w:val="24"/>
          <w:szCs w:val="24"/>
          <w:lang w:val="sr-Cyrl-RS"/>
        </w:rPr>
        <w:t>ПУРС биће</w:t>
      </w:r>
      <w:r w:rsidRPr="0081082A">
        <w:rPr>
          <w:rFonts w:ascii="Times New Roman" w:hAnsi="Times New Roman" w:cs="Times New Roman"/>
          <w:sz w:val="24"/>
          <w:szCs w:val="24"/>
          <w:lang w:val="sr-Cyrl-RS"/>
        </w:rPr>
        <w:t xml:space="preserve"> настављен</w:t>
      </w:r>
      <w:r w:rsidR="005D54A5" w:rsidRPr="0081082A">
        <w:rPr>
          <w:rFonts w:ascii="Times New Roman" w:hAnsi="Times New Roman" w:cs="Times New Roman"/>
          <w:sz w:val="24"/>
          <w:szCs w:val="24"/>
          <w:lang w:val="sr-Cyrl-RS"/>
        </w:rPr>
        <w:t xml:space="preserve"> сходно идентификованим потребама за новом организационом структуром условљеном редизајном пословних процеса мотивисаним унапређењем делотворности </w:t>
      </w:r>
      <w:r w:rsidR="005D54A5" w:rsidRPr="0081082A">
        <w:rPr>
          <w:rFonts w:ascii="Times New Roman" w:hAnsi="Times New Roman" w:cs="Times New Roman"/>
          <w:sz w:val="24"/>
          <w:szCs w:val="24"/>
          <w:lang w:val="sr-Cyrl-RS"/>
        </w:rPr>
        <w:lastRenderedPageBreak/>
        <w:t>наплате пореза, као и смањењем трошкова у испуњавању пореских об</w:t>
      </w:r>
      <w:r w:rsidR="004B08EB">
        <w:rPr>
          <w:rFonts w:ascii="Times New Roman" w:hAnsi="Times New Roman" w:cs="Times New Roman"/>
          <w:sz w:val="24"/>
          <w:szCs w:val="24"/>
          <w:lang w:val="sr-Cyrl-RS"/>
        </w:rPr>
        <w:t>а</w:t>
      </w:r>
      <w:r w:rsidR="005D54A5" w:rsidRPr="0081082A">
        <w:rPr>
          <w:rFonts w:ascii="Times New Roman" w:hAnsi="Times New Roman" w:cs="Times New Roman"/>
          <w:sz w:val="24"/>
          <w:szCs w:val="24"/>
          <w:lang w:val="sr-Cyrl-RS"/>
        </w:rPr>
        <w:t>веза за пореске обвезнике. Фокус је на унапређењу постојећих и увођењу нових услуга, које ће се развијати у складу са потребама пореских обвезника, омогућавањем канала комуникације, превасходно базираних на електронској комуникацији преко једне контакт тачке – личног е-</w:t>
      </w:r>
      <w:r w:rsidR="001A372C" w:rsidRPr="0081082A">
        <w:rPr>
          <w:rFonts w:ascii="Times New Roman" w:hAnsi="Times New Roman" w:cs="Times New Roman"/>
          <w:sz w:val="24"/>
          <w:szCs w:val="24"/>
          <w:lang w:val="sr-Cyrl-RS"/>
        </w:rPr>
        <w:t>портала</w:t>
      </w:r>
      <w:r w:rsidR="005D54A5" w:rsidRPr="0081082A">
        <w:rPr>
          <w:rFonts w:ascii="Times New Roman" w:hAnsi="Times New Roman" w:cs="Times New Roman"/>
          <w:sz w:val="24"/>
          <w:szCs w:val="24"/>
          <w:lang w:val="sr-Cyrl-RS"/>
        </w:rPr>
        <w:t xml:space="preserve">. </w:t>
      </w:r>
    </w:p>
    <w:p w:rsidR="005D54A5" w:rsidRPr="0081082A" w:rsidRDefault="005D54A5"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w:t>
      </w:r>
      <w:r w:rsidR="00721398" w:rsidRPr="0081082A">
        <w:rPr>
          <w:rFonts w:ascii="Times New Roman" w:hAnsi="Times New Roman" w:cs="Times New Roman"/>
          <w:sz w:val="24"/>
          <w:szCs w:val="24"/>
          <w:lang w:val="sr-Cyrl-RS"/>
        </w:rPr>
        <w:t xml:space="preserve"> наредне две године радиће се на реинжењерингу самих пословних процеса, </w:t>
      </w:r>
      <w:r w:rsidRPr="0081082A">
        <w:rPr>
          <w:rFonts w:ascii="Times New Roman" w:hAnsi="Times New Roman" w:cs="Times New Roman"/>
          <w:sz w:val="24"/>
          <w:szCs w:val="24"/>
          <w:lang w:val="sr-Cyrl-RS"/>
        </w:rPr>
        <w:t xml:space="preserve">којим ће се омогућити спровођење институционалних, правних и процесних промена пореске </w:t>
      </w:r>
      <w:r w:rsidRPr="0081082A">
        <w:rPr>
          <w:rFonts w:ascii="Times New Roman" w:hAnsi="Times New Roman" w:cs="Times New Roman"/>
          <w:bCs/>
          <w:sz w:val="24"/>
          <w:szCs w:val="24"/>
          <w:lang w:val="sr-Cyrl-RS"/>
        </w:rPr>
        <w:t>администрације</w:t>
      </w:r>
      <w:r w:rsidRPr="0081082A">
        <w:rPr>
          <w:rFonts w:ascii="Times New Roman" w:hAnsi="Times New Roman" w:cs="Times New Roman"/>
          <w:sz w:val="24"/>
          <w:szCs w:val="24"/>
          <w:lang w:val="sr-Cyrl-RS"/>
        </w:rPr>
        <w:t>, у циљу омогућавања делотворнијег рада ПУРС. Јачање капацитета</w:t>
      </w:r>
      <w:r w:rsidR="00B6284C"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у функционалним областима подразумева спровођење ефикасног система за управљање испуњавањем пореских обавеза. Додатно, реинжењерингом пословних процеса обезбедиће се подршка за даљу модернизацију услуга које се пружају пореским обвезницима са акцентом на пружање свеобухватних електронских услуга. Такође, планира се увођење</w:t>
      </w:r>
      <w:r w:rsidR="00721398" w:rsidRPr="0081082A">
        <w:rPr>
          <w:rFonts w:ascii="Times New Roman" w:hAnsi="Times New Roman" w:cs="Times New Roman"/>
          <w:sz w:val="24"/>
          <w:szCs w:val="24"/>
          <w:lang w:val="sr-Cyrl-RS"/>
        </w:rPr>
        <w:t xml:space="preserve"> новог система фискализације што ће довести до ефикаснијег прикупљања прихода и следствено бољег општег стања система јавних финансија. </w:t>
      </w:r>
      <w:r w:rsidRPr="0081082A">
        <w:rPr>
          <w:rFonts w:ascii="Times New Roman" w:hAnsi="Times New Roman" w:cs="Times New Roman"/>
          <w:sz w:val="24"/>
          <w:szCs w:val="24"/>
          <w:lang w:val="sr-Cyrl-RS"/>
        </w:rPr>
        <w:t xml:space="preserve">Новим системом фискализације створиће се услови за ефикасније праћење и контролу свих испорука добара и пружених услуга на мало, укључујући примљене авансе за будући промет добара и услуга. Како се ради о систему </w:t>
      </w:r>
      <w:r w:rsidRPr="0081082A">
        <w:rPr>
          <w:rFonts w:ascii="Times New Roman" w:hAnsi="Times New Roman" w:cs="Times New Roman"/>
          <w:i/>
          <w:iCs/>
          <w:sz w:val="24"/>
          <w:szCs w:val="24"/>
          <w:lang w:val="sr-Cyrl-RS"/>
        </w:rPr>
        <w:t>online</w:t>
      </w:r>
      <w:r w:rsidRPr="0081082A">
        <w:rPr>
          <w:rFonts w:ascii="Times New Roman" w:hAnsi="Times New Roman" w:cs="Times New Roman"/>
          <w:sz w:val="24"/>
          <w:szCs w:val="24"/>
          <w:lang w:val="sr-Cyrl-RS"/>
        </w:rPr>
        <w:t xml:space="preserve"> фискализације, односно преносу података у ,,реалном времену</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акценат ће бити на контролама из седишта ПУРС (,,даљинске</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контроле) чиме се смањује потреба за активностима провера на терену и последично административни трошкови, те обезбеђују услови за адекватније управљање људским ресурсима. Додатно, отклониће се и уочени недостаци постојећег система фискализације (поступак фискализације</w:t>
      </w:r>
      <w:r w:rsidR="003E75A3">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/дефискализације фискалних каса, редовно сервисирање, чување контролних трака и др.), и тиме смањити трошкови пословања, укинути непотребно администрирање и створити бољи пословни амбијент. Овакав систем фискализације подржава и могућност да купци производа, односно корисници услуга, могу да изврше проверу да ли је издавање рачуна извршено у складу са законом у реалном времену (одмах након издавања рачуна), чиме се унапређује систем контроле и од стране других актера.</w:t>
      </w:r>
    </w:p>
    <w:p w:rsidR="005D54A5" w:rsidRPr="0081082A" w:rsidRDefault="00721398"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Јачање информационих система које користи </w:t>
      </w:r>
      <w:r w:rsidR="005D54A5" w:rsidRPr="0081082A">
        <w:rPr>
          <w:rFonts w:ascii="Times New Roman" w:hAnsi="Times New Roman" w:cs="Times New Roman"/>
          <w:sz w:val="24"/>
          <w:szCs w:val="24"/>
          <w:lang w:val="sr-Cyrl-RS"/>
        </w:rPr>
        <w:t>ПУРС</w:t>
      </w:r>
      <w:r w:rsidRPr="0081082A">
        <w:rPr>
          <w:rFonts w:ascii="Times New Roman" w:hAnsi="Times New Roman" w:cs="Times New Roman"/>
          <w:sz w:val="24"/>
          <w:szCs w:val="24"/>
          <w:lang w:val="sr-Cyrl-RS"/>
        </w:rPr>
        <w:t xml:space="preserve"> од круцијалног </w:t>
      </w:r>
      <w:r w:rsidR="005D54A5" w:rsidRPr="0081082A">
        <w:rPr>
          <w:rFonts w:ascii="Times New Roman" w:hAnsi="Times New Roman" w:cs="Times New Roman"/>
          <w:sz w:val="24"/>
          <w:szCs w:val="24"/>
          <w:lang w:val="sr-Cyrl-RS"/>
        </w:rPr>
        <w:t xml:space="preserve">је </w:t>
      </w:r>
      <w:r w:rsidRPr="0081082A">
        <w:rPr>
          <w:rFonts w:ascii="Times New Roman" w:hAnsi="Times New Roman" w:cs="Times New Roman"/>
          <w:sz w:val="24"/>
          <w:szCs w:val="24"/>
          <w:lang w:val="sr-Cyrl-RS"/>
        </w:rPr>
        <w:t xml:space="preserve">значаја за даљи напредак у пословању саме пореске администрације, тако да ће до краја 2024. године бити унапређена инфраструктура за </w:t>
      </w:r>
      <w:r w:rsidR="005D54A5" w:rsidRPr="0081082A">
        <w:rPr>
          <w:rFonts w:ascii="Times New Roman" w:hAnsi="Times New Roman" w:cs="Times New Roman"/>
          <w:sz w:val="24"/>
          <w:szCs w:val="24"/>
          <w:lang w:val="sr-Cyrl-RS"/>
        </w:rPr>
        <w:t xml:space="preserve">готово комерцијално решење (у даљем тексту: ГКР), </w:t>
      </w:r>
      <w:r w:rsidR="003E75A3">
        <w:rPr>
          <w:rFonts w:ascii="Times New Roman" w:hAnsi="Times New Roman" w:cs="Times New Roman"/>
          <w:sz w:val="24"/>
          <w:szCs w:val="24"/>
          <w:lang w:val="sr-Cyrl-RS"/>
        </w:rPr>
        <w:t>и додатно спровести набавка ГКР</w:t>
      </w:r>
      <w:r w:rsidR="005D54A5" w:rsidRPr="0081082A">
        <w:rPr>
          <w:rFonts w:ascii="Times New Roman" w:hAnsi="Times New Roman" w:cs="Times New Roman"/>
          <w:sz w:val="24"/>
          <w:szCs w:val="24"/>
          <w:lang w:val="sr-Cyrl-RS"/>
        </w:rPr>
        <w:t>, као подршка оперативном побољшању ПУ</w:t>
      </w:r>
      <w:r w:rsidR="005D54A5" w:rsidRPr="0081082A">
        <w:rPr>
          <w:rFonts w:ascii="Times New Roman" w:hAnsi="Times New Roman" w:cs="Times New Roman"/>
          <w:bCs/>
          <w:sz w:val="24"/>
          <w:szCs w:val="24"/>
          <w:lang w:val="sr-Cyrl-RS"/>
        </w:rPr>
        <w:t>РС.</w:t>
      </w:r>
      <w:r w:rsidR="005D54A5" w:rsidRPr="0081082A">
        <w:rPr>
          <w:rFonts w:ascii="Times New Roman" w:hAnsi="Times New Roman" w:cs="Times New Roman"/>
          <w:sz w:val="24"/>
          <w:szCs w:val="24"/>
          <w:lang w:val="sr-Cyrl-RS"/>
        </w:rPr>
        <w:t xml:space="preserve"> Модернизација ИКТ система засниваће се на унапређењу ИКТ инфраструктуре ПУРС у сегментима за које се процењује да ће унапређење обезбедити адекватније извршење послова. Процена области за унапређење ће се заснивати на анализи функционалних компоненти постојећег информационог система са циљем утврђивања компоненти које задовољавају критеријуме за савремени информациони систем за администрирање прихода, узимајући у обзир чињеницу да је такво решење могуће интегрисати са ГКР, без губитака у ефикасности (потенцијалне области: порески процеси контроле и наплате – систем управљања документима, извештавање – ресурси за складиштење података, портал е-порези, унутрашње пословање, ИКТ технолошки ресурси – лиценце и опрема, итд.). </w:t>
      </w:r>
    </w:p>
    <w:p w:rsidR="005D54A5" w:rsidRPr="0081082A" w:rsidRDefault="005D54A5"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Додатно, у складу са потребама пореске администрације </w:t>
      </w:r>
      <w:r w:rsidR="00534963" w:rsidRPr="0081082A">
        <w:rPr>
          <w:rFonts w:ascii="Times New Roman" w:hAnsi="Times New Roman" w:cs="Times New Roman"/>
          <w:bCs/>
          <w:sz w:val="24"/>
          <w:szCs w:val="24"/>
          <w:lang w:val="sr-Cyrl-RS"/>
        </w:rPr>
        <w:t>Републике Србије</w:t>
      </w:r>
      <w:r w:rsidR="00721398" w:rsidRPr="0081082A">
        <w:rPr>
          <w:rFonts w:ascii="Times New Roman" w:hAnsi="Times New Roman" w:cs="Times New Roman"/>
          <w:sz w:val="24"/>
          <w:szCs w:val="24"/>
          <w:lang w:val="sr-Cyrl-RS"/>
        </w:rPr>
        <w:t xml:space="preserve"> за ефикасно функционисање у оквиру ЕУ, радиће се на успостављању система за размену информација Глобалног форума у складу са ЕУ и међународним стандардима. Транспарентност и ефикасна размена информација за пореске сврхе од велике је важности како за испуњење обавеза у процесу приступања ЕУ, тако и напорима који се </w:t>
      </w:r>
      <w:r w:rsidR="00721398" w:rsidRPr="0081082A">
        <w:rPr>
          <w:rFonts w:ascii="Times New Roman" w:hAnsi="Times New Roman" w:cs="Times New Roman"/>
          <w:sz w:val="24"/>
          <w:szCs w:val="24"/>
          <w:lang w:val="sr-Cyrl-RS"/>
        </w:rPr>
        <w:lastRenderedPageBreak/>
        <w:t xml:space="preserve">улажу </w:t>
      </w:r>
      <w:r w:rsidRPr="0081082A">
        <w:rPr>
          <w:rFonts w:ascii="Times New Roman" w:hAnsi="Times New Roman" w:cs="Times New Roman"/>
          <w:sz w:val="24"/>
          <w:szCs w:val="24"/>
          <w:lang w:val="sr-Cyrl-RS"/>
        </w:rPr>
        <w:t>на спречавању</w:t>
      </w:r>
      <w:r w:rsidR="00F67319"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ерозије</w:t>
      </w:r>
      <w:r w:rsidR="00721398" w:rsidRPr="0081082A">
        <w:rPr>
          <w:rFonts w:ascii="Times New Roman" w:hAnsi="Times New Roman" w:cs="Times New Roman"/>
          <w:sz w:val="24"/>
          <w:szCs w:val="24"/>
          <w:lang w:val="sr-Cyrl-RS"/>
        </w:rPr>
        <w:t xml:space="preserve"> пореске основице </w:t>
      </w:r>
      <w:r w:rsidRPr="0081082A">
        <w:rPr>
          <w:rFonts w:ascii="Times New Roman" w:hAnsi="Times New Roman" w:cs="Times New Roman"/>
          <w:sz w:val="24"/>
          <w:szCs w:val="24"/>
          <w:lang w:val="sr-Cyrl-RS"/>
        </w:rPr>
        <w:t xml:space="preserve">и премештања добити (Base Erosion and Profit Shifting - BEPS). </w:t>
      </w:r>
    </w:p>
    <w:p w:rsidR="00721398" w:rsidRPr="0081082A" w:rsidRDefault="005D54A5" w:rsidP="0086546D">
      <w:pPr>
        <w:spacing w:after="0" w:line="240" w:lineRule="auto"/>
        <w:ind w:firstLine="708"/>
        <w:jc w:val="both"/>
        <w:rPr>
          <w:rFonts w:ascii="Times New Roman" w:hAnsi="Times New Roman"/>
          <w:color w:val="000000" w:themeColor="text1"/>
          <w:sz w:val="24"/>
          <w:lang w:val="sr-Cyrl-RS"/>
        </w:rPr>
      </w:pPr>
      <w:r w:rsidRPr="0081082A">
        <w:rPr>
          <w:rFonts w:ascii="Times New Roman" w:hAnsi="Times New Roman" w:cs="Times New Roman"/>
          <w:color w:val="000000" w:themeColor="text1"/>
          <w:sz w:val="24"/>
          <w:szCs w:val="24"/>
          <w:lang w:val="sr-Cyrl-RS"/>
        </w:rPr>
        <w:t>Као подршку реформи функције управљања људским ресурсима, ПУРС ће вршити унапређења у делу постојећег информационог система за управљање људским ресурсима. Циљ је оптимизација недовољно ефикасног система за подршку људским ресурсима кроз израду и спровођење спецификација за унапређење постојећег информационог система ПУРС, како би се исти довео до нивоа пуне функционалности и ускладио са међународним стандардима. Напредак који ће се постићи унапређењем овог информационог система обезбедиће неопходне услове за спровођење промена у култури организације, кроз непрестано учвршћивање вредности, претпоставки и начина понашања који подржавају промене у организацији. Уважавањем пресудног значаја улагања у кадрове, ПУРС</w:t>
      </w:r>
      <w:r w:rsidRPr="0081082A" w:rsidDel="00733180">
        <w:rPr>
          <w:rFonts w:ascii="Times New Roman" w:hAnsi="Times New Roman" w:cs="Times New Roman"/>
          <w:color w:val="000000" w:themeColor="text1"/>
          <w:sz w:val="24"/>
          <w:szCs w:val="24"/>
          <w:lang w:val="sr-Cyrl-RS"/>
        </w:rPr>
        <w:t xml:space="preserve"> </w:t>
      </w:r>
      <w:r w:rsidRPr="0081082A">
        <w:rPr>
          <w:rFonts w:ascii="Times New Roman" w:hAnsi="Times New Roman" w:cs="Times New Roman"/>
          <w:color w:val="000000" w:themeColor="text1"/>
          <w:sz w:val="24"/>
          <w:szCs w:val="24"/>
          <w:lang w:val="sr-Cyrl-RS"/>
        </w:rPr>
        <w:t>ће израдити модерну и темељну стратегију за људске ресурсе која ће обезбедити ефикасно распоређивање запослених у ПУРС, при чему ће унапређени информациони систем својим функционалностима пружити адекватну подршку оваквим активностима. Унапређење информационог система ПУРС</w:t>
      </w:r>
      <w:r w:rsidRPr="0081082A" w:rsidDel="00733180">
        <w:rPr>
          <w:rFonts w:ascii="Times New Roman" w:hAnsi="Times New Roman" w:cs="Times New Roman"/>
          <w:color w:val="000000" w:themeColor="text1"/>
          <w:sz w:val="24"/>
          <w:szCs w:val="24"/>
          <w:lang w:val="sr-Cyrl-RS"/>
        </w:rPr>
        <w:t xml:space="preserve"> </w:t>
      </w:r>
      <w:r w:rsidRPr="0081082A">
        <w:rPr>
          <w:rFonts w:ascii="Times New Roman" w:hAnsi="Times New Roman" w:cs="Times New Roman"/>
          <w:color w:val="000000" w:themeColor="text1"/>
          <w:sz w:val="24"/>
          <w:szCs w:val="24"/>
          <w:lang w:val="sr-Cyrl-RS"/>
        </w:rPr>
        <w:t xml:space="preserve">за људске ресурсе вршиће се у областима које кључно подижу ефикасност у управљању ресурсима, као што су кадровске евиденције (квалификације, вештине, компетенције), планирање и спровођење обука, вредновање учинка рада запослених, постављање циљева за сврху оцењивања и слично. Додатно, успостављањем дигиталног пословања унутар ПУРС које се односи на права и обавезе запослених, као и унапређења у делу управљања ресурсима на основу перформанси, значајно ће побољшати систем награђивања заснован на мерењу учинка, као и каријерни систем напредовања, чиме ће се ПУРС учинити атрактивним радним окружењем.      </w:t>
      </w:r>
      <w:r w:rsidR="00721398" w:rsidRPr="0081082A">
        <w:rPr>
          <w:rFonts w:ascii="Times New Roman" w:hAnsi="Times New Roman"/>
          <w:color w:val="000000" w:themeColor="text1"/>
          <w:sz w:val="24"/>
          <w:lang w:val="sr-Cyrl-RS"/>
        </w:rPr>
        <w:t xml:space="preserve"> </w:t>
      </w:r>
    </w:p>
    <w:p w:rsidR="00D01626" w:rsidRPr="0081082A" w:rsidRDefault="00D01626" w:rsidP="0086546D">
      <w:pPr>
        <w:spacing w:after="0" w:line="240" w:lineRule="auto"/>
        <w:ind w:firstLine="708"/>
        <w:jc w:val="both"/>
        <w:rPr>
          <w:rFonts w:ascii="Times New Roman" w:hAnsi="Times New Roman"/>
          <w:color w:val="000000" w:themeColor="text1"/>
          <w:sz w:val="24"/>
          <w:lang w:val="sr-Cyrl-RS"/>
        </w:rPr>
      </w:pPr>
      <w:r w:rsidRPr="0081082A">
        <w:rPr>
          <w:rFonts w:ascii="Times New Roman" w:hAnsi="Times New Roman"/>
          <w:color w:val="000000" w:themeColor="text1"/>
          <w:sz w:val="24"/>
          <w:lang w:val="sr-Cyrl-RS"/>
        </w:rPr>
        <w:t xml:space="preserve">Како би се комплетирао процес фискализације и </w:t>
      </w:r>
      <w:r w:rsidR="00E04206" w:rsidRPr="0081082A">
        <w:rPr>
          <w:rFonts w:ascii="Times New Roman" w:hAnsi="Times New Roman"/>
          <w:color w:val="000000" w:themeColor="text1"/>
          <w:sz w:val="24"/>
          <w:lang w:val="sr-Cyrl-RS"/>
        </w:rPr>
        <w:t>дигитализације пословних процеса,</w:t>
      </w:r>
      <w:r w:rsidRPr="0081082A">
        <w:rPr>
          <w:rFonts w:ascii="Times New Roman" w:hAnsi="Times New Roman"/>
          <w:color w:val="000000" w:themeColor="text1"/>
          <w:sz w:val="24"/>
          <w:lang w:val="sr-Cyrl-RS"/>
        </w:rPr>
        <w:t xml:space="preserve"> неопхо</w:t>
      </w:r>
      <w:r w:rsidR="00E961A3">
        <w:rPr>
          <w:rFonts w:ascii="Times New Roman" w:hAnsi="Times New Roman"/>
          <w:color w:val="000000" w:themeColor="text1"/>
          <w:sz w:val="24"/>
          <w:lang w:val="sr-Cyrl-RS"/>
        </w:rPr>
        <w:t>д</w:t>
      </w:r>
      <w:r w:rsidRPr="0081082A">
        <w:rPr>
          <w:rFonts w:ascii="Times New Roman" w:hAnsi="Times New Roman"/>
          <w:color w:val="000000" w:themeColor="text1"/>
          <w:sz w:val="24"/>
          <w:lang w:val="sr-Cyrl-RS"/>
        </w:rPr>
        <w:t xml:space="preserve">но је </w:t>
      </w:r>
      <w:r w:rsidR="00BF7EDC" w:rsidRPr="0081082A">
        <w:rPr>
          <w:rFonts w:ascii="Times New Roman" w:hAnsi="Times New Roman"/>
          <w:color w:val="000000" w:themeColor="text1"/>
          <w:sz w:val="24"/>
          <w:lang w:val="sr-Cyrl-RS"/>
        </w:rPr>
        <w:t xml:space="preserve">да </w:t>
      </w:r>
      <w:r w:rsidRPr="0081082A">
        <w:rPr>
          <w:rFonts w:ascii="Times New Roman" w:hAnsi="Times New Roman"/>
          <w:color w:val="000000" w:themeColor="text1"/>
          <w:sz w:val="24"/>
          <w:lang w:val="sr-Cyrl-RS"/>
        </w:rPr>
        <w:t xml:space="preserve">овај систем </w:t>
      </w:r>
      <w:r w:rsidR="00BF7EDC" w:rsidRPr="0081082A">
        <w:rPr>
          <w:rFonts w:ascii="Times New Roman" w:hAnsi="Times New Roman"/>
          <w:color w:val="000000" w:themeColor="text1"/>
          <w:sz w:val="24"/>
          <w:lang w:val="sr-Cyrl-RS"/>
        </w:rPr>
        <w:t xml:space="preserve">Министарство финансија </w:t>
      </w:r>
      <w:r w:rsidRPr="0081082A">
        <w:rPr>
          <w:rFonts w:ascii="Times New Roman" w:hAnsi="Times New Roman"/>
          <w:color w:val="000000" w:themeColor="text1"/>
          <w:sz w:val="24"/>
          <w:lang w:val="sr-Cyrl-RS"/>
        </w:rPr>
        <w:t>допуни у</w:t>
      </w:r>
      <w:r w:rsidR="00E04206" w:rsidRPr="0081082A">
        <w:rPr>
          <w:rFonts w:ascii="Times New Roman" w:hAnsi="Times New Roman"/>
          <w:color w:val="000000" w:themeColor="text1"/>
          <w:sz w:val="24"/>
          <w:lang w:val="sr-Cyrl-RS"/>
        </w:rPr>
        <w:t xml:space="preserve">вођењем </w:t>
      </w:r>
      <w:r w:rsidR="00EC6810" w:rsidRPr="0081082A">
        <w:rPr>
          <w:rFonts w:ascii="Times New Roman" w:hAnsi="Times New Roman"/>
          <w:color w:val="000000" w:themeColor="text1"/>
          <w:sz w:val="24"/>
          <w:lang w:val="sr-Cyrl-RS"/>
        </w:rPr>
        <w:t xml:space="preserve">регистра </w:t>
      </w:r>
      <w:r w:rsidR="00E04206" w:rsidRPr="0081082A">
        <w:rPr>
          <w:rFonts w:ascii="Times New Roman" w:hAnsi="Times New Roman"/>
          <w:color w:val="000000" w:themeColor="text1"/>
          <w:sz w:val="24"/>
          <w:lang w:val="sr-Cyrl-RS"/>
        </w:rPr>
        <w:t>електронских отпремница</w:t>
      </w:r>
      <w:r w:rsidR="00EC6810" w:rsidRPr="0081082A">
        <w:rPr>
          <w:rFonts w:ascii="Times New Roman" w:hAnsi="Times New Roman"/>
          <w:color w:val="000000" w:themeColor="text1"/>
          <w:sz w:val="24"/>
          <w:lang w:val="sr-Cyrl-RS"/>
        </w:rPr>
        <w:t xml:space="preserve"> у виду одговарајућег ИТ система. Пре тога планирана је израда анализе измене релевантних законских прописа и унапређење административних капацитета, као и </w:t>
      </w:r>
      <w:r w:rsidR="00BF7EDC" w:rsidRPr="0081082A">
        <w:rPr>
          <w:rFonts w:ascii="Times New Roman" w:hAnsi="Times New Roman"/>
          <w:color w:val="000000" w:themeColor="text1"/>
          <w:sz w:val="24"/>
          <w:lang w:val="sr-Cyrl-RS"/>
        </w:rPr>
        <w:t>веза овог регистра са системом е-фактура.</w:t>
      </w:r>
      <w:r w:rsidRPr="0081082A">
        <w:rPr>
          <w:rFonts w:ascii="Times New Roman" w:hAnsi="Times New Roman"/>
          <w:color w:val="000000" w:themeColor="text1"/>
          <w:sz w:val="24"/>
          <w:lang w:val="sr-Cyrl-RS"/>
        </w:rPr>
        <w:t xml:space="preserve"> </w:t>
      </w:r>
      <w:r w:rsidR="00BF7EDC" w:rsidRPr="0081082A">
        <w:rPr>
          <w:rFonts w:ascii="Times New Roman" w:hAnsi="Times New Roman"/>
          <w:color w:val="000000" w:themeColor="text1"/>
          <w:sz w:val="24"/>
          <w:lang w:val="sr-Cyrl-RS"/>
        </w:rPr>
        <w:t>Овај систем значајно би унапредио рад како државних органа тако и привреде.</w:t>
      </w:r>
    </w:p>
    <w:bookmarkEnd w:id="17"/>
    <w:p w:rsidR="00721398" w:rsidRPr="0081082A" w:rsidRDefault="00721398" w:rsidP="0086546D">
      <w:pPr>
        <w:spacing w:after="0" w:line="240" w:lineRule="auto"/>
        <w:jc w:val="both"/>
        <w:rPr>
          <w:rFonts w:ascii="Times New Roman" w:hAnsi="Times New Roman" w:cs="Times New Roman"/>
          <w:b/>
          <w:sz w:val="24"/>
          <w:szCs w:val="24"/>
          <w:u w:val="single"/>
          <w:lang w:val="sr-Cyrl-RS"/>
        </w:rPr>
      </w:pPr>
      <w:r w:rsidRPr="0081082A">
        <w:rPr>
          <w:rFonts w:ascii="Times New Roman" w:hAnsi="Times New Roman" w:cs="Times New Roman"/>
          <w:b/>
          <w:sz w:val="24"/>
          <w:szCs w:val="24"/>
          <w:u w:val="single"/>
          <w:lang w:val="sr-Cyrl-RS"/>
        </w:rPr>
        <w:t>Мера</w:t>
      </w:r>
      <w:r w:rsidR="00834C69" w:rsidRPr="0081082A">
        <w:rPr>
          <w:rFonts w:ascii="Times New Roman" w:hAnsi="Times New Roman" w:cs="Times New Roman"/>
          <w:b/>
          <w:sz w:val="24"/>
          <w:szCs w:val="24"/>
          <w:u w:val="single"/>
          <w:lang w:val="sr-Cyrl-RS"/>
        </w:rPr>
        <w:t xml:space="preserve"> 2.2</w:t>
      </w:r>
      <w:r w:rsidR="002D3E55" w:rsidRPr="0081082A">
        <w:rPr>
          <w:rFonts w:ascii="Times New Roman" w:hAnsi="Times New Roman" w:cs="Times New Roman"/>
          <w:b/>
          <w:sz w:val="24"/>
          <w:szCs w:val="24"/>
          <w:u w:val="single"/>
          <w:lang w:val="sr-Cyrl-RS"/>
        </w:rPr>
        <w:t xml:space="preserve"> </w:t>
      </w:r>
      <w:r w:rsidRPr="0081082A">
        <w:rPr>
          <w:rFonts w:ascii="Times New Roman" w:hAnsi="Times New Roman"/>
          <w:b/>
          <w:sz w:val="24"/>
          <w:u w:val="single"/>
          <w:lang w:val="sr-Cyrl-RS"/>
        </w:rPr>
        <w:t xml:space="preserve">- </w:t>
      </w:r>
      <w:r w:rsidRPr="0081082A">
        <w:rPr>
          <w:rFonts w:ascii="Times New Roman" w:hAnsi="Times New Roman" w:cs="Times New Roman"/>
          <w:b/>
          <w:sz w:val="24"/>
          <w:szCs w:val="24"/>
          <w:u w:val="single"/>
          <w:lang w:val="sr-Cyrl-RS"/>
        </w:rPr>
        <w:t>Модернизација процеса рада Управе за дуван</w:t>
      </w:r>
    </w:p>
    <w:p w:rsidR="00311C2B" w:rsidRPr="0081082A" w:rsidRDefault="00721398"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 наредном периоду, Управа за дуван </w:t>
      </w:r>
      <w:r w:rsidR="00102A82" w:rsidRPr="0081082A">
        <w:rPr>
          <w:rFonts w:ascii="Times New Roman" w:hAnsi="Times New Roman" w:cs="Times New Roman"/>
          <w:sz w:val="24"/>
          <w:szCs w:val="24"/>
          <w:lang w:val="sr-Cyrl-RS"/>
        </w:rPr>
        <w:t xml:space="preserve">ће </w:t>
      </w:r>
      <w:r w:rsidRPr="0081082A">
        <w:rPr>
          <w:rFonts w:ascii="Times New Roman" w:hAnsi="Times New Roman" w:cs="Times New Roman"/>
          <w:sz w:val="24"/>
          <w:szCs w:val="24"/>
          <w:lang w:val="sr-Cyrl-RS"/>
        </w:rPr>
        <w:t>настави</w:t>
      </w:r>
      <w:r w:rsidR="00102A82" w:rsidRPr="0081082A">
        <w:rPr>
          <w:rFonts w:ascii="Times New Roman" w:hAnsi="Times New Roman" w:cs="Times New Roman"/>
          <w:sz w:val="24"/>
          <w:szCs w:val="24"/>
          <w:lang w:val="sr-Cyrl-RS"/>
        </w:rPr>
        <w:t>ти</w:t>
      </w:r>
      <w:r w:rsidRPr="0081082A">
        <w:rPr>
          <w:rFonts w:ascii="Times New Roman" w:hAnsi="Times New Roman" w:cs="Times New Roman"/>
          <w:sz w:val="24"/>
          <w:szCs w:val="24"/>
          <w:lang w:val="sr-Cyrl-RS"/>
        </w:rPr>
        <w:t xml:space="preserve"> са успостављањем новог </w:t>
      </w:r>
      <w:r w:rsidRPr="0081082A">
        <w:rPr>
          <w:rFonts w:ascii="Times New Roman" w:hAnsi="Times New Roman"/>
          <w:sz w:val="24"/>
          <w:lang w:val="sr-Cyrl-RS"/>
        </w:rPr>
        <w:t>јединственог система</w:t>
      </w:r>
      <w:r w:rsidRPr="0081082A">
        <w:rPr>
          <w:rFonts w:ascii="Times New Roman" w:hAnsi="Times New Roman" w:cs="Times New Roman"/>
          <w:sz w:val="24"/>
          <w:szCs w:val="24"/>
          <w:lang w:val="sr-Cyrl-RS"/>
        </w:rPr>
        <w:t xml:space="preserve"> </w:t>
      </w:r>
      <w:r w:rsidR="00CE6327" w:rsidRPr="0081082A">
        <w:rPr>
          <w:rFonts w:ascii="Times New Roman" w:hAnsi="Times New Roman" w:cs="Times New Roman"/>
          <w:sz w:val="24"/>
          <w:szCs w:val="24"/>
          <w:lang w:val="sr-Cyrl-RS"/>
        </w:rPr>
        <w:t xml:space="preserve">регистара </w:t>
      </w:r>
      <w:r w:rsidRPr="0081082A">
        <w:rPr>
          <w:rFonts w:ascii="Times New Roman" w:hAnsi="Times New Roman" w:cs="Times New Roman"/>
          <w:sz w:val="24"/>
          <w:szCs w:val="24"/>
          <w:lang w:val="sr-Cyrl-RS"/>
        </w:rPr>
        <w:t xml:space="preserve">који обједињује све регистре и </w:t>
      </w:r>
      <w:r w:rsidR="00CE6327" w:rsidRPr="0081082A">
        <w:rPr>
          <w:rFonts w:ascii="Times New Roman" w:hAnsi="Times New Roman" w:cs="Times New Roman"/>
          <w:sz w:val="24"/>
          <w:szCs w:val="24"/>
          <w:lang w:val="sr-Cyrl-RS"/>
        </w:rPr>
        <w:t xml:space="preserve">евиденционе </w:t>
      </w:r>
      <w:r w:rsidRPr="0081082A">
        <w:rPr>
          <w:rFonts w:ascii="Times New Roman" w:hAnsi="Times New Roman" w:cs="Times New Roman"/>
          <w:sz w:val="24"/>
          <w:szCs w:val="24"/>
          <w:lang w:val="sr-Cyrl-RS"/>
        </w:rPr>
        <w:t>листе како би се побољшала ефикасност услуга које пружа Управа за дуван</w:t>
      </w:r>
      <w:r w:rsidR="00311C2B" w:rsidRPr="0081082A">
        <w:rPr>
          <w:rFonts w:ascii="Times New Roman" w:hAnsi="Times New Roman" w:cs="Times New Roman"/>
          <w:sz w:val="24"/>
          <w:szCs w:val="24"/>
          <w:lang w:val="sr-Cyrl-RS"/>
        </w:rPr>
        <w:t xml:space="preserve">. </w:t>
      </w:r>
    </w:p>
    <w:p w:rsidR="00311C2B" w:rsidRPr="0081082A" w:rsidRDefault="00311C2B"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На овај начин допринеће се ефикаснијем поступању по захтевима привредних субјеката, као и делотворнијој размени информација с другим надлежним органима у циљу спровођења инспекцијског надзора над привредним субјектима који послују на тржишту дувана и дуванских производа и сузбијања нелегалног промета. </w:t>
      </w:r>
    </w:p>
    <w:p w:rsidR="00311C2B" w:rsidRPr="0081082A" w:rsidRDefault="00311C2B"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складу са наставком реформских корака дефинисаних у претходном ПРУЈФ, у 2021. години је, осим пуне имплементације јединственог система регистара, наставиће се са јачањем капацитета Управе за дуван за коришћење новог информационог система и ефикаснијег пружања услуга из делокруга рада Управе. Такође,  планирано је јачање капацитета партерских институција и подизање свести привредних субјеката који послују на тржишту дувана и дуванских произв</w:t>
      </w:r>
      <w:r w:rsidR="00225609">
        <w:rPr>
          <w:rFonts w:ascii="Times New Roman" w:hAnsi="Times New Roman" w:cs="Times New Roman"/>
          <w:sz w:val="24"/>
          <w:szCs w:val="24"/>
          <w:lang w:val="sr-Cyrl-RS"/>
        </w:rPr>
        <w:t>о</w:t>
      </w:r>
      <w:r w:rsidRPr="0081082A">
        <w:rPr>
          <w:rFonts w:ascii="Times New Roman" w:hAnsi="Times New Roman" w:cs="Times New Roman"/>
          <w:sz w:val="24"/>
          <w:szCs w:val="24"/>
          <w:lang w:val="sr-Cyrl-RS"/>
        </w:rPr>
        <w:t xml:space="preserve">да кроз инфо сесије, састанке, видео инструкције и приручнике. </w:t>
      </w:r>
    </w:p>
    <w:p w:rsidR="000B54AD" w:rsidRPr="0081082A" w:rsidRDefault="00311C2B" w:rsidP="003E75A3">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lastRenderedPageBreak/>
        <w:t>Крајњи резултат ових активности обезбедиће повећање транспарентности и олакшати размену информација међу надлежним органима, а све у циљу ефикаснијег прикупљања прихода услед поједностављеног поступка издавања дозвола.</w:t>
      </w:r>
    </w:p>
    <w:p w:rsidR="00721398" w:rsidRPr="0081082A" w:rsidRDefault="00721398" w:rsidP="0086546D">
      <w:pPr>
        <w:spacing w:after="0" w:line="240" w:lineRule="auto"/>
        <w:jc w:val="both"/>
        <w:rPr>
          <w:rFonts w:ascii="Times New Roman" w:hAnsi="Times New Roman" w:cs="Times New Roman"/>
          <w:b/>
          <w:sz w:val="24"/>
          <w:szCs w:val="24"/>
          <w:u w:val="single"/>
          <w:lang w:val="sr-Cyrl-RS"/>
        </w:rPr>
      </w:pPr>
      <w:r w:rsidRPr="0081082A">
        <w:rPr>
          <w:rFonts w:ascii="Times New Roman" w:hAnsi="Times New Roman"/>
          <w:b/>
          <w:sz w:val="24"/>
          <w:u w:val="single"/>
          <w:lang w:val="sr-Cyrl-RS"/>
        </w:rPr>
        <w:t>M</w:t>
      </w:r>
      <w:r w:rsidRPr="0081082A">
        <w:rPr>
          <w:rFonts w:ascii="Times New Roman" w:hAnsi="Times New Roman" w:cs="Times New Roman"/>
          <w:b/>
          <w:sz w:val="24"/>
          <w:szCs w:val="24"/>
          <w:u w:val="single"/>
          <w:lang w:val="sr-Cyrl-RS"/>
        </w:rPr>
        <w:t>ера</w:t>
      </w:r>
      <w:r w:rsidR="00834C69" w:rsidRPr="0081082A">
        <w:rPr>
          <w:rFonts w:ascii="Times New Roman" w:hAnsi="Times New Roman" w:cs="Times New Roman"/>
          <w:b/>
          <w:sz w:val="24"/>
          <w:szCs w:val="24"/>
          <w:u w:val="single"/>
          <w:lang w:val="sr-Cyrl-RS"/>
        </w:rPr>
        <w:t xml:space="preserve"> 2.3</w:t>
      </w:r>
      <w:r w:rsidR="00EC63EC" w:rsidRPr="0081082A">
        <w:rPr>
          <w:rFonts w:ascii="Times New Roman" w:hAnsi="Times New Roman" w:cs="Times New Roman"/>
          <w:b/>
          <w:sz w:val="24"/>
          <w:szCs w:val="24"/>
          <w:u w:val="single"/>
          <w:lang w:val="sr-Cyrl-RS"/>
        </w:rPr>
        <w:t xml:space="preserve"> - </w:t>
      </w:r>
      <w:r w:rsidRPr="0081082A">
        <w:rPr>
          <w:rFonts w:ascii="Times New Roman" w:hAnsi="Times New Roman" w:cs="Times New Roman"/>
          <w:b/>
          <w:sz w:val="24"/>
          <w:szCs w:val="24"/>
          <w:u w:val="single"/>
          <w:lang w:val="sr-Cyrl-RS"/>
        </w:rPr>
        <w:t>Јачање административних капацитета Управе царина</w:t>
      </w:r>
    </w:p>
    <w:p w:rsidR="00EC63EC" w:rsidRPr="0081082A" w:rsidRDefault="00721398"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Управа царина ће у наредном петогодишњем периоду остати посвећена наставку повећања наплате прихода на име увозних дажбина, </w:t>
      </w:r>
      <w:r w:rsidR="00EC63EC" w:rsidRPr="0081082A">
        <w:rPr>
          <w:rFonts w:ascii="Times New Roman" w:hAnsi="Times New Roman" w:cs="Times New Roman"/>
          <w:sz w:val="24"/>
          <w:szCs w:val="24"/>
          <w:lang w:val="sr-Cyrl-RS"/>
        </w:rPr>
        <w:t xml:space="preserve">што ће бити квантификовано уделом прихода који наплаћује ова управа у БДП. </w:t>
      </w:r>
    </w:p>
    <w:p w:rsidR="00EC63EC" w:rsidRPr="0081082A" w:rsidRDefault="00721398"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погледу спровођења обавеза из Преговарачког поглавља 33</w:t>
      </w:r>
      <w:r w:rsidR="00EC63EC" w:rsidRPr="0081082A">
        <w:rPr>
          <w:rFonts w:ascii="Times New Roman" w:hAnsi="Times New Roman" w:cs="Times New Roman"/>
          <w:sz w:val="24"/>
          <w:szCs w:val="24"/>
          <w:lang w:val="sr-Cyrl-RS"/>
        </w:rPr>
        <w:t xml:space="preserve"> – </w:t>
      </w:r>
      <w:r w:rsidRPr="0081082A">
        <w:rPr>
          <w:rFonts w:ascii="Times New Roman" w:hAnsi="Times New Roman" w:cs="Times New Roman"/>
          <w:sz w:val="24"/>
          <w:szCs w:val="24"/>
          <w:lang w:val="sr-Cyrl-RS"/>
        </w:rPr>
        <w:t>Финансијске и буџетске одредбе</w:t>
      </w:r>
      <w:r w:rsidR="00EC63EC"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Управа царина </w:t>
      </w:r>
      <w:r w:rsidR="00EC63EC" w:rsidRPr="0081082A">
        <w:rPr>
          <w:rFonts w:ascii="Times New Roman" w:hAnsi="Times New Roman" w:cs="Times New Roman"/>
          <w:sz w:val="24"/>
          <w:szCs w:val="24"/>
          <w:lang w:val="sr-Cyrl-RS"/>
        </w:rPr>
        <w:t>ће наставити</w:t>
      </w:r>
      <w:r w:rsidRPr="0081082A">
        <w:rPr>
          <w:rFonts w:ascii="Times New Roman" w:hAnsi="Times New Roman" w:cs="Times New Roman"/>
          <w:sz w:val="24"/>
          <w:szCs w:val="24"/>
          <w:lang w:val="sr-Cyrl-RS"/>
        </w:rPr>
        <w:t xml:space="preserve"> са јачањем капацитета службе за спровођење </w:t>
      </w:r>
      <w:r w:rsidR="00833630" w:rsidRPr="0081082A">
        <w:rPr>
          <w:rFonts w:ascii="Times New Roman" w:hAnsi="Times New Roman" w:cs="Times New Roman"/>
          <w:sz w:val="24"/>
          <w:szCs w:val="24"/>
          <w:lang w:val="sr-Cyrl-RS"/>
        </w:rPr>
        <w:t xml:space="preserve">преузетих </w:t>
      </w:r>
      <w:r w:rsidRPr="0081082A">
        <w:rPr>
          <w:rFonts w:ascii="Times New Roman" w:hAnsi="Times New Roman" w:cs="Times New Roman"/>
          <w:sz w:val="24"/>
          <w:szCs w:val="24"/>
          <w:lang w:val="sr-Cyrl-RS"/>
        </w:rPr>
        <w:t xml:space="preserve">обавеза. </w:t>
      </w:r>
      <w:r w:rsidR="00EC63EC" w:rsidRPr="0081082A">
        <w:rPr>
          <w:rFonts w:ascii="Times New Roman" w:hAnsi="Times New Roman" w:cs="Times New Roman"/>
          <w:sz w:val="24"/>
          <w:szCs w:val="24"/>
          <w:lang w:val="sr-Cyrl-RS"/>
        </w:rPr>
        <w:t xml:space="preserve">Као показатељ напретка у овој области одређен је ниво напретка административних капацитета Управе царина за </w:t>
      </w:r>
      <w:r w:rsidR="00833630" w:rsidRPr="0081082A">
        <w:rPr>
          <w:rFonts w:ascii="Times New Roman" w:hAnsi="Times New Roman" w:cs="Times New Roman"/>
          <w:sz w:val="24"/>
          <w:szCs w:val="24"/>
          <w:lang w:val="sr-Cyrl-RS"/>
        </w:rPr>
        <w:t xml:space="preserve">преговарачка </w:t>
      </w:r>
      <w:r w:rsidR="00EC63EC" w:rsidRPr="0081082A">
        <w:rPr>
          <w:rFonts w:ascii="Times New Roman" w:hAnsi="Times New Roman" w:cs="Times New Roman"/>
          <w:sz w:val="24"/>
          <w:szCs w:val="24"/>
          <w:lang w:val="sr-Cyrl-RS"/>
        </w:rPr>
        <w:t xml:space="preserve">поглавља 29 и 33, који ће бити наведен у годишњим извештајима ЕК о </w:t>
      </w:r>
      <w:r w:rsidR="00833630" w:rsidRPr="0081082A">
        <w:rPr>
          <w:rFonts w:ascii="Times New Roman" w:hAnsi="Times New Roman" w:cs="Times New Roman"/>
          <w:sz w:val="24"/>
          <w:szCs w:val="24"/>
          <w:lang w:val="sr-Cyrl-RS"/>
        </w:rPr>
        <w:t>Србији</w:t>
      </w:r>
      <w:r w:rsidR="00EC63EC" w:rsidRPr="0081082A">
        <w:rPr>
          <w:rFonts w:ascii="Times New Roman" w:hAnsi="Times New Roman" w:cs="Times New Roman"/>
          <w:sz w:val="24"/>
          <w:szCs w:val="24"/>
          <w:lang w:val="sr-Cyrl-RS"/>
        </w:rPr>
        <w:t xml:space="preserve"> у процесу евроинтеграција.</w:t>
      </w:r>
    </w:p>
    <w:p w:rsidR="00EC63EC" w:rsidRPr="0081082A" w:rsidRDefault="00721398"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Активности </w:t>
      </w:r>
      <w:r w:rsidR="00EC63EC" w:rsidRPr="0081082A">
        <w:rPr>
          <w:rFonts w:ascii="Times New Roman" w:hAnsi="Times New Roman" w:cs="Times New Roman"/>
          <w:sz w:val="24"/>
          <w:szCs w:val="24"/>
          <w:lang w:val="sr-Cyrl-RS"/>
        </w:rPr>
        <w:t xml:space="preserve">усмерене на реализацију поменутих мера </w:t>
      </w:r>
      <w:r w:rsidRPr="0081082A">
        <w:rPr>
          <w:rFonts w:ascii="Times New Roman" w:hAnsi="Times New Roman" w:cs="Times New Roman"/>
          <w:sz w:val="24"/>
          <w:szCs w:val="24"/>
          <w:lang w:val="sr-Cyrl-RS"/>
        </w:rPr>
        <w:t xml:space="preserve">подразумевају </w:t>
      </w:r>
      <w:r w:rsidR="00EC63EC" w:rsidRPr="0081082A">
        <w:rPr>
          <w:rFonts w:ascii="Times New Roman" w:hAnsi="Times New Roman" w:cs="Times New Roman"/>
          <w:sz w:val="24"/>
          <w:szCs w:val="24"/>
          <w:lang w:val="sr-Cyrl-RS"/>
        </w:rPr>
        <w:t>наставак процеса за финансијско обезбеђење царинског дуга, у сарадњи са Удружењем банака Србије. Наиме, Управа ца</w:t>
      </w:r>
      <w:r w:rsidR="00082214" w:rsidRPr="0081082A">
        <w:rPr>
          <w:rFonts w:ascii="Times New Roman" w:hAnsi="Times New Roman" w:cs="Times New Roman"/>
          <w:sz w:val="24"/>
          <w:szCs w:val="24"/>
          <w:lang w:val="sr-Cyrl-RS"/>
        </w:rPr>
        <w:t>р</w:t>
      </w:r>
      <w:r w:rsidR="00EC63EC" w:rsidRPr="0081082A">
        <w:rPr>
          <w:rFonts w:ascii="Times New Roman" w:hAnsi="Times New Roman" w:cs="Times New Roman"/>
          <w:sz w:val="24"/>
          <w:szCs w:val="24"/>
          <w:lang w:val="sr-Cyrl-RS"/>
        </w:rPr>
        <w:t xml:space="preserve">ина има обавезу да путем сталног дијалога са финансијским институцијама максимално обезбеди финансијску сигурност буџета </w:t>
      </w:r>
      <w:r w:rsidR="00534963" w:rsidRPr="0081082A">
        <w:rPr>
          <w:rFonts w:ascii="Times New Roman" w:hAnsi="Times New Roman" w:cs="Times New Roman"/>
          <w:bCs/>
          <w:sz w:val="24"/>
          <w:szCs w:val="24"/>
          <w:lang w:val="sr-Cyrl-RS"/>
        </w:rPr>
        <w:t>Републике Србије</w:t>
      </w:r>
      <w:r w:rsidR="00EC63EC" w:rsidRPr="0081082A">
        <w:rPr>
          <w:rFonts w:ascii="Times New Roman" w:hAnsi="Times New Roman" w:cs="Times New Roman"/>
          <w:sz w:val="24"/>
          <w:szCs w:val="24"/>
          <w:lang w:val="sr-Cyrl-RS"/>
        </w:rPr>
        <w:t xml:space="preserve"> и тиме још више умањи ризик ненаплативих буџетских прихода. Ова активност је од великог значаја у наредних </w:t>
      </w:r>
      <w:r w:rsidR="00082214" w:rsidRPr="0081082A">
        <w:rPr>
          <w:rFonts w:ascii="Times New Roman" w:hAnsi="Times New Roman" w:cs="Times New Roman"/>
          <w:sz w:val="24"/>
          <w:szCs w:val="24"/>
          <w:lang w:val="sr-Cyrl-RS"/>
        </w:rPr>
        <w:t>четири</w:t>
      </w:r>
      <w:r w:rsidR="00EC63EC" w:rsidRPr="0081082A">
        <w:rPr>
          <w:rFonts w:ascii="Times New Roman" w:hAnsi="Times New Roman" w:cs="Times New Roman"/>
          <w:sz w:val="24"/>
          <w:szCs w:val="24"/>
          <w:lang w:val="sr-Cyrl-RS"/>
        </w:rPr>
        <w:t xml:space="preserve"> до </w:t>
      </w:r>
      <w:r w:rsidR="00082214" w:rsidRPr="0081082A">
        <w:rPr>
          <w:rFonts w:ascii="Times New Roman" w:hAnsi="Times New Roman" w:cs="Times New Roman"/>
          <w:sz w:val="24"/>
          <w:szCs w:val="24"/>
          <w:lang w:val="sr-Cyrl-RS"/>
        </w:rPr>
        <w:t xml:space="preserve">пет </w:t>
      </w:r>
      <w:r w:rsidR="00EC63EC" w:rsidRPr="0081082A">
        <w:rPr>
          <w:rFonts w:ascii="Times New Roman" w:hAnsi="Times New Roman" w:cs="Times New Roman"/>
          <w:sz w:val="24"/>
          <w:szCs w:val="24"/>
          <w:lang w:val="sr-Cyrl-RS"/>
        </w:rPr>
        <w:t>година, поготово у пост</w:t>
      </w:r>
      <w:r w:rsidR="00AC1AF3">
        <w:rPr>
          <w:rFonts w:ascii="Times New Roman" w:hAnsi="Times New Roman" w:cs="Times New Roman"/>
          <w:sz w:val="24"/>
          <w:szCs w:val="24"/>
          <w:lang w:val="sr-Cyrl-RS"/>
        </w:rPr>
        <w:t xml:space="preserve"> </w:t>
      </w:r>
      <w:r w:rsidR="00BF1AA9">
        <w:rPr>
          <w:rFonts w:ascii="Times New Roman" w:hAnsi="Times New Roman" w:cs="Times New Roman"/>
          <w:sz w:val="24"/>
          <w:szCs w:val="24"/>
          <w:lang w:val="sr-Cyrl-RS"/>
        </w:rPr>
        <w:t>–</w:t>
      </w:r>
      <w:r w:rsidR="00AC1AF3">
        <w:rPr>
          <w:rFonts w:ascii="Times New Roman" w:hAnsi="Times New Roman" w:cs="Times New Roman"/>
          <w:sz w:val="24"/>
          <w:szCs w:val="24"/>
          <w:lang w:val="sr-Cyrl-RS"/>
        </w:rPr>
        <w:t xml:space="preserve"> </w:t>
      </w:r>
      <w:r w:rsidR="00EC63EC" w:rsidRPr="0081082A">
        <w:rPr>
          <w:rFonts w:ascii="Times New Roman" w:hAnsi="Times New Roman" w:cs="Times New Roman"/>
          <w:sz w:val="24"/>
          <w:szCs w:val="24"/>
          <w:lang w:val="sr-Cyrl-RS"/>
        </w:rPr>
        <w:t>К</w:t>
      </w:r>
      <w:r w:rsidR="00D05879" w:rsidRPr="0081082A">
        <w:rPr>
          <w:rFonts w:ascii="Times New Roman" w:hAnsi="Times New Roman" w:cs="Times New Roman"/>
          <w:sz w:val="24"/>
          <w:szCs w:val="24"/>
          <w:lang w:val="sr-Cyrl-RS"/>
        </w:rPr>
        <w:t>овид</w:t>
      </w:r>
      <w:r w:rsidR="00AC1AF3">
        <w:rPr>
          <w:rFonts w:ascii="Times New Roman" w:hAnsi="Times New Roman" w:cs="Times New Roman"/>
          <w:sz w:val="24"/>
          <w:szCs w:val="24"/>
          <w:lang w:val="sr-Cyrl-RS"/>
        </w:rPr>
        <w:t>-</w:t>
      </w:r>
      <w:r w:rsidR="00D05879" w:rsidRPr="0081082A">
        <w:rPr>
          <w:rFonts w:ascii="Times New Roman" w:hAnsi="Times New Roman" w:cs="Times New Roman"/>
          <w:sz w:val="24"/>
          <w:szCs w:val="24"/>
          <w:lang w:val="sr-Cyrl-RS"/>
        </w:rPr>
        <w:t>19</w:t>
      </w:r>
      <w:r w:rsidR="00EC63EC" w:rsidRPr="0081082A">
        <w:rPr>
          <w:rFonts w:ascii="Times New Roman" w:hAnsi="Times New Roman" w:cs="Times New Roman"/>
          <w:sz w:val="24"/>
          <w:szCs w:val="24"/>
          <w:lang w:val="sr-Cyrl-RS"/>
        </w:rPr>
        <w:t xml:space="preserve"> периоду, због значаја финансијске стабилности. Јасније дефинисање корака постићи ће се у сарадњи и дијалогу са банкарским сектором.</w:t>
      </w:r>
    </w:p>
    <w:p w:rsidR="00721398" w:rsidRPr="0081082A" w:rsidRDefault="00EC63EC" w:rsidP="0086546D">
      <w:pPr>
        <w:spacing w:after="0" w:line="240" w:lineRule="auto"/>
        <w:ind w:firstLine="708"/>
        <w:jc w:val="both"/>
        <w:rPr>
          <w:rFonts w:ascii="Times New Roman" w:hAnsi="Times New Roman"/>
          <w:sz w:val="24"/>
          <w:lang w:val="sr-Cyrl-RS"/>
        </w:rPr>
      </w:pPr>
      <w:r w:rsidRPr="0081082A">
        <w:rPr>
          <w:rFonts w:ascii="Times New Roman" w:hAnsi="Times New Roman" w:cs="Times New Roman"/>
          <w:sz w:val="24"/>
          <w:szCs w:val="24"/>
          <w:lang w:val="sr-Cyrl-RS"/>
        </w:rPr>
        <w:t>Анализа</w:t>
      </w:r>
      <w:r w:rsidR="00721398" w:rsidRPr="0081082A">
        <w:rPr>
          <w:rFonts w:ascii="Times New Roman" w:hAnsi="Times New Roman" w:cs="Times New Roman"/>
          <w:sz w:val="24"/>
          <w:szCs w:val="24"/>
          <w:lang w:val="sr-Cyrl-RS"/>
        </w:rPr>
        <w:t xml:space="preserve"> правног оквира и административних капацитета за потпуну примену регулативе Европске уније </w:t>
      </w:r>
      <w:r w:rsidRPr="0081082A">
        <w:rPr>
          <w:rFonts w:ascii="Times New Roman" w:hAnsi="Times New Roman" w:cs="Times New Roman"/>
          <w:sz w:val="24"/>
          <w:szCs w:val="24"/>
          <w:lang w:val="sr-Cyrl-RS"/>
        </w:rPr>
        <w:t>која се односи на</w:t>
      </w:r>
      <w:r w:rsidR="00721398" w:rsidRPr="0081082A">
        <w:rPr>
          <w:rFonts w:ascii="Times New Roman" w:hAnsi="Times New Roman" w:cs="Times New Roman"/>
          <w:sz w:val="24"/>
          <w:szCs w:val="24"/>
          <w:lang w:val="sr-Cyrl-RS"/>
        </w:rPr>
        <w:t xml:space="preserve"> традиционална сопствена средства и извештавање о приходима ЕУ</w:t>
      </w:r>
      <w:r w:rsidRPr="0081082A">
        <w:rPr>
          <w:rFonts w:ascii="Times New Roman" w:hAnsi="Times New Roman" w:cs="Times New Roman"/>
          <w:sz w:val="24"/>
          <w:szCs w:val="24"/>
          <w:lang w:val="sr-Cyrl-RS"/>
        </w:rPr>
        <w:t>, представља једну од кључних активности Управе царина у наредном периоду.</w:t>
      </w:r>
      <w:r w:rsidR="00721398" w:rsidRPr="0081082A">
        <w:rPr>
          <w:rFonts w:ascii="Times New Roman" w:hAnsi="Times New Roman" w:cs="Times New Roman"/>
          <w:sz w:val="24"/>
          <w:szCs w:val="24"/>
          <w:lang w:val="sr-Cyrl-RS"/>
        </w:rPr>
        <w:t xml:space="preserve"> Поред овога, планиране су специфичне обуке за царинске службенике за управљање </w:t>
      </w:r>
      <w:r w:rsidRPr="0081082A">
        <w:rPr>
          <w:rFonts w:ascii="Times New Roman" w:hAnsi="Times New Roman" w:cs="Times New Roman"/>
          <w:sz w:val="24"/>
          <w:szCs w:val="24"/>
          <w:lang w:val="sr-Cyrl-RS"/>
        </w:rPr>
        <w:t>традиционалним</w:t>
      </w:r>
      <w:r w:rsidR="00721398" w:rsidRPr="0081082A">
        <w:rPr>
          <w:rFonts w:ascii="Times New Roman" w:hAnsi="Times New Roman" w:cs="Times New Roman"/>
          <w:sz w:val="24"/>
          <w:szCs w:val="24"/>
          <w:lang w:val="sr-Cyrl-RS"/>
        </w:rPr>
        <w:t xml:space="preserve"> сопственим средствима ЕУ. Напори које</w:t>
      </w:r>
      <w:r w:rsidRPr="0081082A">
        <w:rPr>
          <w:rFonts w:ascii="Times New Roman" w:hAnsi="Times New Roman" w:cs="Times New Roman"/>
          <w:sz w:val="24"/>
          <w:szCs w:val="24"/>
          <w:lang w:val="sr-Cyrl-RS"/>
        </w:rPr>
        <w:t xml:space="preserve"> ће</w:t>
      </w:r>
      <w:r w:rsidR="00721398" w:rsidRPr="0081082A">
        <w:rPr>
          <w:rFonts w:ascii="Times New Roman" w:hAnsi="Times New Roman" w:cs="Times New Roman"/>
          <w:sz w:val="24"/>
          <w:szCs w:val="24"/>
          <w:lang w:val="sr-Cyrl-RS"/>
        </w:rPr>
        <w:t xml:space="preserve"> Управа царина уложити у испуњење обавеза у приступном процесу Европској унији, како у погледу обавеза које произилазе из поглавља 33, тако и у </w:t>
      </w:r>
      <w:r w:rsidRPr="0081082A">
        <w:rPr>
          <w:rFonts w:ascii="Times New Roman" w:hAnsi="Times New Roman" w:cs="Times New Roman"/>
          <w:sz w:val="24"/>
          <w:szCs w:val="24"/>
          <w:lang w:val="sr-Cyrl-RS"/>
        </w:rPr>
        <w:t xml:space="preserve">погледу спремности </w:t>
      </w:r>
      <w:r w:rsidR="00534963" w:rsidRPr="0081082A">
        <w:rPr>
          <w:rFonts w:ascii="Times New Roman" w:hAnsi="Times New Roman" w:cs="Times New Roman"/>
          <w:bCs/>
          <w:sz w:val="24"/>
          <w:szCs w:val="24"/>
          <w:lang w:val="sr-Cyrl-RS"/>
        </w:rPr>
        <w:t>Републике Србије</w:t>
      </w:r>
      <w:r w:rsidR="00721398" w:rsidRPr="0081082A">
        <w:rPr>
          <w:rFonts w:ascii="Times New Roman" w:hAnsi="Times New Roman" w:cs="Times New Roman"/>
          <w:sz w:val="24"/>
          <w:szCs w:val="24"/>
          <w:lang w:val="sr-Cyrl-RS"/>
        </w:rPr>
        <w:t xml:space="preserve"> за управљање </w:t>
      </w:r>
      <w:r w:rsidRPr="0081082A">
        <w:rPr>
          <w:rFonts w:ascii="Times New Roman" w:hAnsi="Times New Roman" w:cs="Times New Roman"/>
          <w:sz w:val="24"/>
          <w:szCs w:val="24"/>
          <w:lang w:val="sr-Cyrl-RS"/>
        </w:rPr>
        <w:t>традиционалним</w:t>
      </w:r>
      <w:r w:rsidR="00721398" w:rsidRPr="0081082A">
        <w:rPr>
          <w:rFonts w:ascii="Times New Roman" w:hAnsi="Times New Roman" w:cs="Times New Roman"/>
          <w:sz w:val="24"/>
          <w:szCs w:val="24"/>
          <w:lang w:val="sr-Cyrl-RS"/>
        </w:rPr>
        <w:t xml:space="preserve"> сопственим средствима ЕУ, омогућиће ефикасније извештавање о приходима ЕУ када се постигне пуноправно чланство у ЕУ, што је од великог значаја за целокупан систем јавних финансија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sz w:val="24"/>
          <w:szCs w:val="24"/>
          <w:lang w:val="sr-Cyrl-RS"/>
        </w:rPr>
        <w:t>.</w:t>
      </w:r>
      <w:r w:rsidR="00721398" w:rsidRPr="0081082A">
        <w:rPr>
          <w:rFonts w:ascii="Times New Roman" w:hAnsi="Times New Roman"/>
          <w:sz w:val="24"/>
          <w:lang w:val="sr-Cyrl-RS"/>
        </w:rPr>
        <w:t xml:space="preserve"> </w:t>
      </w:r>
    </w:p>
    <w:p w:rsidR="00721398" w:rsidRPr="0081082A" w:rsidRDefault="00721398" w:rsidP="00082214">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Контрола царинске робе је од кључног значаја како за наплату царинских дажбина, тако и за међународну трговину на ширем плану. С тим у вези, у наредних пет година, Управа царина ће радити на унапређењу капацитета за ефикасне накнадне контроле, </w:t>
      </w:r>
      <w:r w:rsidR="00EC63EC" w:rsidRPr="0081082A">
        <w:rPr>
          <w:rFonts w:ascii="Times New Roman" w:hAnsi="Times New Roman" w:cs="Times New Roman"/>
          <w:sz w:val="24"/>
          <w:szCs w:val="24"/>
          <w:lang w:val="sr-Cyrl-RS"/>
        </w:rPr>
        <w:t>посебно у области царинског вредновања и правилног утврђивања</w:t>
      </w:r>
      <w:r w:rsidRPr="0081082A">
        <w:rPr>
          <w:rFonts w:ascii="Times New Roman" w:hAnsi="Times New Roman" w:cs="Times New Roman"/>
          <w:sz w:val="24"/>
          <w:szCs w:val="24"/>
          <w:lang w:val="sr-Cyrl-RS"/>
        </w:rPr>
        <w:t xml:space="preserve"> царинске вредности. Ово јачање капацитета резултираће </w:t>
      </w:r>
      <w:r w:rsidR="00EC63EC" w:rsidRPr="0081082A">
        <w:rPr>
          <w:rFonts w:ascii="Times New Roman" w:hAnsi="Times New Roman" w:cs="Times New Roman"/>
          <w:sz w:val="24"/>
          <w:szCs w:val="24"/>
          <w:lang w:val="sr-Cyrl-RS"/>
        </w:rPr>
        <w:t>бољим прикупљањем</w:t>
      </w:r>
      <w:r w:rsidRPr="0081082A">
        <w:rPr>
          <w:rFonts w:ascii="Times New Roman" w:hAnsi="Times New Roman" w:cs="Times New Roman"/>
          <w:sz w:val="24"/>
          <w:szCs w:val="24"/>
          <w:lang w:val="sr-Cyrl-RS"/>
        </w:rPr>
        <w:t xml:space="preserve"> прихода од стране Управе царина</w:t>
      </w:r>
      <w:r w:rsidR="00EC63EC"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захваљујући прецизнијој процени вредности робе на коју ће бити плаћен порез на додату вредност. Поред овога, биће ојачани капацитети за утврђивање преференцијалног порекла и сврставања робе, што ће додатно унапредити ефикасност </w:t>
      </w:r>
      <w:r w:rsidR="00EC63EC" w:rsidRPr="0081082A">
        <w:rPr>
          <w:rFonts w:ascii="Times New Roman" w:hAnsi="Times New Roman" w:cs="Times New Roman"/>
          <w:sz w:val="24"/>
          <w:szCs w:val="24"/>
          <w:lang w:val="sr-Cyrl-RS"/>
        </w:rPr>
        <w:t>Царинске</w:t>
      </w:r>
      <w:r w:rsidRPr="0081082A">
        <w:rPr>
          <w:rFonts w:ascii="Times New Roman" w:hAnsi="Times New Roman" w:cs="Times New Roman"/>
          <w:sz w:val="24"/>
          <w:szCs w:val="24"/>
          <w:lang w:val="sr-Cyrl-RS"/>
        </w:rPr>
        <w:t xml:space="preserve"> службе</w:t>
      </w:r>
      <w:r w:rsidR="00EC63EC"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Резултат </w:t>
      </w:r>
      <w:r w:rsidR="00833630" w:rsidRPr="0081082A">
        <w:rPr>
          <w:rFonts w:ascii="Times New Roman" w:hAnsi="Times New Roman" w:cs="Times New Roman"/>
          <w:sz w:val="24"/>
          <w:szCs w:val="24"/>
          <w:lang w:val="sr-Cyrl-RS"/>
        </w:rPr>
        <w:t xml:space="preserve">утврђених </w:t>
      </w:r>
      <w:r w:rsidRPr="0081082A">
        <w:rPr>
          <w:rFonts w:ascii="Times New Roman" w:hAnsi="Times New Roman" w:cs="Times New Roman"/>
          <w:sz w:val="24"/>
          <w:szCs w:val="24"/>
          <w:lang w:val="sr-Cyrl-RS"/>
        </w:rPr>
        <w:t xml:space="preserve">реформских мера које ће </w:t>
      </w:r>
      <w:r w:rsidR="00EC63EC" w:rsidRPr="0081082A">
        <w:rPr>
          <w:rFonts w:ascii="Times New Roman" w:hAnsi="Times New Roman" w:cs="Times New Roman"/>
          <w:sz w:val="24"/>
          <w:szCs w:val="24"/>
          <w:lang w:val="sr-Cyrl-RS"/>
        </w:rPr>
        <w:t>Управа царина</w:t>
      </w:r>
      <w:r w:rsidRPr="0081082A">
        <w:rPr>
          <w:rFonts w:ascii="Times New Roman" w:hAnsi="Times New Roman" w:cs="Times New Roman"/>
          <w:sz w:val="24"/>
          <w:szCs w:val="24"/>
          <w:lang w:val="sr-Cyrl-RS"/>
        </w:rPr>
        <w:t xml:space="preserve"> спровести, довешће до побољшања </w:t>
      </w:r>
      <w:r w:rsidR="00EC63EC" w:rsidRPr="0081082A">
        <w:rPr>
          <w:rFonts w:ascii="Times New Roman" w:hAnsi="Times New Roman" w:cs="Times New Roman"/>
          <w:sz w:val="24"/>
          <w:szCs w:val="24"/>
          <w:lang w:val="sr-Cyrl-RS"/>
        </w:rPr>
        <w:t xml:space="preserve">правилног утврђивања царинског дуга и </w:t>
      </w:r>
      <w:r w:rsidRPr="0081082A">
        <w:rPr>
          <w:rFonts w:ascii="Times New Roman" w:hAnsi="Times New Roman" w:cs="Times New Roman"/>
          <w:sz w:val="24"/>
          <w:szCs w:val="24"/>
          <w:lang w:val="sr-Cyrl-RS"/>
        </w:rPr>
        <w:t xml:space="preserve">прикупљања буџетских средстава, и тиме ојачати целокупни систем јавних финансија. </w:t>
      </w:r>
    </w:p>
    <w:p w:rsidR="00C31529" w:rsidRPr="0081082A" w:rsidRDefault="00C31529" w:rsidP="00C31529">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Наставак процеса унапређења Царинске лабораторије остаје један од фокуса Управе царина у наредном периоду. Како би одговорила захтевима модерне Царинске лабораторије по питању лабораторијских анализа робе, а за потребе њене </w:t>
      </w:r>
      <w:r w:rsidRPr="0081082A">
        <w:rPr>
          <w:rFonts w:ascii="Times New Roman" w:hAnsi="Times New Roman" w:cs="Times New Roman"/>
          <w:sz w:val="24"/>
          <w:szCs w:val="24"/>
          <w:lang w:val="sr-Cyrl-RS"/>
        </w:rPr>
        <w:lastRenderedPageBreak/>
        <w:t>идентификације и правилног сврставање по ЦТ, и како би се успешно суочила са сузбијањем пиратерије и нелегалне трговине, Управа царина настојаће да у току процеса модернизације Царинске лабораторије, рад и функционисање Лабораторије организује и спроводи у складу са прописима и стандардима који се примењују у раду царинских лабораторије ЕУ  Такође</w:t>
      </w:r>
      <w:r w:rsidR="00E51588"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једна од фаза модернизације ће бити и развој неопходних људских капацитета и побољшано управљање људским ресурсима, набавка савремене и софистициране опреме неопходне  за испитивање узорака робе и ефикасно функционисање Лабораторије, као и обезбеђење адекватног простора у коме Царинска лабораторија треба да буде смештена. По окончању активности „Израде три сценарија модернизације објекта Царинске лабораторије и процене финансијских трошкова сваког од три сценарија</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и након стратешког опредељења Министарства финансија за оптимални сценарио обезбеђења адекватног објекта Царинске лабораторије после 2022. године очекује се и обезбеђење додатне донаторске помоћи у набавци опреме за унапређено  функционисање Царинске лабораторије  које је кључно  не само за рад царинске администрације у погледу напате царинских дажбина, већ и у контроли међународне трговине. У складу са тим, Управа царина наставиће са усвајањем најбољих пракси царинских органа у Европској унији, уз подршку пројекта „Реформа јавних финансија-финансирање Агенде 2030</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који спроводи ГИЗ, као и ИПА средстава. </w:t>
      </w:r>
    </w:p>
    <w:p w:rsidR="00721398" w:rsidRPr="0081082A" w:rsidRDefault="00721398" w:rsidP="00661D0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Осим подршке у даљем унапређењу Царинске лабораторије, Управа царина </w:t>
      </w:r>
      <w:r w:rsidR="00EC63EC" w:rsidRPr="0081082A">
        <w:rPr>
          <w:rFonts w:ascii="Times New Roman" w:hAnsi="Times New Roman" w:cs="Times New Roman"/>
          <w:sz w:val="24"/>
          <w:szCs w:val="24"/>
          <w:lang w:val="sr-Cyrl-RS"/>
        </w:rPr>
        <w:t>очекује</w:t>
      </w:r>
      <w:r w:rsidRPr="0081082A">
        <w:rPr>
          <w:rFonts w:ascii="Times New Roman" w:hAnsi="Times New Roman" w:cs="Times New Roman"/>
          <w:sz w:val="24"/>
          <w:szCs w:val="24"/>
          <w:lang w:val="sr-Cyrl-RS"/>
        </w:rPr>
        <w:t xml:space="preserve"> подршку за развој царинске инфраструктуре складишта посебне намене и при унапређењу управљања и јавне продаје царинске робе. Јавна продаја робе заплењене од стране Управе царина додатно ће допринети сливању средстава у буџет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sz w:val="24"/>
          <w:szCs w:val="24"/>
          <w:lang w:val="sr-Cyrl-RS"/>
        </w:rPr>
        <w:t xml:space="preserve"> по основу продаје, што је важан корак у испуњењу циља ефикасног прикупљања буџетских прихода из надлежности Управе царина.</w:t>
      </w:r>
      <w:r w:rsidR="00EC63EC" w:rsidRPr="0081082A">
        <w:rPr>
          <w:rFonts w:ascii="Times New Roman" w:hAnsi="Times New Roman" w:cs="Times New Roman"/>
          <w:sz w:val="24"/>
          <w:szCs w:val="24"/>
          <w:lang w:val="sr-Cyrl-RS"/>
        </w:rPr>
        <w:t xml:space="preserve"> Један од битних елемената за спровођење мера контроле робе јесте и постојање складишног простора где се смешта роба у царинском поступку све до његовог окончања.  Због неадекватних смештајних капацитета не врши се прет</w:t>
      </w:r>
      <w:r w:rsidR="00833630" w:rsidRPr="0081082A">
        <w:rPr>
          <w:rFonts w:ascii="Times New Roman" w:hAnsi="Times New Roman" w:cs="Times New Roman"/>
          <w:sz w:val="24"/>
          <w:szCs w:val="24"/>
          <w:lang w:val="sr-Cyrl-RS"/>
        </w:rPr>
        <w:t>х</w:t>
      </w:r>
      <w:r w:rsidR="00EC63EC" w:rsidRPr="0081082A">
        <w:rPr>
          <w:rFonts w:ascii="Times New Roman" w:hAnsi="Times New Roman" w:cs="Times New Roman"/>
          <w:sz w:val="24"/>
          <w:szCs w:val="24"/>
          <w:lang w:val="sr-Cyrl-RS"/>
        </w:rPr>
        <w:t>одно</w:t>
      </w:r>
      <w:r w:rsidR="00833630" w:rsidRPr="0081082A">
        <w:rPr>
          <w:rFonts w:ascii="Times New Roman" w:hAnsi="Times New Roman" w:cs="Times New Roman"/>
          <w:sz w:val="24"/>
          <w:szCs w:val="24"/>
          <w:lang w:val="sr-Cyrl-RS"/>
        </w:rPr>
        <w:t xml:space="preserve"> </w:t>
      </w:r>
      <w:r w:rsidR="00EC63EC" w:rsidRPr="0081082A">
        <w:rPr>
          <w:rFonts w:ascii="Times New Roman" w:hAnsi="Times New Roman" w:cs="Times New Roman"/>
          <w:sz w:val="24"/>
          <w:szCs w:val="24"/>
          <w:lang w:val="sr-Cyrl-RS"/>
        </w:rPr>
        <w:t>узорковање робе које би определило одговарајући начин складиштења, већ се ови параметри п</w:t>
      </w:r>
      <w:r w:rsidR="00A04032" w:rsidRPr="0081082A">
        <w:rPr>
          <w:rFonts w:ascii="Times New Roman" w:hAnsi="Times New Roman" w:cs="Times New Roman"/>
          <w:sz w:val="24"/>
          <w:szCs w:val="24"/>
          <w:lang w:val="sr-Cyrl-RS"/>
        </w:rPr>
        <w:t>р</w:t>
      </w:r>
      <w:r w:rsidR="00EC63EC" w:rsidRPr="0081082A">
        <w:rPr>
          <w:rFonts w:ascii="Times New Roman" w:hAnsi="Times New Roman" w:cs="Times New Roman"/>
          <w:sz w:val="24"/>
          <w:szCs w:val="24"/>
          <w:lang w:val="sr-Cyrl-RS"/>
        </w:rPr>
        <w:t>еузимају из документације прекршиоца коме је роба одузета. Ради испуњења обавеза које произлазе из поступа</w:t>
      </w:r>
      <w:r w:rsidR="00082214" w:rsidRPr="0081082A">
        <w:rPr>
          <w:rFonts w:ascii="Times New Roman" w:hAnsi="Times New Roman" w:cs="Times New Roman"/>
          <w:sz w:val="24"/>
          <w:szCs w:val="24"/>
          <w:lang w:val="sr-Cyrl-RS"/>
        </w:rPr>
        <w:t>њ</w:t>
      </w:r>
      <w:r w:rsidR="00EC63EC" w:rsidRPr="0081082A">
        <w:rPr>
          <w:rFonts w:ascii="Times New Roman" w:hAnsi="Times New Roman" w:cs="Times New Roman"/>
          <w:sz w:val="24"/>
          <w:szCs w:val="24"/>
          <w:lang w:val="sr-Cyrl-RS"/>
        </w:rPr>
        <w:t>а са робом одузетом у царинском поступку, Управа царина сваке године мора да обезбеди јавну набавку изнајмљивање складишта за нафту и нафтне деривате. Тренутно се за ове јавне набавке издваја</w:t>
      </w:r>
      <w:r w:rsidR="00826D94" w:rsidRPr="0081082A">
        <w:rPr>
          <w:rFonts w:ascii="Times New Roman" w:hAnsi="Times New Roman" w:cs="Times New Roman"/>
          <w:sz w:val="24"/>
          <w:szCs w:val="24"/>
          <w:lang w:val="sr-Cyrl-RS"/>
        </w:rPr>
        <w:t>ју значајна средства, са тенденцијом да се додатна средства одвајају за ове намене, јер се</w:t>
      </w:r>
      <w:r w:rsidR="00EC63EC" w:rsidRPr="0081082A">
        <w:rPr>
          <w:rFonts w:ascii="Times New Roman" w:hAnsi="Times New Roman" w:cs="Times New Roman"/>
          <w:sz w:val="24"/>
          <w:szCs w:val="24"/>
          <w:lang w:val="sr-Cyrl-RS"/>
        </w:rPr>
        <w:t xml:space="preserve"> све теже задовољавају потребе финансирања услуга изнајмљивања надземних и подземних складишта са пратећим услугама одржавања складишта, имајући у виду стални годишњи тренд раста заплене која се до сада кретала од 270.000 до 500.000 литара.  </w:t>
      </w:r>
    </w:p>
    <w:p w:rsidR="00EC63EC" w:rsidRPr="0081082A" w:rsidRDefault="00EC63EC" w:rsidP="00661D0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i/>
          <w:iCs/>
          <w:sz w:val="24"/>
          <w:szCs w:val="24"/>
          <w:lang w:val="sr-Cyrl-RS"/>
        </w:rPr>
        <w:t>PEFA</w:t>
      </w:r>
      <w:r w:rsidRPr="0081082A">
        <w:rPr>
          <w:rFonts w:ascii="Times New Roman" w:hAnsi="Times New Roman" w:cs="Times New Roman"/>
          <w:sz w:val="24"/>
          <w:szCs w:val="24"/>
          <w:lang w:val="sr-Cyrl-RS"/>
        </w:rPr>
        <w:t xml:space="preserve"> процена за </w:t>
      </w:r>
      <w:r w:rsidR="00534963" w:rsidRPr="0081082A">
        <w:rPr>
          <w:rFonts w:ascii="Times New Roman" w:hAnsi="Times New Roman" w:cs="Times New Roman"/>
          <w:bCs/>
          <w:sz w:val="24"/>
          <w:szCs w:val="24"/>
          <w:lang w:val="sr-Cyrl-RS"/>
        </w:rPr>
        <w:t>Републику Србију</w:t>
      </w:r>
      <w:r w:rsidRPr="0081082A">
        <w:rPr>
          <w:rFonts w:ascii="Times New Roman" w:hAnsi="Times New Roman" w:cs="Times New Roman"/>
          <w:sz w:val="24"/>
          <w:szCs w:val="24"/>
          <w:lang w:val="sr-Cyrl-RS"/>
        </w:rPr>
        <w:t xml:space="preserve"> нагласила је потребу за смањењем удела ненаплаћених пореских прихода, тако да ће напори Управе царина у наредном периоду </w:t>
      </w:r>
      <w:r w:rsidR="00826D94" w:rsidRPr="0081082A">
        <w:rPr>
          <w:rFonts w:ascii="Times New Roman" w:hAnsi="Times New Roman" w:cs="Times New Roman"/>
          <w:sz w:val="24"/>
          <w:szCs w:val="24"/>
          <w:lang w:val="sr-Cyrl-RS"/>
        </w:rPr>
        <w:t xml:space="preserve">бити усмерени на </w:t>
      </w:r>
      <w:r w:rsidRPr="0081082A">
        <w:rPr>
          <w:rFonts w:ascii="Times New Roman" w:hAnsi="Times New Roman" w:cs="Times New Roman"/>
          <w:sz w:val="24"/>
          <w:szCs w:val="24"/>
          <w:lang w:val="sr-Cyrl-RS"/>
        </w:rPr>
        <w:t>развој капацитета за ефектне накнадне контроле, утврђивање царинске вредности, преференцијалног порекла и сврставања робе</w:t>
      </w:r>
      <w:r w:rsidR="00082214" w:rsidRPr="0081082A">
        <w:rPr>
          <w:rFonts w:ascii="Times New Roman" w:hAnsi="Times New Roman" w:cs="Times New Roman"/>
          <w:sz w:val="24"/>
          <w:szCs w:val="24"/>
          <w:lang w:val="sr-Cyrl-RS"/>
        </w:rPr>
        <w:t>, и</w:t>
      </w:r>
      <w:r w:rsidRPr="0081082A">
        <w:rPr>
          <w:rFonts w:ascii="Times New Roman" w:hAnsi="Times New Roman" w:cs="Times New Roman"/>
          <w:sz w:val="24"/>
          <w:szCs w:val="24"/>
          <w:lang w:val="sr-Cyrl-RS"/>
        </w:rPr>
        <w:t xml:space="preserve"> допринети побољшању димензије администрације прихода. </w:t>
      </w:r>
    </w:p>
    <w:p w:rsidR="00721398" w:rsidRPr="0081082A" w:rsidRDefault="00721398" w:rsidP="00661D0D">
      <w:pPr>
        <w:spacing w:after="0" w:line="240" w:lineRule="auto"/>
        <w:ind w:firstLine="708"/>
        <w:jc w:val="both"/>
        <w:rPr>
          <w:rFonts w:ascii="Times New Roman" w:eastAsia="Calibri" w:hAnsi="Times New Roman" w:cs="Times New Roman"/>
          <w:iCs/>
          <w:sz w:val="24"/>
          <w:szCs w:val="24"/>
          <w:shd w:val="clear" w:color="auto" w:fill="FFFFFF"/>
          <w:lang w:val="sr-Cyrl-RS"/>
        </w:rPr>
      </w:pPr>
      <w:r w:rsidRPr="0081082A">
        <w:rPr>
          <w:rFonts w:ascii="Times New Roman" w:hAnsi="Times New Roman" w:cs="Times New Roman"/>
          <w:sz w:val="24"/>
          <w:szCs w:val="24"/>
          <w:lang w:val="sr-Cyrl-RS"/>
        </w:rPr>
        <w:t xml:space="preserve">Такође, на основу препоруке </w:t>
      </w:r>
      <w:r w:rsidR="00EC63EC" w:rsidRPr="0081082A">
        <w:rPr>
          <w:rFonts w:ascii="Times New Roman" w:hAnsi="Times New Roman" w:cs="Times New Roman"/>
          <w:i/>
          <w:iCs/>
          <w:sz w:val="24"/>
          <w:szCs w:val="24"/>
          <w:lang w:val="sr-Cyrl-RS"/>
        </w:rPr>
        <w:t>PEFA</w:t>
      </w:r>
      <w:r w:rsidRPr="0081082A">
        <w:rPr>
          <w:rFonts w:ascii="Times New Roman" w:hAnsi="Times New Roman" w:cs="Times New Roman"/>
          <w:sz w:val="24"/>
          <w:szCs w:val="24"/>
          <w:lang w:val="sr-Cyrl-RS"/>
        </w:rPr>
        <w:t xml:space="preserve"> процене за </w:t>
      </w:r>
      <w:r w:rsidR="00534963" w:rsidRPr="0081082A">
        <w:rPr>
          <w:rFonts w:ascii="Times New Roman" w:hAnsi="Times New Roman" w:cs="Times New Roman"/>
          <w:bCs/>
          <w:sz w:val="24"/>
          <w:szCs w:val="24"/>
          <w:lang w:val="sr-Cyrl-RS"/>
        </w:rPr>
        <w:t>Републику Србију</w:t>
      </w:r>
      <w:r w:rsidRPr="0081082A">
        <w:rPr>
          <w:rFonts w:ascii="Times New Roman" w:hAnsi="Times New Roman" w:cs="Times New Roman"/>
          <w:sz w:val="24"/>
          <w:szCs w:val="24"/>
          <w:lang w:val="sr-Cyrl-RS"/>
        </w:rPr>
        <w:t>, Управа царина остаће посвећена даљем унапређењу анализе и система управљања ризиком.</w:t>
      </w:r>
      <w:r w:rsidRPr="0081082A">
        <w:rPr>
          <w:rFonts w:ascii="Times New Roman" w:hAnsi="Times New Roman"/>
          <w:sz w:val="24"/>
          <w:lang w:val="sr-Cyrl-RS"/>
        </w:rPr>
        <w:t xml:space="preserve"> Планирано је да до краја 2021. године, </w:t>
      </w:r>
      <w:r w:rsidRPr="0081082A">
        <w:rPr>
          <w:rFonts w:ascii="Times New Roman" w:hAnsi="Times New Roman"/>
          <w:i/>
          <w:iCs/>
          <w:sz w:val="24"/>
          <w:lang w:val="sr-Cyrl-RS"/>
        </w:rPr>
        <w:t>ERIAN</w:t>
      </w:r>
      <w:r w:rsidRPr="0081082A">
        <w:rPr>
          <w:rFonts w:ascii="Times New Roman" w:hAnsi="Times New Roman"/>
          <w:sz w:val="24"/>
          <w:lang w:val="sr-Cyrl-RS"/>
        </w:rPr>
        <w:t xml:space="preserve"> систем буде интегрисан са евиденцијом улаза-излаза празних теретних моторних возила, која се </w:t>
      </w:r>
      <w:r w:rsidR="00DB0BF6" w:rsidRPr="0081082A">
        <w:rPr>
          <w:rFonts w:ascii="Times New Roman" w:hAnsi="Times New Roman"/>
          <w:sz w:val="24"/>
          <w:lang w:val="sr-Cyrl-RS"/>
        </w:rPr>
        <w:t xml:space="preserve">води </w:t>
      </w:r>
      <w:r w:rsidRPr="0081082A">
        <w:rPr>
          <w:rFonts w:ascii="Times New Roman" w:hAnsi="Times New Roman"/>
          <w:sz w:val="24"/>
          <w:lang w:val="sr-Cyrl-RS"/>
        </w:rPr>
        <w:t>у Информационом систему царинске службе (</w:t>
      </w:r>
      <w:r w:rsidR="009175EF" w:rsidRPr="0081082A">
        <w:rPr>
          <w:rFonts w:ascii="Times New Roman" w:hAnsi="Times New Roman" w:cs="Times New Roman"/>
          <w:sz w:val="24"/>
          <w:szCs w:val="24"/>
          <w:lang w:val="sr-Cyrl-RS"/>
        </w:rPr>
        <w:t xml:space="preserve">у даљем тексту: </w:t>
      </w:r>
      <w:r w:rsidRPr="0081082A">
        <w:rPr>
          <w:rFonts w:ascii="Times New Roman" w:hAnsi="Times New Roman"/>
          <w:i/>
          <w:iCs/>
          <w:sz w:val="24"/>
          <w:lang w:val="sr-Cyrl-RS"/>
        </w:rPr>
        <w:t>ISCS</w:t>
      </w:r>
      <w:r w:rsidRPr="0081082A">
        <w:rPr>
          <w:rFonts w:ascii="Times New Roman" w:hAnsi="Times New Roman"/>
          <w:sz w:val="24"/>
          <w:lang w:val="sr-Cyrl-RS"/>
        </w:rPr>
        <w:t xml:space="preserve">). </w:t>
      </w:r>
      <w:bookmarkStart w:id="18" w:name="_Hlk63764266"/>
      <w:r w:rsidR="00EC63EC" w:rsidRPr="0081082A">
        <w:rPr>
          <w:rFonts w:ascii="Times New Roman" w:hAnsi="Times New Roman" w:cs="Times New Roman"/>
          <w:i/>
          <w:iCs/>
          <w:sz w:val="24"/>
          <w:szCs w:val="24"/>
          <w:lang w:val="sr-Cyrl-RS"/>
        </w:rPr>
        <w:t>AES/AIS</w:t>
      </w:r>
      <w:r w:rsidR="00EC63EC" w:rsidRPr="0081082A">
        <w:rPr>
          <w:rFonts w:ascii="Times New Roman" w:hAnsi="Times New Roman" w:cs="Times New Roman"/>
          <w:sz w:val="24"/>
          <w:szCs w:val="24"/>
          <w:lang w:val="sr-Cyrl-RS"/>
        </w:rPr>
        <w:t xml:space="preserve"> </w:t>
      </w:r>
      <w:bookmarkStart w:id="19" w:name="_Hlk63763622"/>
      <w:bookmarkEnd w:id="18"/>
      <w:r w:rsidR="00EC63EC" w:rsidRPr="0081082A">
        <w:rPr>
          <w:rFonts w:ascii="Times New Roman" w:hAnsi="Times New Roman" w:cs="Times New Roman"/>
          <w:sz w:val="24"/>
          <w:szCs w:val="24"/>
          <w:lang w:val="sr-Cyrl-RS"/>
        </w:rPr>
        <w:t xml:space="preserve">и </w:t>
      </w:r>
      <w:r w:rsidR="009175EF" w:rsidRPr="0081082A">
        <w:rPr>
          <w:rFonts w:ascii="Times New Roman" w:hAnsi="Times New Roman" w:cs="Times New Roman"/>
          <w:sz w:val="24"/>
          <w:szCs w:val="24"/>
          <w:lang w:val="sr-Cyrl-RS"/>
        </w:rPr>
        <w:t xml:space="preserve">Систем контроле извоза (у даљем тексту: </w:t>
      </w:r>
      <w:r w:rsidR="00EC63EC" w:rsidRPr="0081082A">
        <w:rPr>
          <w:rFonts w:ascii="Times New Roman" w:hAnsi="Times New Roman" w:cs="Times New Roman"/>
          <w:i/>
          <w:iCs/>
          <w:sz w:val="24"/>
          <w:szCs w:val="24"/>
          <w:lang w:val="sr-Cyrl-RS"/>
        </w:rPr>
        <w:t>ECS</w:t>
      </w:r>
      <w:r w:rsidR="00EC63EC" w:rsidRPr="0081082A">
        <w:rPr>
          <w:rFonts w:ascii="Times New Roman" w:hAnsi="Times New Roman" w:cs="Times New Roman"/>
          <w:sz w:val="24"/>
          <w:szCs w:val="24"/>
          <w:lang w:val="sr-Cyrl-RS"/>
        </w:rPr>
        <w:t xml:space="preserve">)  </w:t>
      </w:r>
      <w:bookmarkEnd w:id="19"/>
      <w:r w:rsidR="00EC63EC" w:rsidRPr="0081082A">
        <w:rPr>
          <w:rFonts w:ascii="Times New Roman" w:hAnsi="Times New Roman" w:cs="Times New Roman"/>
          <w:sz w:val="24"/>
          <w:szCs w:val="24"/>
          <w:lang w:val="sr-Cyrl-RS"/>
        </w:rPr>
        <w:t>су у фази спровођења. Измене у систему обраде декларација ће</w:t>
      </w:r>
      <w:r w:rsidR="00EC63EC" w:rsidRPr="0081082A">
        <w:rPr>
          <w:rFonts w:ascii="Times New Roman" w:eastAsia="Calibri" w:hAnsi="Times New Roman" w:cs="Times New Roman"/>
          <w:iCs/>
          <w:sz w:val="24"/>
          <w:szCs w:val="24"/>
          <w:shd w:val="clear" w:color="auto" w:fill="FFFFFF"/>
          <w:lang w:val="sr-Cyrl-RS"/>
        </w:rPr>
        <w:t xml:space="preserve"> </w:t>
      </w:r>
      <w:r w:rsidR="00EC63EC" w:rsidRPr="0081082A">
        <w:rPr>
          <w:rFonts w:ascii="Times New Roman" w:eastAsia="Calibri" w:hAnsi="Times New Roman" w:cs="Times New Roman"/>
          <w:iCs/>
          <w:sz w:val="24"/>
          <w:szCs w:val="24"/>
          <w:shd w:val="clear" w:color="auto" w:fill="FFFFFF"/>
          <w:lang w:val="sr-Cyrl-RS"/>
        </w:rPr>
        <w:lastRenderedPageBreak/>
        <w:t xml:space="preserve">позитивно утицати на систем плаћања прихода, систем управљања гаранцијом, као и на систем управљања ризиком, уколико се нове области укључе у профиле ризика. </w:t>
      </w:r>
    </w:p>
    <w:p w:rsidR="00B36BD5" w:rsidRPr="0081082A" w:rsidRDefault="00B36BD5" w:rsidP="00661D0D">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циљу процеса даље модернизације, Управа царина Републике Србије планира пуну имплементацију аутоматизованих система увоза (</w:t>
      </w:r>
      <w:r w:rsidR="00DB0BF6" w:rsidRPr="0081082A">
        <w:rPr>
          <w:rFonts w:ascii="Times New Roman" w:eastAsia="Calibri" w:hAnsi="Times New Roman" w:cs="Times New Roman"/>
          <w:sz w:val="24"/>
          <w:szCs w:val="24"/>
          <w:lang w:val="sr-Cyrl-RS"/>
        </w:rPr>
        <w:t>AIS</w:t>
      </w:r>
      <w:r w:rsidRPr="0081082A">
        <w:rPr>
          <w:rFonts w:ascii="Times New Roman" w:hAnsi="Times New Roman" w:cs="Times New Roman"/>
          <w:sz w:val="24"/>
          <w:szCs w:val="24"/>
          <w:lang w:val="sr-Cyrl-RS"/>
        </w:rPr>
        <w:t>) и извоза (</w:t>
      </w:r>
      <w:r w:rsidR="00DB0BF6" w:rsidRPr="0081082A">
        <w:rPr>
          <w:rFonts w:ascii="Times New Roman" w:eastAsia="Calibri" w:hAnsi="Times New Roman" w:cs="Times New Roman"/>
          <w:sz w:val="24"/>
          <w:szCs w:val="24"/>
          <w:lang w:val="sr-Cyrl-RS"/>
        </w:rPr>
        <w:t>AES</w:t>
      </w:r>
      <w:r w:rsidRPr="0081082A">
        <w:rPr>
          <w:rFonts w:ascii="Times New Roman" w:hAnsi="Times New Roman" w:cs="Times New Roman"/>
          <w:sz w:val="24"/>
          <w:szCs w:val="24"/>
          <w:lang w:val="sr-Cyrl-RS"/>
        </w:rPr>
        <w:t xml:space="preserve">), уз финансијску подршку Европске уније. Пројекат ће бити спроведен кроз </w:t>
      </w:r>
      <w:r w:rsidR="00E51588" w:rsidRPr="0081082A">
        <w:rPr>
          <w:rFonts w:ascii="Times New Roman" w:hAnsi="Times New Roman" w:cs="Times New Roman"/>
          <w:sz w:val="24"/>
          <w:szCs w:val="24"/>
          <w:lang w:val="sr-Cyrl-RS"/>
        </w:rPr>
        <w:t xml:space="preserve">три </w:t>
      </w:r>
      <w:r w:rsidRPr="0081082A">
        <w:rPr>
          <w:rFonts w:ascii="Times New Roman" w:hAnsi="Times New Roman" w:cs="Times New Roman"/>
          <w:sz w:val="24"/>
          <w:szCs w:val="24"/>
          <w:lang w:val="sr-Cyrl-RS"/>
        </w:rPr>
        <w:t xml:space="preserve">уговора: сервисни уговор за развој и имплементацију софтвера за </w:t>
      </w:r>
      <w:r w:rsidRPr="0081082A">
        <w:rPr>
          <w:rFonts w:ascii="Times New Roman" w:eastAsia="Calibri" w:hAnsi="Times New Roman" w:cs="Times New Roman"/>
          <w:i/>
          <w:iCs/>
          <w:sz w:val="24"/>
          <w:szCs w:val="24"/>
          <w:lang w:val="sr-Cyrl-RS"/>
        </w:rPr>
        <w:t>AIS/AES</w:t>
      </w:r>
      <w:r w:rsidRPr="0081082A">
        <w:rPr>
          <w:rFonts w:ascii="Times New Roman" w:eastAsia="Calibri" w:hAnsi="Times New Roman" w:cs="Times New Roman"/>
          <w:sz w:val="24"/>
          <w:szCs w:val="24"/>
          <w:lang w:val="sr-Cyrl-RS"/>
        </w:rPr>
        <w:t xml:space="preserve"> и </w:t>
      </w:r>
      <w:r w:rsidRPr="0081082A">
        <w:rPr>
          <w:rFonts w:ascii="Times New Roman" w:eastAsia="Calibri" w:hAnsi="Times New Roman" w:cs="Times New Roman"/>
          <w:i/>
          <w:iCs/>
          <w:sz w:val="24"/>
          <w:szCs w:val="24"/>
          <w:lang w:val="sr-Cyrl-RS"/>
        </w:rPr>
        <w:t>CDMS</w:t>
      </w:r>
      <w:r w:rsidRPr="0081082A">
        <w:rPr>
          <w:rFonts w:ascii="Times New Roman" w:eastAsia="Calibri" w:hAnsi="Times New Roman" w:cs="Times New Roman"/>
          <w:sz w:val="24"/>
          <w:szCs w:val="24"/>
          <w:lang w:val="sr-Cyrl-RS"/>
        </w:rPr>
        <w:t xml:space="preserve">, сервисни уговор за техничку помоћ и надзор над спровођењем уговора за развој софтвера  и уговор за набавку ИТ опреме за имплементацију </w:t>
      </w:r>
      <w:r w:rsidRPr="0081082A">
        <w:rPr>
          <w:rFonts w:ascii="Times New Roman" w:eastAsia="Calibri" w:hAnsi="Times New Roman" w:cs="Times New Roman"/>
          <w:i/>
          <w:iCs/>
          <w:sz w:val="24"/>
          <w:szCs w:val="24"/>
          <w:lang w:val="sr-Cyrl-RS"/>
        </w:rPr>
        <w:t>AIS/AES</w:t>
      </w:r>
      <w:r w:rsidRPr="0081082A">
        <w:rPr>
          <w:rFonts w:ascii="Times New Roman" w:eastAsia="Calibri" w:hAnsi="Times New Roman" w:cs="Times New Roman"/>
          <w:sz w:val="24"/>
          <w:szCs w:val="24"/>
          <w:lang w:val="sr-Cyrl-RS"/>
        </w:rPr>
        <w:t xml:space="preserve"> и </w:t>
      </w:r>
      <w:r w:rsidRPr="0081082A">
        <w:rPr>
          <w:rFonts w:ascii="Times New Roman" w:eastAsia="Calibri" w:hAnsi="Times New Roman" w:cs="Times New Roman"/>
          <w:i/>
          <w:iCs/>
          <w:sz w:val="24"/>
          <w:szCs w:val="24"/>
          <w:lang w:val="sr-Cyrl-RS"/>
        </w:rPr>
        <w:t>CDMS</w:t>
      </w:r>
      <w:r w:rsidRPr="0081082A">
        <w:rPr>
          <w:rFonts w:ascii="Times New Roman" w:eastAsia="Calibri" w:hAnsi="Times New Roman" w:cs="Times New Roman"/>
          <w:sz w:val="24"/>
          <w:szCs w:val="24"/>
          <w:lang w:val="sr-Cyrl-RS"/>
        </w:rPr>
        <w:t xml:space="preserve"> система</w:t>
      </w:r>
      <w:r w:rsidRPr="0081082A">
        <w:rPr>
          <w:rFonts w:ascii="Times New Roman" w:hAnsi="Times New Roman" w:cs="Times New Roman"/>
          <w:sz w:val="24"/>
          <w:szCs w:val="24"/>
          <w:lang w:val="sr-Cyrl-RS"/>
        </w:rPr>
        <w:t>. Реализацијом наведених уговора започеће се рад на оперативној имплементацији  увозних и извозних аутоматизованих система (</w:t>
      </w:r>
      <w:r w:rsidRPr="0081082A">
        <w:rPr>
          <w:rFonts w:ascii="Times New Roman" w:hAnsi="Times New Roman" w:cs="Times New Roman"/>
          <w:i/>
          <w:iCs/>
          <w:sz w:val="24"/>
          <w:szCs w:val="24"/>
          <w:lang w:val="sr-Cyrl-RS"/>
        </w:rPr>
        <w:t>АIS/АЕS</w:t>
      </w:r>
      <w:r w:rsidRPr="0081082A">
        <w:rPr>
          <w:rFonts w:ascii="Times New Roman" w:hAnsi="Times New Roman" w:cs="Times New Roman"/>
          <w:sz w:val="24"/>
          <w:szCs w:val="24"/>
          <w:lang w:val="sr-Cyrl-RS"/>
        </w:rPr>
        <w:t>) и система управљања царинским одлукама (</w:t>
      </w:r>
      <w:r w:rsidRPr="0081082A">
        <w:rPr>
          <w:rFonts w:ascii="Times New Roman" w:hAnsi="Times New Roman" w:cs="Times New Roman"/>
          <w:i/>
          <w:iCs/>
          <w:sz w:val="24"/>
          <w:szCs w:val="24"/>
          <w:lang w:val="sr-Cyrl-RS"/>
        </w:rPr>
        <w:t>CDMS</w:t>
      </w:r>
      <w:r w:rsidRPr="0081082A">
        <w:rPr>
          <w:rFonts w:ascii="Times New Roman" w:hAnsi="Times New Roman" w:cs="Times New Roman"/>
          <w:sz w:val="24"/>
          <w:szCs w:val="24"/>
          <w:lang w:val="sr-Cyrl-RS"/>
        </w:rPr>
        <w:t>), који са собом носи многе бенефите, између осталог укидање папирног пословања, заштита интереса грађана кроз бољу контролу увоза и извоза, побољшања аспекта сигурности и безбедности</w:t>
      </w:r>
      <w:r w:rsidR="00DB0BF6"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ефикасније пуњење буџета и сл.</w:t>
      </w:r>
    </w:p>
    <w:p w:rsidR="00B36BD5" w:rsidRPr="0081082A" w:rsidRDefault="00B36BD5" w:rsidP="00661D0D">
      <w:pPr>
        <w:spacing w:after="0" w:line="240" w:lineRule="auto"/>
        <w:ind w:firstLine="720"/>
        <w:jc w:val="both"/>
        <w:rPr>
          <w:rFonts w:ascii="Times New Roman" w:eastAsia="Calibri" w:hAnsi="Times New Roman" w:cs="Times New Roman"/>
          <w:sz w:val="24"/>
          <w:szCs w:val="24"/>
          <w:lang w:val="sr-Cyrl-RS"/>
        </w:rPr>
      </w:pPr>
      <w:r w:rsidRPr="0081082A">
        <w:rPr>
          <w:rFonts w:ascii="Times New Roman" w:hAnsi="Times New Roman" w:cs="Times New Roman"/>
          <w:sz w:val="24"/>
          <w:szCs w:val="24"/>
          <w:lang w:val="sr-Cyrl-RS"/>
        </w:rPr>
        <w:t xml:space="preserve">Након потпуне имплементације аутоматизованог система увоза и извоза, Управа царина планира увођење Интегрисаног система управљања тарифом, у циљу даље хармонизације тарифског система са ЕУ. </w:t>
      </w:r>
      <w:r w:rsidRPr="0081082A">
        <w:rPr>
          <w:rFonts w:ascii="Times New Roman" w:eastAsia="Calibri" w:hAnsi="Times New Roman" w:cs="Times New Roman"/>
          <w:sz w:val="24"/>
          <w:szCs w:val="24"/>
          <w:lang w:val="sr-Cyrl-RS"/>
        </w:rPr>
        <w:t xml:space="preserve">Пројекат обухвата имплементацију </w:t>
      </w:r>
      <w:r w:rsidRPr="0081082A">
        <w:rPr>
          <w:rFonts w:ascii="Times New Roman" w:eastAsia="Calibri" w:hAnsi="Times New Roman" w:cs="Times New Roman"/>
          <w:i/>
          <w:iCs/>
          <w:sz w:val="24"/>
          <w:szCs w:val="24"/>
          <w:lang w:val="sr-Cyrl-RS"/>
        </w:rPr>
        <w:t>TARIC</w:t>
      </w:r>
      <w:r w:rsidRPr="0081082A">
        <w:rPr>
          <w:rFonts w:ascii="Times New Roman" w:eastAsia="Calibri" w:hAnsi="Times New Roman" w:cs="Times New Roman"/>
          <w:sz w:val="24"/>
          <w:szCs w:val="24"/>
          <w:lang w:val="sr-Cyrl-RS"/>
        </w:rPr>
        <w:t xml:space="preserve"> система, </w:t>
      </w:r>
      <w:r w:rsidRPr="0081082A">
        <w:rPr>
          <w:rFonts w:ascii="Times New Roman" w:eastAsia="Calibri" w:hAnsi="Times New Roman" w:cs="Times New Roman"/>
          <w:i/>
          <w:iCs/>
          <w:sz w:val="24"/>
          <w:szCs w:val="24"/>
          <w:lang w:val="sr-Cyrl-RS"/>
        </w:rPr>
        <w:t>Quota</w:t>
      </w:r>
      <w:r w:rsidRPr="0081082A">
        <w:rPr>
          <w:rFonts w:ascii="Times New Roman" w:eastAsia="Calibri" w:hAnsi="Times New Roman" w:cs="Times New Roman"/>
          <w:sz w:val="24"/>
          <w:szCs w:val="24"/>
          <w:lang w:val="sr-Cyrl-RS"/>
        </w:rPr>
        <w:t xml:space="preserve"> система, система надзора, имплементација </w:t>
      </w:r>
      <w:r w:rsidRPr="0081082A">
        <w:rPr>
          <w:rFonts w:ascii="Times New Roman" w:eastAsia="Calibri" w:hAnsi="Times New Roman" w:cs="Times New Roman"/>
          <w:i/>
          <w:iCs/>
          <w:sz w:val="24"/>
          <w:szCs w:val="24"/>
          <w:lang w:val="sr-Cyrl-RS"/>
        </w:rPr>
        <w:t>BTI</w:t>
      </w:r>
      <w:r w:rsidRPr="0081082A">
        <w:rPr>
          <w:rFonts w:ascii="Times New Roman" w:eastAsia="Calibri" w:hAnsi="Times New Roman" w:cs="Times New Roman"/>
          <w:sz w:val="24"/>
          <w:szCs w:val="24"/>
          <w:lang w:val="sr-Cyrl-RS"/>
        </w:rPr>
        <w:t xml:space="preserve"> (</w:t>
      </w:r>
      <w:r w:rsidRPr="0081082A">
        <w:rPr>
          <w:rFonts w:ascii="Times New Roman" w:eastAsia="Calibri" w:hAnsi="Times New Roman" w:cs="Times New Roman"/>
          <w:i/>
          <w:iCs/>
          <w:sz w:val="24"/>
          <w:szCs w:val="24"/>
          <w:lang w:val="sr-Cyrl-RS"/>
        </w:rPr>
        <w:t>Binding Tariff Information</w:t>
      </w:r>
      <w:r w:rsidRPr="0081082A">
        <w:rPr>
          <w:rFonts w:ascii="Times New Roman" w:eastAsia="Calibri" w:hAnsi="Times New Roman" w:cs="Times New Roman"/>
          <w:sz w:val="24"/>
          <w:szCs w:val="24"/>
          <w:lang w:val="sr-Cyrl-RS"/>
        </w:rPr>
        <w:t xml:space="preserve">) и имплементација </w:t>
      </w:r>
      <w:r w:rsidRPr="0081082A">
        <w:rPr>
          <w:rFonts w:ascii="Times New Roman" w:eastAsia="Calibri" w:hAnsi="Times New Roman" w:cs="Times New Roman"/>
          <w:i/>
          <w:iCs/>
          <w:sz w:val="24"/>
          <w:szCs w:val="24"/>
          <w:lang w:val="sr-Cyrl-RS"/>
        </w:rPr>
        <w:t>BOI</w:t>
      </w:r>
      <w:r w:rsidRPr="0081082A">
        <w:rPr>
          <w:rFonts w:ascii="Times New Roman" w:eastAsia="Calibri" w:hAnsi="Times New Roman" w:cs="Times New Roman"/>
          <w:sz w:val="24"/>
          <w:szCs w:val="24"/>
          <w:lang w:val="sr-Cyrl-RS"/>
        </w:rPr>
        <w:t xml:space="preserve"> (</w:t>
      </w:r>
      <w:r w:rsidRPr="0081082A">
        <w:rPr>
          <w:rFonts w:ascii="Times New Roman" w:eastAsia="Calibri" w:hAnsi="Times New Roman" w:cs="Times New Roman"/>
          <w:i/>
          <w:iCs/>
          <w:sz w:val="24"/>
          <w:szCs w:val="24"/>
          <w:lang w:val="sr-Cyrl-RS"/>
        </w:rPr>
        <w:t>Binding Origin Information</w:t>
      </w:r>
      <w:r w:rsidRPr="0081082A">
        <w:rPr>
          <w:rFonts w:ascii="Times New Roman" w:eastAsia="Calibri" w:hAnsi="Times New Roman" w:cs="Times New Roman"/>
          <w:sz w:val="24"/>
          <w:szCs w:val="24"/>
          <w:lang w:val="sr-Cyrl-RS"/>
        </w:rPr>
        <w:t xml:space="preserve">). </w:t>
      </w:r>
    </w:p>
    <w:p w:rsidR="00661D0D" w:rsidRPr="0081082A" w:rsidRDefault="00B36BD5" w:rsidP="00661D0D">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Такође, један од битних сегмената Управе царина је адекватно прикупљање подат</w:t>
      </w:r>
      <w:r w:rsidR="001538B1"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ка, обрада и пружање потпуног и тачног извештавања другим владиним институцијам</w:t>
      </w:r>
      <w:r w:rsidR="001538B1"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 другим царинским администрацијама итд. Јачањем анализе података и извештавања доносиће се правовремене пословне одлуке засноване на чињеницама, а такође побољшаће се транспарентност, оперативно деловање на анализу ризика и контролу накнадног одобрења, као и предвиђање и анализ</w:t>
      </w:r>
      <w:r w:rsidR="001538B1"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 xml:space="preserve"> образаца кој</w:t>
      </w:r>
      <w:r w:rsidR="001538B1" w:rsidRPr="0081082A">
        <w:rPr>
          <w:rFonts w:ascii="Times New Roman" w:hAnsi="Times New Roman" w:cs="Times New Roman"/>
          <w:sz w:val="24"/>
          <w:szCs w:val="24"/>
          <w:lang w:val="sr-Cyrl-RS"/>
        </w:rPr>
        <w:t>и</w:t>
      </w:r>
      <w:r w:rsidRPr="0081082A">
        <w:rPr>
          <w:rFonts w:ascii="Times New Roman" w:hAnsi="Times New Roman" w:cs="Times New Roman"/>
          <w:sz w:val="24"/>
          <w:szCs w:val="24"/>
          <w:lang w:val="sr-Cyrl-RS"/>
        </w:rPr>
        <w:t xml:space="preserve"> ће се субвенционисати у борби против превара. Управа царина ће спровести набавку складишта за чување царинских података  (</w:t>
      </w:r>
      <w:r w:rsidRPr="0081082A">
        <w:rPr>
          <w:rFonts w:ascii="Times New Roman" w:hAnsi="Times New Roman" w:cs="Times New Roman"/>
          <w:i/>
          <w:iCs/>
          <w:sz w:val="24"/>
          <w:szCs w:val="24"/>
          <w:lang w:val="sr-Cyrl-RS"/>
        </w:rPr>
        <w:t>Data Ware house</w:t>
      </w:r>
      <w:r w:rsidRPr="0081082A">
        <w:rPr>
          <w:rFonts w:ascii="Times New Roman" w:hAnsi="Times New Roman" w:cs="Times New Roman"/>
          <w:sz w:val="24"/>
          <w:szCs w:val="24"/>
          <w:lang w:val="sr-Cyrl-RS"/>
        </w:rPr>
        <w:t>). Пројекат обухвата израду софтвера, набавку хардвера, лиценце за софтверска решења, тренинге и обуке.</w:t>
      </w:r>
    </w:p>
    <w:p w:rsidR="00721398" w:rsidRPr="0081082A" w:rsidRDefault="00721398" w:rsidP="0086546D">
      <w:pPr>
        <w:spacing w:after="0" w:line="240" w:lineRule="auto"/>
        <w:jc w:val="both"/>
        <w:rPr>
          <w:rFonts w:ascii="Times New Roman" w:hAnsi="Times New Roman" w:cs="Times New Roman"/>
          <w:b/>
          <w:sz w:val="24"/>
          <w:szCs w:val="24"/>
          <w:u w:val="single"/>
          <w:lang w:val="sr-Cyrl-RS"/>
        </w:rPr>
      </w:pPr>
      <w:r w:rsidRPr="0081082A">
        <w:rPr>
          <w:rFonts w:ascii="Times New Roman" w:hAnsi="Times New Roman" w:cs="Times New Roman"/>
          <w:b/>
          <w:sz w:val="24"/>
          <w:szCs w:val="24"/>
          <w:u w:val="single"/>
          <w:lang w:val="sr-Cyrl-RS"/>
        </w:rPr>
        <w:t>Мера</w:t>
      </w:r>
      <w:r w:rsidR="00834C69" w:rsidRPr="0081082A">
        <w:rPr>
          <w:rFonts w:ascii="Times New Roman" w:hAnsi="Times New Roman" w:cs="Times New Roman"/>
          <w:b/>
          <w:sz w:val="24"/>
          <w:szCs w:val="24"/>
          <w:u w:val="single"/>
          <w:lang w:val="sr-Cyrl-RS"/>
        </w:rPr>
        <w:t xml:space="preserve"> 2.4</w:t>
      </w:r>
      <w:r w:rsidR="002D3E55" w:rsidRPr="0081082A">
        <w:rPr>
          <w:rFonts w:ascii="Times New Roman" w:hAnsi="Times New Roman" w:cs="Times New Roman"/>
          <w:b/>
          <w:sz w:val="24"/>
          <w:szCs w:val="24"/>
          <w:u w:val="single"/>
          <w:lang w:val="sr-Cyrl-RS"/>
        </w:rPr>
        <w:t xml:space="preserve"> </w:t>
      </w:r>
      <w:r w:rsidRPr="0081082A">
        <w:rPr>
          <w:rFonts w:ascii="Times New Roman" w:hAnsi="Times New Roman" w:cs="Times New Roman"/>
          <w:b/>
          <w:sz w:val="24"/>
          <w:szCs w:val="24"/>
          <w:u w:val="single"/>
          <w:lang w:val="sr-Cyrl-RS"/>
        </w:rPr>
        <w:t>-</w:t>
      </w:r>
      <w:r w:rsidR="002D3E55" w:rsidRPr="0081082A">
        <w:rPr>
          <w:rFonts w:ascii="Times New Roman" w:hAnsi="Times New Roman" w:cs="Times New Roman"/>
          <w:b/>
          <w:sz w:val="24"/>
          <w:szCs w:val="24"/>
          <w:u w:val="single"/>
          <w:lang w:val="sr-Cyrl-RS"/>
        </w:rPr>
        <w:t xml:space="preserve"> </w:t>
      </w:r>
      <w:r w:rsidRPr="0081082A">
        <w:rPr>
          <w:rFonts w:ascii="Times New Roman" w:hAnsi="Times New Roman" w:cs="Times New Roman"/>
          <w:b/>
          <w:sz w:val="24"/>
          <w:szCs w:val="24"/>
          <w:u w:val="single"/>
          <w:lang w:val="sr-Cyrl-RS"/>
        </w:rPr>
        <w:t xml:space="preserve">Ефикасно управљање јавним дугом </w:t>
      </w:r>
    </w:p>
    <w:p w:rsidR="006C6FAD" w:rsidRPr="0081082A" w:rsidRDefault="00721398" w:rsidP="0086546D">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 xml:space="preserve">Реформске мере које ће у наредном периоду спровести Управа за јавни дуг су примарно оријентисане на унапређење ИТ система, јачање стратешког </w:t>
      </w:r>
      <w:r w:rsidR="006C6FAD" w:rsidRPr="0081082A">
        <w:rPr>
          <w:rFonts w:ascii="Times New Roman" w:hAnsi="Times New Roman" w:cs="Times New Roman"/>
          <w:bCs/>
          <w:sz w:val="24"/>
          <w:szCs w:val="24"/>
          <w:lang w:val="sr-Cyrl-RS"/>
        </w:rPr>
        <w:t>управљања</w:t>
      </w:r>
      <w:r w:rsidRPr="0081082A">
        <w:rPr>
          <w:rFonts w:ascii="Times New Roman" w:hAnsi="Times New Roman" w:cs="Times New Roman"/>
          <w:bCs/>
          <w:sz w:val="24"/>
          <w:szCs w:val="24"/>
          <w:lang w:val="sr-Cyrl-RS"/>
        </w:rPr>
        <w:t xml:space="preserve"> и јачање </w:t>
      </w:r>
      <w:r w:rsidR="00084955" w:rsidRPr="0081082A">
        <w:rPr>
          <w:rFonts w:ascii="Times New Roman" w:hAnsi="Times New Roman" w:cs="Times New Roman"/>
          <w:bCs/>
          <w:sz w:val="24"/>
          <w:szCs w:val="24"/>
          <w:lang w:val="sr-Cyrl-RS"/>
        </w:rPr>
        <w:t xml:space="preserve">административних </w:t>
      </w:r>
      <w:r w:rsidRPr="0081082A">
        <w:rPr>
          <w:rFonts w:ascii="Times New Roman" w:hAnsi="Times New Roman" w:cs="Times New Roman"/>
          <w:bCs/>
          <w:sz w:val="24"/>
          <w:szCs w:val="24"/>
          <w:lang w:val="sr-Cyrl-RS"/>
        </w:rPr>
        <w:t xml:space="preserve">капацитета саме Управе. У циљу даљег јачања капацитета Управе за јавни дуг планирано је унапређење знања из области анализе ризика </w:t>
      </w:r>
      <w:r w:rsidR="003B749A" w:rsidRPr="0081082A">
        <w:rPr>
          <w:rFonts w:ascii="Times New Roman" w:hAnsi="Times New Roman" w:cs="Times New Roman"/>
          <w:bCs/>
          <w:sz w:val="24"/>
          <w:szCs w:val="24"/>
          <w:lang w:val="sr-Cyrl-RS"/>
        </w:rPr>
        <w:t xml:space="preserve">и </w:t>
      </w:r>
      <w:r w:rsidRPr="0081082A">
        <w:rPr>
          <w:rFonts w:ascii="Times New Roman" w:hAnsi="Times New Roman" w:cs="Times New Roman"/>
          <w:bCs/>
          <w:sz w:val="24"/>
          <w:szCs w:val="24"/>
          <w:lang w:val="sr-Cyrl-RS"/>
        </w:rPr>
        <w:t xml:space="preserve">трошкова. С тим у вези, </w:t>
      </w:r>
      <w:r w:rsidR="006C6FAD" w:rsidRPr="0081082A">
        <w:rPr>
          <w:rFonts w:ascii="Times New Roman" w:hAnsi="Times New Roman" w:cs="Times New Roman"/>
          <w:bCs/>
          <w:sz w:val="24"/>
          <w:szCs w:val="24"/>
          <w:lang w:val="sr-Cyrl-RS"/>
        </w:rPr>
        <w:t xml:space="preserve">приступиће се изради софтверског решења новог модела за управљање ризицима, чија ће </w:t>
      </w:r>
      <w:r w:rsidR="00D43ACD" w:rsidRPr="0081082A">
        <w:rPr>
          <w:rFonts w:ascii="Times New Roman" w:hAnsi="Times New Roman" w:cs="Times New Roman"/>
          <w:bCs/>
          <w:sz w:val="24"/>
          <w:szCs w:val="24"/>
          <w:lang w:val="sr-Cyrl-RS"/>
        </w:rPr>
        <w:t>примена</w:t>
      </w:r>
      <w:r w:rsidR="006C6FAD" w:rsidRPr="0081082A">
        <w:rPr>
          <w:rFonts w:ascii="Times New Roman" w:hAnsi="Times New Roman" w:cs="Times New Roman"/>
          <w:bCs/>
          <w:sz w:val="24"/>
          <w:szCs w:val="24"/>
          <w:lang w:val="sr-Cyrl-RS"/>
        </w:rPr>
        <w:t xml:space="preserve"> значајно допринети капацитетима Управе за јавни дуг у процесима анализе односа ризика и трошкова задуживања, те значајно допринети у развоју стратегије задуживања </w:t>
      </w:r>
      <w:r w:rsidR="00534963" w:rsidRPr="0081082A">
        <w:rPr>
          <w:rFonts w:ascii="Times New Roman" w:hAnsi="Times New Roman" w:cs="Times New Roman"/>
          <w:bCs/>
          <w:sz w:val="24"/>
          <w:szCs w:val="24"/>
          <w:lang w:val="sr-Cyrl-RS"/>
        </w:rPr>
        <w:t>Републике Србије</w:t>
      </w:r>
      <w:r w:rsidR="00D43ACD" w:rsidRPr="0081082A">
        <w:rPr>
          <w:rFonts w:ascii="Times New Roman" w:hAnsi="Times New Roman" w:cs="Times New Roman"/>
          <w:bCs/>
          <w:sz w:val="24"/>
          <w:szCs w:val="24"/>
          <w:lang w:val="sr-Cyrl-RS"/>
        </w:rPr>
        <w:t xml:space="preserve"> </w:t>
      </w:r>
      <w:r w:rsidR="006C6FAD" w:rsidRPr="0081082A">
        <w:rPr>
          <w:rFonts w:ascii="Times New Roman" w:hAnsi="Times New Roman" w:cs="Times New Roman"/>
          <w:bCs/>
          <w:sz w:val="24"/>
          <w:szCs w:val="24"/>
          <w:lang w:val="sr-Cyrl-RS"/>
        </w:rPr>
        <w:t xml:space="preserve">на средњи и дужи рок. </w:t>
      </w:r>
    </w:p>
    <w:p w:rsidR="00721398" w:rsidRPr="0081082A" w:rsidRDefault="006C6FAD" w:rsidP="0086546D">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sz w:val="24"/>
          <w:szCs w:val="24"/>
          <w:lang w:val="sr-Cyrl-RS"/>
        </w:rPr>
        <w:t>Истовремено са развојем новог модела,</w:t>
      </w:r>
      <w:r w:rsidR="00721398" w:rsidRPr="0081082A">
        <w:rPr>
          <w:rFonts w:ascii="Times New Roman" w:hAnsi="Times New Roman" w:cs="Times New Roman"/>
          <w:sz w:val="24"/>
          <w:szCs w:val="24"/>
          <w:lang w:val="sr-Cyrl-RS"/>
        </w:rPr>
        <w:t xml:space="preserve"> </w:t>
      </w:r>
      <w:r w:rsidR="00721398" w:rsidRPr="0081082A">
        <w:rPr>
          <w:rFonts w:ascii="Times New Roman" w:hAnsi="Times New Roman" w:cs="Times New Roman"/>
          <w:bCs/>
          <w:sz w:val="24"/>
          <w:szCs w:val="24"/>
          <w:lang w:val="sr-Cyrl-RS"/>
        </w:rPr>
        <w:t xml:space="preserve">запослени ће похађати одговарајућу обуку која укључује и коришћење </w:t>
      </w:r>
      <w:r w:rsidRPr="0081082A">
        <w:rPr>
          <w:rFonts w:ascii="Times New Roman" w:hAnsi="Times New Roman" w:cs="Times New Roman"/>
          <w:sz w:val="24"/>
          <w:szCs w:val="24"/>
          <w:lang w:val="sr-Cyrl-RS"/>
        </w:rPr>
        <w:t>свих функционалности новог модела</w:t>
      </w:r>
      <w:r w:rsidR="00721398" w:rsidRPr="0081082A">
        <w:rPr>
          <w:rFonts w:ascii="Times New Roman" w:hAnsi="Times New Roman" w:cs="Times New Roman"/>
          <w:sz w:val="24"/>
          <w:szCs w:val="24"/>
          <w:lang w:val="sr-Cyrl-RS"/>
        </w:rPr>
        <w:t>.</w:t>
      </w:r>
      <w:r w:rsidR="00721398" w:rsidRPr="0081082A">
        <w:rPr>
          <w:rFonts w:ascii="Times New Roman" w:hAnsi="Times New Roman" w:cs="Times New Roman"/>
          <w:bCs/>
          <w:sz w:val="24"/>
          <w:szCs w:val="24"/>
          <w:lang w:val="sr-Cyrl-RS"/>
        </w:rPr>
        <w:t xml:space="preserve"> Такође</w:t>
      </w:r>
      <w:r w:rsidR="00E51588" w:rsidRPr="0081082A">
        <w:rPr>
          <w:rFonts w:ascii="Times New Roman" w:hAnsi="Times New Roman" w:cs="Times New Roman"/>
          <w:bCs/>
          <w:sz w:val="24"/>
          <w:szCs w:val="24"/>
          <w:lang w:val="sr-Cyrl-RS"/>
        </w:rPr>
        <w:t>,</w:t>
      </w:r>
      <w:r w:rsidR="00721398" w:rsidRPr="0081082A">
        <w:rPr>
          <w:rFonts w:ascii="Times New Roman" w:hAnsi="Times New Roman" w:cs="Times New Roman"/>
          <w:bCs/>
          <w:sz w:val="24"/>
          <w:szCs w:val="24"/>
          <w:lang w:val="sr-Cyrl-RS"/>
        </w:rPr>
        <w:t xml:space="preserve"> до краја 202</w:t>
      </w:r>
      <w:r w:rsidR="00C66D0F" w:rsidRPr="0081082A">
        <w:rPr>
          <w:rFonts w:ascii="Times New Roman" w:hAnsi="Times New Roman" w:cs="Times New Roman"/>
          <w:bCs/>
          <w:sz w:val="24"/>
          <w:szCs w:val="24"/>
          <w:lang w:val="sr-Cyrl-RS"/>
        </w:rPr>
        <w:t>5</w:t>
      </w:r>
      <w:r w:rsidR="00721398" w:rsidRPr="0081082A">
        <w:rPr>
          <w:rFonts w:ascii="Times New Roman" w:hAnsi="Times New Roman" w:cs="Times New Roman"/>
          <w:bCs/>
          <w:sz w:val="24"/>
          <w:szCs w:val="24"/>
          <w:lang w:val="sr-Cyrl-RS"/>
        </w:rPr>
        <w:t xml:space="preserve">. године,  постојећи ИТ систем </w:t>
      </w:r>
      <w:r w:rsidR="00721398" w:rsidRPr="0081082A">
        <w:rPr>
          <w:rFonts w:ascii="Times New Roman" w:hAnsi="Times New Roman"/>
          <w:sz w:val="24"/>
          <w:szCs w:val="24"/>
          <w:lang w:val="sr-Cyrl-RS"/>
        </w:rPr>
        <w:t>(</w:t>
      </w:r>
      <w:r w:rsidR="00721398" w:rsidRPr="0081082A">
        <w:rPr>
          <w:rFonts w:ascii="Times New Roman" w:hAnsi="Times New Roman"/>
          <w:i/>
          <w:iCs/>
          <w:sz w:val="24"/>
          <w:lang w:val="sr-Cyrl-RS"/>
        </w:rPr>
        <w:t>PDMS</w:t>
      </w:r>
      <w:r w:rsidR="00721398" w:rsidRPr="0081082A">
        <w:rPr>
          <w:rFonts w:ascii="Times New Roman" w:hAnsi="Times New Roman"/>
          <w:sz w:val="24"/>
          <w:lang w:val="sr-Cyrl-RS"/>
        </w:rPr>
        <w:t>)</w:t>
      </w:r>
      <w:r w:rsidR="00721398" w:rsidRPr="0081082A">
        <w:rPr>
          <w:rFonts w:ascii="Times New Roman" w:hAnsi="Times New Roman"/>
          <w:sz w:val="24"/>
          <w:szCs w:val="24"/>
          <w:lang w:val="sr-Cyrl-RS"/>
        </w:rPr>
        <w:t xml:space="preserve"> биће надограђен употребом алата пословне интелигенције, што ће омогућити напредак у извештавању и омогућити лакше одржавање система управљања јавним дугом.</w:t>
      </w:r>
    </w:p>
    <w:p w:rsidR="006C6FAD" w:rsidRPr="0081082A" w:rsidRDefault="00721398" w:rsidP="0086546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bCs/>
          <w:sz w:val="24"/>
          <w:szCs w:val="24"/>
          <w:lang w:val="sr-Cyrl-RS"/>
        </w:rPr>
        <w:t>Управ</w:t>
      </w:r>
      <w:r w:rsidR="00AB36A7" w:rsidRPr="0081082A">
        <w:rPr>
          <w:rFonts w:ascii="Times New Roman" w:hAnsi="Times New Roman" w:cs="Times New Roman"/>
          <w:bCs/>
          <w:sz w:val="24"/>
          <w:szCs w:val="24"/>
          <w:lang w:val="sr-Cyrl-RS"/>
        </w:rPr>
        <w:t>а</w:t>
      </w:r>
      <w:r w:rsidRPr="0081082A">
        <w:rPr>
          <w:rFonts w:ascii="Times New Roman" w:hAnsi="Times New Roman" w:cs="Times New Roman"/>
          <w:bCs/>
          <w:sz w:val="24"/>
          <w:szCs w:val="24"/>
          <w:lang w:val="sr-Cyrl-RS"/>
        </w:rPr>
        <w:t xml:space="preserve"> за јавни дуг </w:t>
      </w:r>
      <w:r w:rsidR="00AB36A7" w:rsidRPr="0081082A">
        <w:rPr>
          <w:rFonts w:ascii="Times New Roman" w:hAnsi="Times New Roman" w:cs="Times New Roman"/>
          <w:bCs/>
          <w:sz w:val="24"/>
          <w:szCs w:val="24"/>
          <w:lang w:val="sr-Cyrl-RS"/>
        </w:rPr>
        <w:t xml:space="preserve">ће размотрити </w:t>
      </w:r>
      <w:r w:rsidRPr="0081082A">
        <w:rPr>
          <w:rFonts w:ascii="Times New Roman" w:hAnsi="Times New Roman" w:cs="Times New Roman"/>
          <w:bCs/>
          <w:sz w:val="24"/>
          <w:szCs w:val="24"/>
          <w:lang w:val="sr-Cyrl-RS"/>
        </w:rPr>
        <w:t xml:space="preserve"> увођење система примарних дилера и даљи развој домаћег тржишта </w:t>
      </w:r>
      <w:r w:rsidR="006C6FAD" w:rsidRPr="0081082A">
        <w:rPr>
          <w:rFonts w:ascii="Times New Roman" w:hAnsi="Times New Roman" w:cs="Times New Roman"/>
          <w:sz w:val="24"/>
          <w:szCs w:val="24"/>
          <w:lang w:val="sr-Cyrl-RS"/>
        </w:rPr>
        <w:t>дужничких хартија од вредности. У оквиру ове активности планиране су активности на изради подзаконск</w:t>
      </w:r>
      <w:r w:rsidR="00317212" w:rsidRPr="0081082A">
        <w:rPr>
          <w:rFonts w:ascii="Times New Roman" w:hAnsi="Times New Roman" w:cs="Times New Roman"/>
          <w:sz w:val="24"/>
          <w:szCs w:val="24"/>
          <w:lang w:val="sr-Cyrl-RS"/>
        </w:rPr>
        <w:t xml:space="preserve">их прописа </w:t>
      </w:r>
      <w:r w:rsidR="006C6FAD" w:rsidRPr="0081082A">
        <w:rPr>
          <w:rFonts w:ascii="Times New Roman" w:hAnsi="Times New Roman" w:cs="Times New Roman"/>
          <w:sz w:val="24"/>
          <w:szCs w:val="24"/>
          <w:lang w:val="sr-Cyrl-RS"/>
        </w:rPr>
        <w:t>кој</w:t>
      </w:r>
      <w:r w:rsidR="00317212" w:rsidRPr="0081082A">
        <w:rPr>
          <w:rFonts w:ascii="Times New Roman" w:hAnsi="Times New Roman" w:cs="Times New Roman"/>
          <w:sz w:val="24"/>
          <w:szCs w:val="24"/>
          <w:lang w:val="sr-Cyrl-RS"/>
        </w:rPr>
        <w:t>и</w:t>
      </w:r>
      <w:r w:rsidR="006C6FAD" w:rsidRPr="0081082A">
        <w:rPr>
          <w:rFonts w:ascii="Times New Roman" w:hAnsi="Times New Roman" w:cs="Times New Roman"/>
          <w:sz w:val="24"/>
          <w:szCs w:val="24"/>
          <w:lang w:val="sr-Cyrl-RS"/>
        </w:rPr>
        <w:t xml:space="preserve">м </w:t>
      </w:r>
      <w:r w:rsidR="00317212" w:rsidRPr="0081082A">
        <w:rPr>
          <w:rFonts w:ascii="Times New Roman" w:hAnsi="Times New Roman" w:cs="Times New Roman"/>
          <w:sz w:val="24"/>
          <w:szCs w:val="24"/>
          <w:lang w:val="sr-Cyrl-RS"/>
        </w:rPr>
        <w:t>ће се</w:t>
      </w:r>
      <w:r w:rsidR="006C6FAD" w:rsidRPr="0081082A">
        <w:rPr>
          <w:rFonts w:ascii="Times New Roman" w:hAnsi="Times New Roman" w:cs="Times New Roman"/>
          <w:sz w:val="24"/>
          <w:szCs w:val="24"/>
          <w:lang w:val="sr-Cyrl-RS"/>
        </w:rPr>
        <w:t xml:space="preserve"> дефиниса</w:t>
      </w:r>
      <w:r w:rsidR="00317212" w:rsidRPr="0081082A">
        <w:rPr>
          <w:rFonts w:ascii="Times New Roman" w:hAnsi="Times New Roman" w:cs="Times New Roman"/>
          <w:sz w:val="24"/>
          <w:szCs w:val="24"/>
          <w:lang w:val="sr-Cyrl-RS"/>
        </w:rPr>
        <w:t>т</w:t>
      </w:r>
      <w:r w:rsidR="006C6FAD" w:rsidRPr="0081082A">
        <w:rPr>
          <w:rFonts w:ascii="Times New Roman" w:hAnsi="Times New Roman" w:cs="Times New Roman"/>
          <w:sz w:val="24"/>
          <w:szCs w:val="24"/>
          <w:lang w:val="sr-Cyrl-RS"/>
        </w:rPr>
        <w:t xml:space="preserve">и услови и процедура за стицање својства и начина обављања делатности примарног </w:t>
      </w:r>
      <w:r w:rsidR="006C6FAD" w:rsidRPr="0081082A">
        <w:rPr>
          <w:rFonts w:ascii="Times New Roman" w:hAnsi="Times New Roman" w:cs="Times New Roman"/>
          <w:sz w:val="24"/>
          <w:szCs w:val="24"/>
          <w:lang w:val="sr-Cyrl-RS"/>
        </w:rPr>
        <w:lastRenderedPageBreak/>
        <w:t>дилера, као и сет образаца са процедурама рада и формама уговора са правима и обавезама примарних дилера.</w:t>
      </w:r>
    </w:p>
    <w:p w:rsidR="00721398" w:rsidRPr="0081082A" w:rsidRDefault="00721398" w:rsidP="0086546D">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Увођење система примарних дилера представља један од корака ка даљем развоју тржишта хартија од вредности на локалном нивоу</w:t>
      </w:r>
      <w:r w:rsidR="006C6FAD" w:rsidRPr="0081082A">
        <w:rPr>
          <w:rFonts w:ascii="Times New Roman" w:hAnsi="Times New Roman" w:cs="Times New Roman"/>
          <w:bCs/>
          <w:sz w:val="24"/>
          <w:szCs w:val="24"/>
          <w:lang w:val="sr-Cyrl-RS"/>
        </w:rPr>
        <w:t xml:space="preserve">. </w:t>
      </w:r>
      <w:r w:rsidR="003F361A" w:rsidRPr="0081082A">
        <w:rPr>
          <w:rFonts w:ascii="Times New Roman" w:hAnsi="Times New Roman" w:cs="Times New Roman"/>
          <w:bCs/>
          <w:sz w:val="24"/>
          <w:szCs w:val="24"/>
          <w:lang w:val="sr-Cyrl-RS"/>
        </w:rPr>
        <w:t xml:space="preserve">Очекује се да ће се тако </w:t>
      </w:r>
      <w:r w:rsidR="006C6FAD" w:rsidRPr="0081082A">
        <w:rPr>
          <w:rFonts w:ascii="Times New Roman" w:hAnsi="Times New Roman" w:cs="Times New Roman"/>
          <w:bCs/>
          <w:sz w:val="24"/>
          <w:szCs w:val="24"/>
          <w:lang w:val="sr-Cyrl-RS"/>
        </w:rPr>
        <w:t>створити услови за генерисање већег обима тражње за државни</w:t>
      </w:r>
      <w:r w:rsidR="00445EFC" w:rsidRPr="0081082A">
        <w:rPr>
          <w:rFonts w:ascii="Times New Roman" w:hAnsi="Times New Roman" w:cs="Times New Roman"/>
          <w:bCs/>
          <w:sz w:val="24"/>
          <w:szCs w:val="24"/>
          <w:lang w:val="sr-Cyrl-RS"/>
        </w:rPr>
        <w:t>м</w:t>
      </w:r>
      <w:r w:rsidR="006C6FAD" w:rsidRPr="0081082A">
        <w:rPr>
          <w:rFonts w:ascii="Times New Roman" w:hAnsi="Times New Roman" w:cs="Times New Roman"/>
          <w:bCs/>
          <w:sz w:val="24"/>
          <w:szCs w:val="24"/>
          <w:lang w:val="sr-Cyrl-RS"/>
        </w:rPr>
        <w:t xml:space="preserve"> хартијама од вредности, односно повећање степена ликвидности државних обвезница на локалном примарном тржишту, са одређеним </w:t>
      </w:r>
      <w:r w:rsidR="006C6FAD" w:rsidRPr="0081082A">
        <w:rPr>
          <w:rFonts w:ascii="Times New Roman" w:hAnsi="Times New Roman" w:cs="Times New Roman"/>
          <w:sz w:val="24"/>
          <w:szCs w:val="24"/>
          <w:lang w:val="sr-Cyrl-RS"/>
        </w:rPr>
        <w:t>ефектима</w:t>
      </w:r>
      <w:r w:rsidR="006C6FAD" w:rsidRPr="0081082A">
        <w:rPr>
          <w:rFonts w:ascii="Times New Roman" w:hAnsi="Times New Roman" w:cs="Times New Roman"/>
          <w:bCs/>
          <w:sz w:val="24"/>
          <w:szCs w:val="24"/>
          <w:lang w:val="sr-Cyrl-RS"/>
        </w:rPr>
        <w:t xml:space="preserve"> који се очекују у односу на секундарно трговање.</w:t>
      </w:r>
      <w:r w:rsidRPr="0081082A">
        <w:rPr>
          <w:rFonts w:ascii="Times New Roman" w:hAnsi="Times New Roman" w:cs="Times New Roman"/>
          <w:bCs/>
          <w:sz w:val="24"/>
          <w:szCs w:val="24"/>
          <w:lang w:val="sr-Cyrl-RS"/>
        </w:rPr>
        <w:t xml:space="preserve"> </w:t>
      </w:r>
      <w:r w:rsidR="006C6FAD" w:rsidRPr="0081082A">
        <w:rPr>
          <w:rFonts w:ascii="Times New Roman" w:hAnsi="Times New Roman" w:cs="Times New Roman"/>
          <w:bCs/>
          <w:sz w:val="24"/>
          <w:szCs w:val="24"/>
          <w:lang w:val="sr-Cyrl-RS"/>
        </w:rPr>
        <w:t>К</w:t>
      </w:r>
      <w:r w:rsidRPr="0081082A">
        <w:rPr>
          <w:rFonts w:ascii="Times New Roman" w:hAnsi="Times New Roman" w:cs="Times New Roman"/>
          <w:bCs/>
          <w:sz w:val="24"/>
          <w:szCs w:val="24"/>
          <w:lang w:val="sr-Cyrl-RS"/>
        </w:rPr>
        <w:t>ао један од предуслова за увођење овог система јесте развој локалног тржишта и стварање „референтних</w:t>
      </w:r>
      <w:r w:rsidR="007E728E"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емисија динарских обвезница, на чему Управа за јавни дуг интензивно ради у сарадњи са ММФ-ом. Препоруке ММФ</w:t>
      </w:r>
      <w:r w:rsidR="00445EFC"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а предвиђају фазни приступ у увођењу примарних дилера на аукцијам</w:t>
      </w:r>
      <w:r w:rsidR="00487A7E" w:rsidRPr="0081082A">
        <w:rPr>
          <w:rFonts w:ascii="Times New Roman" w:hAnsi="Times New Roman" w:cs="Times New Roman"/>
          <w:bCs/>
          <w:sz w:val="24"/>
          <w:szCs w:val="24"/>
          <w:lang w:val="sr-Cyrl-RS"/>
        </w:rPr>
        <w:t>а динарских државних обвезница.</w:t>
      </w:r>
      <w:r w:rsidR="00C66D0F" w:rsidRPr="0081082A">
        <w:rPr>
          <w:rFonts w:ascii="Times New Roman" w:hAnsi="Times New Roman" w:cs="Times New Roman"/>
          <w:bCs/>
          <w:sz w:val="24"/>
          <w:szCs w:val="24"/>
          <w:lang w:val="sr-Cyrl-RS"/>
        </w:rPr>
        <w:t xml:space="preserve"> Како би се сагледали ефекти увођења система примарних дилера, пре доношења коначне одлуке, биће спроведен пилот пројекат.</w:t>
      </w:r>
    </w:p>
    <w:p w:rsidR="00721398" w:rsidRPr="0081082A" w:rsidRDefault="00721398" w:rsidP="0086546D">
      <w:pPr>
        <w:spacing w:after="0" w:line="240" w:lineRule="auto"/>
        <w:jc w:val="both"/>
        <w:rPr>
          <w:rFonts w:ascii="Times New Roman" w:hAnsi="Times New Roman" w:cs="Times New Roman"/>
          <w:b/>
          <w:sz w:val="24"/>
          <w:szCs w:val="24"/>
          <w:u w:val="single"/>
          <w:lang w:val="sr-Cyrl-RS"/>
        </w:rPr>
      </w:pPr>
      <w:r w:rsidRPr="0081082A">
        <w:rPr>
          <w:rFonts w:ascii="Times New Roman" w:hAnsi="Times New Roman" w:cs="Times New Roman"/>
          <w:b/>
          <w:sz w:val="24"/>
          <w:szCs w:val="24"/>
          <w:u w:val="single"/>
          <w:lang w:val="sr-Cyrl-RS"/>
        </w:rPr>
        <w:t>Мера</w:t>
      </w:r>
      <w:r w:rsidR="005F2BBE" w:rsidRPr="0081082A">
        <w:rPr>
          <w:rFonts w:ascii="Times New Roman" w:hAnsi="Times New Roman" w:cs="Times New Roman"/>
          <w:b/>
          <w:sz w:val="24"/>
          <w:szCs w:val="24"/>
          <w:u w:val="single"/>
          <w:lang w:val="sr-Cyrl-RS"/>
        </w:rPr>
        <w:t xml:space="preserve"> 2.5</w:t>
      </w:r>
      <w:r w:rsidR="002D3E55" w:rsidRPr="0081082A">
        <w:rPr>
          <w:rFonts w:ascii="Times New Roman" w:hAnsi="Times New Roman" w:cs="Times New Roman"/>
          <w:b/>
          <w:sz w:val="24"/>
          <w:szCs w:val="24"/>
          <w:u w:val="single"/>
          <w:lang w:val="sr-Cyrl-RS"/>
        </w:rPr>
        <w:t xml:space="preserve"> </w:t>
      </w:r>
      <w:r w:rsidRPr="0081082A">
        <w:rPr>
          <w:rFonts w:ascii="Times New Roman" w:hAnsi="Times New Roman" w:cs="Times New Roman"/>
          <w:b/>
          <w:sz w:val="24"/>
          <w:szCs w:val="24"/>
          <w:u w:val="single"/>
          <w:lang w:val="sr-Cyrl-RS"/>
        </w:rPr>
        <w:t>- Унапређење електронског система јавних набавки</w:t>
      </w:r>
    </w:p>
    <w:p w:rsidR="0036103D" w:rsidRPr="0081082A" w:rsidRDefault="00721398" w:rsidP="00E83789">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 наредне две године Канцеларија за јавне набавке остаће посвећена унапређењу електронског система јавних набавки, првенствено </w:t>
      </w:r>
      <w:r w:rsidR="003344B5" w:rsidRPr="0081082A">
        <w:rPr>
          <w:rFonts w:ascii="Times New Roman" w:hAnsi="Times New Roman" w:cs="Times New Roman"/>
          <w:sz w:val="24"/>
          <w:szCs w:val="24"/>
          <w:lang w:val="sr-Cyrl-RS"/>
        </w:rPr>
        <w:t xml:space="preserve">кроз </w:t>
      </w:r>
      <w:r w:rsidRPr="0081082A">
        <w:rPr>
          <w:rFonts w:ascii="Times New Roman" w:hAnsi="Times New Roman" w:cs="Times New Roman"/>
          <w:sz w:val="24"/>
          <w:szCs w:val="24"/>
          <w:lang w:val="sr-Cyrl-RS"/>
        </w:rPr>
        <w:t>надоградњу новог е</w:t>
      </w:r>
      <w:r w:rsidR="00AB2781"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Портала јавних набавки, кроз израду нових модула, као и израду мобилне апликације која ће омогућити једноставнији приступ и једноставније праћење понуђачима и наручиоцима током целог процеса јавне набавке, од објављивања, па све до закључења. У складу са тим, Канцеларија ће у сарадњи са </w:t>
      </w:r>
      <w:r w:rsidR="008721AE" w:rsidRPr="0081082A">
        <w:rPr>
          <w:rFonts w:ascii="Times New Roman" w:hAnsi="Times New Roman" w:cs="Times New Roman"/>
          <w:sz w:val="24"/>
          <w:szCs w:val="24"/>
          <w:lang w:val="sr-Cyrl-RS"/>
        </w:rPr>
        <w:t>ПКС</w:t>
      </w:r>
      <w:r w:rsidRPr="0081082A">
        <w:rPr>
          <w:rFonts w:ascii="Times New Roman" w:hAnsi="Times New Roman" w:cs="Times New Roman"/>
          <w:sz w:val="24"/>
          <w:szCs w:val="24"/>
          <w:lang w:val="sr-Cyrl-RS"/>
        </w:rPr>
        <w:t xml:space="preserve"> и Развојним Програмом Уједињених </w:t>
      </w:r>
      <w:r w:rsidR="00E51588" w:rsidRPr="0081082A">
        <w:rPr>
          <w:rFonts w:ascii="Times New Roman" w:hAnsi="Times New Roman" w:cs="Times New Roman"/>
          <w:sz w:val="24"/>
          <w:szCs w:val="24"/>
          <w:lang w:val="sr-Cyrl-RS"/>
        </w:rPr>
        <w:t>н</w:t>
      </w:r>
      <w:r w:rsidRPr="0081082A">
        <w:rPr>
          <w:rFonts w:ascii="Times New Roman" w:hAnsi="Times New Roman" w:cs="Times New Roman"/>
          <w:sz w:val="24"/>
          <w:szCs w:val="24"/>
          <w:lang w:val="sr-Cyrl-RS"/>
        </w:rPr>
        <w:t>ација (</w:t>
      </w:r>
      <w:r w:rsidR="003344B5" w:rsidRPr="0081082A">
        <w:rPr>
          <w:rFonts w:ascii="Times New Roman" w:hAnsi="Times New Roman" w:cs="Times New Roman"/>
          <w:sz w:val="24"/>
          <w:szCs w:val="24"/>
          <w:lang w:val="sr-Cyrl-RS"/>
        </w:rPr>
        <w:t xml:space="preserve">у даљем тексту: </w:t>
      </w:r>
      <w:r w:rsidRPr="0081082A">
        <w:rPr>
          <w:rFonts w:ascii="Times New Roman" w:hAnsi="Times New Roman"/>
          <w:i/>
          <w:iCs/>
          <w:sz w:val="24"/>
          <w:lang w:val="sr-Cyrl-RS"/>
        </w:rPr>
        <w:t>UNDP</w:t>
      </w:r>
      <w:r w:rsidRPr="0081082A">
        <w:rPr>
          <w:rFonts w:ascii="Times New Roman" w:hAnsi="Times New Roman" w:cs="Times New Roman"/>
          <w:sz w:val="24"/>
          <w:szCs w:val="24"/>
          <w:lang w:val="sr-Cyrl-RS"/>
        </w:rPr>
        <w:t>) организовати обуке како би се наручиоци и понуђачи упознали са новим модулима електронског система који омогућавају једноставније и брже спровођење процеса јавне набавке. До краја 2024. године предвиђено је усвајање новог документа јавн</w:t>
      </w:r>
      <w:r w:rsidR="003344B5" w:rsidRPr="0081082A">
        <w:rPr>
          <w:rFonts w:ascii="Times New Roman" w:hAnsi="Times New Roman" w:cs="Times New Roman"/>
          <w:sz w:val="24"/>
          <w:szCs w:val="24"/>
          <w:lang w:val="sr-Cyrl-RS"/>
        </w:rPr>
        <w:t>е</w:t>
      </w:r>
      <w:r w:rsidRPr="0081082A">
        <w:rPr>
          <w:rFonts w:ascii="Times New Roman" w:hAnsi="Times New Roman" w:cs="Times New Roman"/>
          <w:sz w:val="24"/>
          <w:szCs w:val="24"/>
          <w:lang w:val="sr-Cyrl-RS"/>
        </w:rPr>
        <w:t xml:space="preserve"> политик</w:t>
      </w:r>
      <w:r w:rsidR="003344B5" w:rsidRPr="0081082A">
        <w:rPr>
          <w:rFonts w:ascii="Times New Roman" w:hAnsi="Times New Roman" w:cs="Times New Roman"/>
          <w:sz w:val="24"/>
          <w:szCs w:val="24"/>
          <w:lang w:val="sr-Cyrl-RS"/>
        </w:rPr>
        <w:t>е</w:t>
      </w:r>
      <w:r w:rsidRPr="0081082A">
        <w:rPr>
          <w:rFonts w:ascii="Times New Roman" w:hAnsi="Times New Roman" w:cs="Times New Roman"/>
          <w:sz w:val="24"/>
          <w:szCs w:val="24"/>
          <w:lang w:val="sr-Cyrl-RS"/>
        </w:rPr>
        <w:t xml:space="preserve"> јавних набавки, након истека трајања постојећег Програма </w:t>
      </w:r>
      <w:r w:rsidR="003344B5" w:rsidRPr="0081082A">
        <w:rPr>
          <w:rFonts w:ascii="Times New Roman" w:hAnsi="Times New Roman" w:cs="Times New Roman"/>
          <w:sz w:val="24"/>
          <w:szCs w:val="24"/>
          <w:lang w:val="sr-Cyrl-RS"/>
        </w:rPr>
        <w:t xml:space="preserve">који важи </w:t>
      </w:r>
      <w:r w:rsidRPr="0081082A">
        <w:rPr>
          <w:rFonts w:ascii="Times New Roman" w:hAnsi="Times New Roman" w:cs="Times New Roman"/>
          <w:sz w:val="24"/>
          <w:szCs w:val="24"/>
          <w:lang w:val="sr-Cyrl-RS"/>
        </w:rPr>
        <w:t>за период од 2019-2023. године. Нови документ биће израђен у складу са Законом о планском систему</w:t>
      </w:r>
      <w:r w:rsidR="002A61BC" w:rsidRPr="0081082A">
        <w:rPr>
          <w:rFonts w:ascii="Times New Roman" w:hAnsi="Times New Roman" w:cs="Times New Roman"/>
          <w:sz w:val="24"/>
          <w:szCs w:val="24"/>
          <w:lang w:val="sr-Cyrl-RS"/>
        </w:rPr>
        <w:t xml:space="preserve"> Републике Србије</w:t>
      </w:r>
      <w:r w:rsidRPr="0081082A">
        <w:rPr>
          <w:rFonts w:ascii="Times New Roman" w:hAnsi="Times New Roman" w:cs="Times New Roman"/>
          <w:sz w:val="24"/>
          <w:szCs w:val="24"/>
          <w:lang w:val="sr-Cyrl-RS"/>
        </w:rPr>
        <w:t xml:space="preserve">, </w:t>
      </w:r>
      <w:r w:rsidR="00CA288D" w:rsidRPr="0081082A">
        <w:rPr>
          <w:rFonts w:ascii="Times New Roman" w:hAnsi="Times New Roman" w:cs="Times New Roman"/>
          <w:sz w:val="24"/>
          <w:szCs w:val="24"/>
          <w:lang w:val="sr-Cyrl-RS"/>
        </w:rPr>
        <w:t>а циљ је</w:t>
      </w:r>
      <w:r w:rsidRPr="0081082A">
        <w:rPr>
          <w:rFonts w:ascii="Times New Roman" w:hAnsi="Times New Roman" w:cs="Times New Roman"/>
          <w:sz w:val="24"/>
          <w:szCs w:val="24"/>
          <w:lang w:val="sr-Cyrl-RS"/>
        </w:rPr>
        <w:t xml:space="preserve"> да </w:t>
      </w:r>
      <w:r w:rsidR="00CA288D" w:rsidRPr="0081082A">
        <w:rPr>
          <w:rFonts w:ascii="Times New Roman" w:hAnsi="Times New Roman" w:cs="Times New Roman"/>
          <w:sz w:val="24"/>
          <w:szCs w:val="24"/>
          <w:lang w:val="sr-Cyrl-RS"/>
        </w:rPr>
        <w:t>међусобна</w:t>
      </w:r>
      <w:r w:rsidRPr="0081082A">
        <w:rPr>
          <w:rFonts w:ascii="Times New Roman" w:hAnsi="Times New Roman" w:cs="Times New Roman"/>
          <w:sz w:val="24"/>
          <w:szCs w:val="24"/>
          <w:lang w:val="sr-Cyrl-RS"/>
        </w:rPr>
        <w:t xml:space="preserve"> повезаност новог документа и </w:t>
      </w:r>
      <w:r w:rsidR="00CA288D" w:rsidRPr="0081082A">
        <w:rPr>
          <w:rFonts w:ascii="Times New Roman" w:hAnsi="Times New Roman" w:cs="Times New Roman"/>
          <w:sz w:val="24"/>
          <w:szCs w:val="24"/>
          <w:lang w:val="sr-Cyrl-RS"/>
        </w:rPr>
        <w:t>ПРУЈФ 2021-2025</w:t>
      </w:r>
      <w:r w:rsidR="00A04032"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кровног документа </w:t>
      </w:r>
      <w:r w:rsidR="00CA288D" w:rsidRPr="0081082A">
        <w:rPr>
          <w:rFonts w:ascii="Times New Roman" w:hAnsi="Times New Roman" w:cs="Times New Roman"/>
          <w:sz w:val="24"/>
          <w:szCs w:val="24"/>
          <w:lang w:val="sr-Cyrl-RS"/>
        </w:rPr>
        <w:t xml:space="preserve">у области УЈФ </w:t>
      </w:r>
      <w:r w:rsidRPr="0081082A">
        <w:rPr>
          <w:rFonts w:ascii="Times New Roman" w:hAnsi="Times New Roman" w:cs="Times New Roman"/>
          <w:sz w:val="24"/>
          <w:szCs w:val="24"/>
          <w:lang w:val="sr-Cyrl-RS"/>
        </w:rPr>
        <w:t>б</w:t>
      </w:r>
      <w:r w:rsidR="00CA288D" w:rsidRPr="0081082A">
        <w:rPr>
          <w:rFonts w:ascii="Times New Roman" w:hAnsi="Times New Roman" w:cs="Times New Roman"/>
          <w:sz w:val="24"/>
          <w:szCs w:val="24"/>
          <w:lang w:val="sr-Cyrl-RS"/>
        </w:rPr>
        <w:t>уде</w:t>
      </w:r>
      <w:r w:rsidRPr="0081082A">
        <w:rPr>
          <w:rFonts w:ascii="Times New Roman" w:hAnsi="Times New Roman" w:cs="Times New Roman"/>
          <w:sz w:val="24"/>
          <w:szCs w:val="24"/>
          <w:lang w:val="sr-Cyrl-RS"/>
        </w:rPr>
        <w:t xml:space="preserve"> адекватна, што ће довести до ефикаснијег трошења јавних средстава за потребе јавних набавки. </w:t>
      </w:r>
    </w:p>
    <w:p w:rsidR="00661D0D" w:rsidRPr="0081082A" w:rsidRDefault="00661D0D" w:rsidP="00320873">
      <w:pPr>
        <w:spacing w:after="0" w:line="240" w:lineRule="auto"/>
        <w:jc w:val="both"/>
        <w:rPr>
          <w:rFonts w:ascii="Times New Roman" w:hAnsi="Times New Roman" w:cs="Times New Roman"/>
          <w:sz w:val="24"/>
          <w:szCs w:val="24"/>
          <w:lang w:val="sr-Cyrl-RS"/>
        </w:rPr>
      </w:pPr>
    </w:p>
    <w:p w:rsidR="00721398" w:rsidRPr="0081082A" w:rsidRDefault="00721398" w:rsidP="00DB20DD">
      <w:pPr>
        <w:pStyle w:val="Heading2"/>
        <w:jc w:val="center"/>
        <w:rPr>
          <w:rFonts w:ascii="Times New Roman" w:hAnsi="Times New Roman"/>
          <w:sz w:val="28"/>
          <w:lang w:val="sr-Cyrl-RS"/>
        </w:rPr>
      </w:pPr>
      <w:bookmarkStart w:id="20" w:name="_Toc72488798"/>
      <w:r w:rsidRPr="0081082A">
        <w:rPr>
          <w:rFonts w:ascii="Times New Roman" w:hAnsi="Times New Roman"/>
          <w:sz w:val="28"/>
          <w:lang w:val="sr-Cyrl-RS"/>
        </w:rPr>
        <w:t xml:space="preserve">ПОСЕБНИ ЦИЉ </w:t>
      </w:r>
      <w:r w:rsidR="0085182C" w:rsidRPr="0081082A">
        <w:rPr>
          <w:rFonts w:ascii="Times New Roman" w:hAnsi="Times New Roman"/>
          <w:sz w:val="28"/>
          <w:lang w:val="sr-Cyrl-RS"/>
        </w:rPr>
        <w:t>III</w:t>
      </w:r>
      <w:r w:rsidRPr="0081082A">
        <w:rPr>
          <w:rFonts w:ascii="Times New Roman" w:hAnsi="Times New Roman"/>
          <w:sz w:val="28"/>
          <w:lang w:val="sr-Cyrl-RS"/>
        </w:rPr>
        <w:t xml:space="preserve"> </w:t>
      </w:r>
      <w:r w:rsidR="00DB20DD" w:rsidRPr="0081082A">
        <w:rPr>
          <w:rFonts w:ascii="Times New Roman" w:hAnsi="Times New Roman"/>
          <w:bCs/>
          <w:sz w:val="28"/>
          <w:lang w:val="sr-Cyrl-RS"/>
        </w:rPr>
        <w:t>УНАПРЕЂЕЊЕ БУЏЕТСКЕ ДИСЦИПЛИНЕ И ТРАНСПАРЕНТНИЈЕ КОРИШЋЕЊЕ ЈАВНИХ СРЕДСТАВА</w:t>
      </w:r>
      <w:bookmarkEnd w:id="20"/>
    </w:p>
    <w:p w:rsidR="00F12C93" w:rsidRPr="0081082A" w:rsidRDefault="00F12C93" w:rsidP="00F12C93">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Делотворна финансијска контрола представља кључни корак реформе у успостављању буџетске дисциплине и повећању одговорности у управљању јавним средствима. Надлежности и улоге у формулисању и спровођењу оквира унутрашње контроле су јасно подељена у оквиру успостављене структуре. У складу са тим, ЦЈХ Министарства финансија је задужена за формулисање, координацију и праћење спровођења датих оквира за ИФК у јавном сектору, а функционисање успостављених система за  управљање, праћење ризика и примену правила ИФКЈ подлеже преиспитивању од стране независне, децентрализоване интерне ревизије КЈС.</w:t>
      </w:r>
      <w:r w:rsidRPr="0081082A">
        <w:rPr>
          <w:rFonts w:ascii="Times New Roman" w:hAnsi="Times New Roman"/>
          <w:sz w:val="24"/>
          <w:lang w:val="sr-Cyrl-RS"/>
        </w:rPr>
        <w:t xml:space="preserve"> </w:t>
      </w:r>
      <w:r w:rsidRPr="0081082A">
        <w:rPr>
          <w:rFonts w:ascii="Times New Roman" w:hAnsi="Times New Roman" w:cs="Times New Roman"/>
          <w:sz w:val="24"/>
          <w:szCs w:val="24"/>
          <w:lang w:val="sr-Cyrl-RS"/>
        </w:rPr>
        <w:t xml:space="preserve">Накнадна или </w:t>
      </w:r>
      <w:r w:rsidRPr="0081082A">
        <w:rPr>
          <w:rFonts w:ascii="Times New Roman" w:hAnsi="Times New Roman"/>
          <w:i/>
          <w:sz w:val="24"/>
          <w:lang w:val="sr-Cyrl-RS"/>
        </w:rPr>
        <w:t>ex-post</w:t>
      </w:r>
      <w:r w:rsidRPr="0081082A">
        <w:rPr>
          <w:rFonts w:ascii="Times New Roman" w:hAnsi="Times New Roman" w:cs="Times New Roman"/>
          <w:sz w:val="24"/>
          <w:szCs w:val="24"/>
          <w:lang w:val="sr-Cyrl-RS"/>
        </w:rPr>
        <w:t xml:space="preserve"> провера уск</w:t>
      </w:r>
      <w:r w:rsidR="00320873" w:rsidRPr="0081082A">
        <w:rPr>
          <w:rFonts w:ascii="Times New Roman" w:hAnsi="Times New Roman" w:cs="Times New Roman"/>
          <w:sz w:val="24"/>
          <w:szCs w:val="24"/>
          <w:lang w:val="sr-Cyrl-RS"/>
        </w:rPr>
        <w:t>л</w:t>
      </w:r>
      <w:r w:rsidRPr="0081082A">
        <w:rPr>
          <w:rFonts w:ascii="Times New Roman" w:hAnsi="Times New Roman" w:cs="Times New Roman"/>
          <w:sz w:val="24"/>
          <w:szCs w:val="24"/>
          <w:lang w:val="sr-Cyrl-RS"/>
        </w:rPr>
        <w:t xml:space="preserve">ађености финансијских трансакција и пословања корисника јавних средстава у односу на важеће законодавство, поверена је буџетској инспекцији, а улоге финансијског управљања, контроле, управљање неправилностима, сузбијање превара и ревизија коришћења средстава ЕУ додељене су организационим јединицама и институцијама у оквиру система индиректног управљања средствима ЕУ у </w:t>
      </w:r>
      <w:r w:rsidR="00534963" w:rsidRPr="0081082A">
        <w:rPr>
          <w:rFonts w:ascii="Times New Roman" w:hAnsi="Times New Roman" w:cs="Times New Roman"/>
          <w:bCs/>
          <w:sz w:val="24"/>
          <w:szCs w:val="24"/>
          <w:lang w:val="sr-Cyrl-RS"/>
        </w:rPr>
        <w:t>Републици Србији</w:t>
      </w:r>
      <w:r w:rsidRPr="0081082A">
        <w:rPr>
          <w:rFonts w:ascii="Times New Roman" w:hAnsi="Times New Roman" w:cs="Times New Roman"/>
          <w:sz w:val="24"/>
          <w:szCs w:val="24"/>
          <w:lang w:val="sr-Cyrl-RS"/>
        </w:rPr>
        <w:t>.</w:t>
      </w:r>
    </w:p>
    <w:p w:rsidR="004007E8" w:rsidRPr="0081082A" w:rsidRDefault="00F12C93" w:rsidP="004007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lastRenderedPageBreak/>
        <w:t>Недостатак стручних административних капацитета у организационим јединицама и институцијама у оквиру система индиректног управљања средствима ЕУ и Републици Србији је једна од кључних системских слабости које Програм има за циљ да отклони. Од почетка успостављања индиректног система управљања, у Сектору за управљање средствима ЕУ Министарства финансија није постојао довољан број запослених као ни стручно знање и довољан број запослених у вези откривања неправилности у првој линији контроле, што је онемогућавало ефикасно функционисање система који би у случају рано утврђене неправилности могао да је отклони унутар система, а пре ревизије. Са друге стране, недостатак капацитета у телу надлежном за ревизију сист</w:t>
      </w:r>
      <w:r w:rsidR="00F61CF5" w:rsidRPr="0081082A">
        <w:rPr>
          <w:rFonts w:ascii="Times New Roman" w:hAnsi="Times New Roman" w:cs="Times New Roman"/>
          <w:sz w:val="24"/>
          <w:szCs w:val="24"/>
          <w:lang w:val="sr-Cyrl-RS"/>
        </w:rPr>
        <w:t>е</w:t>
      </w:r>
      <w:r w:rsidRPr="0081082A">
        <w:rPr>
          <w:rFonts w:ascii="Times New Roman" w:hAnsi="Times New Roman" w:cs="Times New Roman"/>
          <w:sz w:val="24"/>
          <w:szCs w:val="24"/>
          <w:lang w:val="sr-Cyrl-RS"/>
        </w:rPr>
        <w:t>ма управљања средствима ЕУ онемогућ</w:t>
      </w:r>
      <w:r w:rsidR="00516F46" w:rsidRPr="0081082A">
        <w:rPr>
          <w:rFonts w:ascii="Times New Roman" w:hAnsi="Times New Roman" w:cs="Times New Roman"/>
          <w:sz w:val="24"/>
          <w:szCs w:val="24"/>
          <w:lang w:val="sr-Cyrl-RS"/>
        </w:rPr>
        <w:t>ава</w:t>
      </w:r>
      <w:r w:rsidRPr="0081082A">
        <w:rPr>
          <w:rFonts w:ascii="Times New Roman" w:hAnsi="Times New Roman" w:cs="Times New Roman"/>
          <w:sz w:val="24"/>
          <w:szCs w:val="24"/>
          <w:lang w:val="sr-Cyrl-RS"/>
        </w:rPr>
        <w:t xml:space="preserve"> ефикасну ревизију и доводи до већег броја ревизорских налаза од стране </w:t>
      </w:r>
      <w:r w:rsidR="004007E8" w:rsidRPr="0081082A">
        <w:rPr>
          <w:rFonts w:ascii="Times New Roman" w:hAnsi="Times New Roman" w:cs="Times New Roman"/>
          <w:sz w:val="24"/>
          <w:szCs w:val="24"/>
          <w:lang w:val="sr-Cyrl-RS"/>
        </w:rPr>
        <w:t>Европске</w:t>
      </w:r>
      <w:r w:rsidRPr="0081082A">
        <w:rPr>
          <w:rFonts w:ascii="Times New Roman" w:hAnsi="Times New Roman" w:cs="Times New Roman"/>
          <w:sz w:val="24"/>
          <w:szCs w:val="24"/>
          <w:lang w:val="sr-Cyrl-RS"/>
        </w:rPr>
        <w:t xml:space="preserve"> комисије. Када је реч о инспекцијској контроли коју спроводи Сектор за буџетску инспекцију Министарства финансија, недостатак административних капацитета ограничава број контрола које се могу реализовати у складу са </w:t>
      </w:r>
      <w:r w:rsidR="004007E8" w:rsidRPr="0081082A">
        <w:rPr>
          <w:rFonts w:ascii="Times New Roman" w:hAnsi="Times New Roman" w:cs="Times New Roman"/>
          <w:sz w:val="24"/>
          <w:szCs w:val="24"/>
          <w:lang w:val="sr-Cyrl-RS"/>
        </w:rPr>
        <w:t xml:space="preserve">захтевима за вршење контроле, док би успешно спроведеним процесом централизације, буџетска инспекција имала јаче капацитете, уједначеност поступања и надлежност на свим нивоима, што би у многоме допринело повећању броја спроведених контрола.  </w:t>
      </w:r>
    </w:p>
    <w:p w:rsidR="00F12C93" w:rsidRPr="0081082A" w:rsidRDefault="004007E8" w:rsidP="004007E8">
      <w:pPr>
        <w:spacing w:after="0" w:line="240" w:lineRule="auto"/>
        <w:ind w:firstLine="708"/>
        <w:jc w:val="both"/>
        <w:rPr>
          <w:rFonts w:ascii="Times New Roman" w:hAnsi="Times New Roman"/>
          <w:sz w:val="24"/>
          <w:lang w:val="sr-Cyrl-RS"/>
        </w:rPr>
      </w:pPr>
      <w:r w:rsidRPr="0081082A">
        <w:rPr>
          <w:rFonts w:ascii="Times New Roman" w:hAnsi="Times New Roman" w:cs="Times New Roman"/>
          <w:sz w:val="24"/>
          <w:szCs w:val="24"/>
          <w:lang w:val="sr-Cyrl-RS"/>
        </w:rPr>
        <w:t xml:space="preserve"> </w:t>
      </w:r>
      <w:r w:rsidR="00F12C93" w:rsidRPr="0081082A">
        <w:rPr>
          <w:rFonts w:ascii="Times New Roman" w:hAnsi="Times New Roman"/>
          <w:sz w:val="24"/>
          <w:lang w:val="sr-Cyrl-RS"/>
        </w:rPr>
        <w:t>Реализациј</w:t>
      </w:r>
      <w:r w:rsidR="00F12C93" w:rsidRPr="0081082A">
        <w:rPr>
          <w:rFonts w:ascii="Times New Roman" w:hAnsi="Times New Roman" w:cs="Times New Roman"/>
          <w:sz w:val="24"/>
          <w:szCs w:val="24"/>
          <w:lang w:val="sr-Cyrl-RS"/>
        </w:rPr>
        <w:t>а</w:t>
      </w:r>
      <w:r w:rsidR="00F12C93" w:rsidRPr="0081082A">
        <w:rPr>
          <w:rFonts w:ascii="Times New Roman" w:hAnsi="Times New Roman"/>
          <w:sz w:val="24"/>
          <w:lang w:val="sr-Cyrl-RS"/>
        </w:rPr>
        <w:t xml:space="preserve"> реформи у овој области ће се у наредном периоду пратити кроз унапређење у три </w:t>
      </w:r>
      <w:r w:rsidR="00F12C93" w:rsidRPr="0081082A">
        <w:rPr>
          <w:rFonts w:ascii="Times New Roman" w:hAnsi="Times New Roman" w:cs="Times New Roman"/>
          <w:sz w:val="24"/>
          <w:szCs w:val="24"/>
          <w:lang w:val="sr-Cyrl-RS"/>
        </w:rPr>
        <w:t>важна аспекта</w:t>
      </w:r>
      <w:r w:rsidR="00F12C93" w:rsidRPr="0081082A">
        <w:rPr>
          <w:rFonts w:ascii="Times New Roman" w:hAnsi="Times New Roman"/>
          <w:sz w:val="24"/>
          <w:lang w:val="sr-Cyrl-RS"/>
        </w:rPr>
        <w:t>:</w:t>
      </w:r>
    </w:p>
    <w:p w:rsidR="00F12C93" w:rsidRPr="0081082A" w:rsidRDefault="00F12C93" w:rsidP="00FF4BE4">
      <w:pPr>
        <w:pStyle w:val="ListParagraph"/>
        <w:numPr>
          <w:ilvl w:val="0"/>
          <w:numId w:val="10"/>
        </w:numPr>
        <w:tabs>
          <w:tab w:val="left" w:pos="993"/>
        </w:tabs>
        <w:spacing w:before="100" w:after="0" w:line="240" w:lineRule="auto"/>
        <w:ind w:left="0" w:firstLine="709"/>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Јачање институционалних капацитета који обављају функцију ревизије система управљања средствима ЕУ;</w:t>
      </w:r>
    </w:p>
    <w:p w:rsidR="00F12C93" w:rsidRPr="0081082A" w:rsidRDefault="00F12C93" w:rsidP="00FF4BE4">
      <w:pPr>
        <w:pStyle w:val="ListParagraph"/>
        <w:numPr>
          <w:ilvl w:val="0"/>
          <w:numId w:val="10"/>
        </w:numPr>
        <w:tabs>
          <w:tab w:val="left" w:pos="993"/>
        </w:tabs>
        <w:spacing w:before="100" w:after="0" w:line="240" w:lineRule="auto"/>
        <w:ind w:left="0" w:firstLine="709"/>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Повећање ефикасности инспекцијских контрола које обавља буџетск</w:t>
      </w:r>
      <w:r w:rsidR="00A42DA0"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 xml:space="preserve"> инспекциј</w:t>
      </w:r>
      <w:r w:rsidR="00A42DA0"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 xml:space="preserve">, и </w:t>
      </w:r>
    </w:p>
    <w:p w:rsidR="00F12C93" w:rsidRPr="0081082A" w:rsidRDefault="00F12C93" w:rsidP="00FF4BE4">
      <w:pPr>
        <w:pStyle w:val="ListParagraph"/>
        <w:numPr>
          <w:ilvl w:val="0"/>
          <w:numId w:val="10"/>
        </w:numPr>
        <w:tabs>
          <w:tab w:val="left" w:pos="993"/>
        </w:tabs>
        <w:spacing w:before="100" w:after="0" w:line="240" w:lineRule="auto"/>
        <w:ind w:left="0" w:firstLine="709"/>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Јачање система за ефикасније, делотворније и транспарентније коришћење ЕУ средстава.</w:t>
      </w:r>
    </w:p>
    <w:p w:rsidR="00F12C93" w:rsidRPr="0081082A" w:rsidRDefault="00F12C93" w:rsidP="00F12C93">
      <w:pPr>
        <w:pStyle w:val="Heading2"/>
        <w:jc w:val="center"/>
        <w:rPr>
          <w:lang w:val="sr-Cyrl-RS"/>
        </w:rPr>
      </w:pPr>
      <w:bookmarkStart w:id="21" w:name="_Toc72488799"/>
      <w:r w:rsidRPr="0081082A">
        <w:rPr>
          <w:rFonts w:ascii="Times New Roman" w:hAnsi="Times New Roman"/>
          <w:sz w:val="24"/>
          <w:lang w:val="sr-Cyrl-RS"/>
        </w:rPr>
        <w:t xml:space="preserve">Постигнуто у претходном </w:t>
      </w:r>
      <w:r w:rsidRPr="0081082A">
        <w:rPr>
          <w:rFonts w:ascii="Times New Roman" w:eastAsia="Calibri" w:hAnsi="Times New Roman" w:cs="Times New Roman"/>
          <w:sz w:val="24"/>
          <w:szCs w:val="24"/>
          <w:lang w:val="sr-Cyrl-RS"/>
        </w:rPr>
        <w:t>ПЕРИОДУ</w:t>
      </w:r>
      <w:bookmarkEnd w:id="21"/>
    </w:p>
    <w:p w:rsidR="00F12C93" w:rsidRPr="0081082A" w:rsidRDefault="00F12C93" w:rsidP="00F12C93">
      <w:pPr>
        <w:spacing w:after="0" w:line="240" w:lineRule="auto"/>
        <w:ind w:firstLine="706"/>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 xml:space="preserve">Адекватан напредак у области Регионалне политике и координације структурних инструмената </w:t>
      </w:r>
      <w:r w:rsidRPr="0081082A">
        <w:rPr>
          <w:rFonts w:ascii="Times New Roman" w:hAnsi="Times New Roman"/>
          <w:sz w:val="24"/>
          <w:lang w:val="sr-Cyrl-RS"/>
        </w:rPr>
        <w:t xml:space="preserve">- </w:t>
      </w:r>
      <w:r w:rsidRPr="0081082A">
        <w:rPr>
          <w:rFonts w:ascii="Times New Roman" w:hAnsi="Times New Roman" w:cs="Times New Roman"/>
          <w:bCs/>
          <w:sz w:val="24"/>
          <w:szCs w:val="24"/>
          <w:lang w:val="sr-Cyrl-RS"/>
        </w:rPr>
        <w:t xml:space="preserve">поглавље 22, остварен је како захваљујући искуству које је </w:t>
      </w:r>
      <w:r w:rsidR="00534963" w:rsidRPr="0081082A">
        <w:rPr>
          <w:rFonts w:ascii="Times New Roman" w:hAnsi="Times New Roman" w:cs="Times New Roman"/>
          <w:bCs/>
          <w:sz w:val="24"/>
          <w:szCs w:val="24"/>
          <w:lang w:val="sr-Cyrl-RS"/>
        </w:rPr>
        <w:t>Република Србија</w:t>
      </w:r>
      <w:r w:rsidRPr="0081082A">
        <w:rPr>
          <w:rFonts w:ascii="Times New Roman" w:hAnsi="Times New Roman" w:cs="Times New Roman"/>
          <w:bCs/>
          <w:sz w:val="24"/>
          <w:szCs w:val="24"/>
          <w:lang w:val="sr-Cyrl-RS"/>
        </w:rPr>
        <w:t xml:space="preserve"> стекла коришћењем ЕУ фондова на бази децентрализованог управљања, тако и напретку у оквиру система финансијског управљања, контроле и ревизије. </w:t>
      </w:r>
    </w:p>
    <w:p w:rsidR="00F12C93" w:rsidRPr="0081082A" w:rsidRDefault="00F12C93" w:rsidP="00F12C93">
      <w:pPr>
        <w:spacing w:after="0" w:line="240" w:lineRule="auto"/>
        <w:ind w:firstLine="706"/>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Најпре је спроведена функционална анализа Канцеларије за</w:t>
      </w:r>
      <w:r w:rsidRPr="0081082A">
        <w:rPr>
          <w:lang w:val="sr-Cyrl-RS"/>
        </w:rPr>
        <w:t xml:space="preserve"> </w:t>
      </w:r>
      <w:r w:rsidRPr="0081082A">
        <w:rPr>
          <w:rFonts w:ascii="Times New Roman" w:hAnsi="Times New Roman" w:cs="Times New Roman"/>
          <w:bCs/>
          <w:sz w:val="24"/>
          <w:szCs w:val="24"/>
          <w:lang w:val="sr-Cyrl-RS"/>
        </w:rPr>
        <w:t>ревизију система управљања средствима ЕУ (у даљем тексту: Канцеларија) у циљу побољшања капацитета и повећања функционалности Канцелариј</w:t>
      </w:r>
      <w:r w:rsidR="00D64A6A" w:rsidRPr="0081082A">
        <w:rPr>
          <w:rFonts w:ascii="Times New Roman" w:hAnsi="Times New Roman" w:cs="Times New Roman"/>
          <w:bCs/>
          <w:sz w:val="24"/>
          <w:szCs w:val="24"/>
          <w:lang w:val="sr-Cyrl-RS"/>
        </w:rPr>
        <w:t>е</w:t>
      </w:r>
      <w:r w:rsidR="00E260C4" w:rsidRPr="0081082A">
        <w:rPr>
          <w:rFonts w:ascii="Times New Roman" w:hAnsi="Times New Roman" w:cs="Times New Roman"/>
          <w:bCs/>
          <w:sz w:val="24"/>
          <w:szCs w:val="24"/>
          <w:lang w:val="sr-Cyrl-RS"/>
        </w:rPr>
        <w:t>.</w:t>
      </w:r>
      <w:r w:rsidRPr="0081082A">
        <w:rPr>
          <w:rStyle w:val="FootnoteReference"/>
          <w:rFonts w:ascii="Times New Roman" w:hAnsi="Times New Roman" w:cs="Times New Roman"/>
          <w:bCs/>
          <w:sz w:val="24"/>
          <w:szCs w:val="24"/>
          <w:lang w:val="sr-Cyrl-RS"/>
        </w:rPr>
        <w:footnoteReference w:id="73"/>
      </w:r>
      <w:r w:rsidRPr="0081082A">
        <w:rPr>
          <w:rFonts w:ascii="Times New Roman" w:hAnsi="Times New Roman" w:cs="Times New Roman"/>
          <w:bCs/>
          <w:sz w:val="24"/>
          <w:szCs w:val="24"/>
          <w:lang w:val="sr-Cyrl-RS"/>
        </w:rPr>
        <w:t xml:space="preserve"> Препоруке функционалне анализе служиле су као основ за припрему правних аката за реинституционализацију Канцеларије. Иако је допуњени Нацрт правног оквира за реинституционализацију припремљен крајем 2017. године, коначно усвајање истог је одложено услед непостојања институционалне и економске оправданости промене организационог облика Канцеларије, с обзиром на то да ова промена изискује додатна буџетска средства.</w:t>
      </w:r>
      <w:r w:rsidRPr="0081082A">
        <w:rPr>
          <w:rStyle w:val="FootnoteReference"/>
          <w:rFonts w:ascii="Times New Roman" w:hAnsi="Times New Roman" w:cs="Times New Roman"/>
          <w:bCs/>
          <w:sz w:val="24"/>
          <w:szCs w:val="24"/>
          <w:lang w:val="sr-Cyrl-RS"/>
        </w:rPr>
        <w:footnoteReference w:id="74"/>
      </w:r>
      <w:r w:rsidRPr="0081082A">
        <w:rPr>
          <w:rFonts w:ascii="Times New Roman" w:hAnsi="Times New Roman" w:cs="Times New Roman"/>
          <w:bCs/>
          <w:sz w:val="24"/>
          <w:szCs w:val="24"/>
          <w:lang w:val="sr-Cyrl-RS"/>
        </w:rPr>
        <w:t xml:space="preserve"> </w:t>
      </w:r>
    </w:p>
    <w:p w:rsidR="00F12C93" w:rsidRPr="0081082A" w:rsidRDefault="00F12C93" w:rsidP="00F12C93">
      <w:pPr>
        <w:spacing w:after="0" w:line="240" w:lineRule="auto"/>
        <w:ind w:firstLine="706"/>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lastRenderedPageBreak/>
        <w:t xml:space="preserve">Организациони, технички и административни капацитети Канцеларије, међутим, побољшани су у складу са захтевима </w:t>
      </w:r>
      <w:r w:rsidR="007F054D" w:rsidRPr="0081082A">
        <w:rPr>
          <w:rFonts w:ascii="Times New Roman" w:hAnsi="Times New Roman" w:cs="Times New Roman"/>
          <w:bCs/>
          <w:sz w:val="24"/>
          <w:szCs w:val="24"/>
          <w:lang w:val="sr-Cyrl-RS"/>
        </w:rPr>
        <w:t>ЕК</w:t>
      </w:r>
      <w:r w:rsidRPr="0081082A">
        <w:rPr>
          <w:rFonts w:ascii="Times New Roman" w:hAnsi="Times New Roman" w:cs="Times New Roman"/>
          <w:bCs/>
          <w:sz w:val="24"/>
          <w:szCs w:val="24"/>
          <w:lang w:val="sr-Cyrl-RS"/>
        </w:rPr>
        <w:t xml:space="preserve"> и ИПА II регулативе, чиме је повећана функционалност за спровођење ревизорских активности. Конкретно, у складу са препорукама спроведене анализе обима посла, Канцеларија је најпре успела да повећа број запослених 2018. године (27 запослених), међутим, током 2019. године је дошло до значајног одлива кадрова. Нови предвиђени максимални број запослених у Канцеларији предвиђа 33 запослена, у складу са важећом аналитичком проценом радних места.</w:t>
      </w:r>
    </w:p>
    <w:p w:rsidR="00F12C93" w:rsidRPr="0081082A" w:rsidRDefault="00F12C93" w:rsidP="00F12C93">
      <w:pPr>
        <w:spacing w:after="0" w:line="240" w:lineRule="auto"/>
        <w:ind w:firstLine="706"/>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У погледу даљег развоја административних капацитета, национални системи финансијског управљања, контроле и ревизије додатно су развијени како би били усклађени са захтевима децентрализованог управљања средствима ИПА, чиме је омогућена ефикаснија ревизија коришћења средстава ЕУ. Наведени исход је потврђен и у Извештају Европске комисије о Србији за 2020. годину</w:t>
      </w:r>
      <w:r w:rsidRPr="0081082A">
        <w:rPr>
          <w:rStyle w:val="FootnoteReference"/>
          <w:rFonts w:ascii="Times New Roman" w:hAnsi="Times New Roman" w:cs="Times New Roman"/>
          <w:bCs/>
          <w:sz w:val="24"/>
          <w:szCs w:val="24"/>
          <w:lang w:val="sr-Cyrl-RS"/>
        </w:rPr>
        <w:footnoteReference w:id="75"/>
      </w:r>
      <w:r w:rsidRPr="0081082A">
        <w:rPr>
          <w:rFonts w:ascii="Times New Roman" w:hAnsi="Times New Roman" w:cs="Times New Roman"/>
          <w:bCs/>
          <w:sz w:val="24"/>
          <w:szCs w:val="24"/>
          <w:lang w:val="sr-Cyrl-RS"/>
        </w:rPr>
        <w:t xml:space="preserve">. Ово је, пре свега, постигнуто уз подршку ИПА 2013 пројекта </w:t>
      </w:r>
      <w:r w:rsidRPr="0081082A">
        <w:rPr>
          <w:rFonts w:ascii="Times New Roman" w:hAnsi="Times New Roman"/>
          <w:sz w:val="24"/>
          <w:lang w:val="sr-Cyrl-RS"/>
        </w:rPr>
        <w:t xml:space="preserve">„Увођење софтвера – </w:t>
      </w:r>
      <w:r w:rsidRPr="0081082A">
        <w:rPr>
          <w:rFonts w:ascii="Times New Roman" w:hAnsi="Times New Roman"/>
          <w:i/>
          <w:sz w:val="24"/>
          <w:lang w:val="sr-Cyrl-RS"/>
        </w:rPr>
        <w:t>AuditDoc</w:t>
      </w:r>
      <w:r w:rsidRPr="0081082A">
        <w:rPr>
          <w:rFonts w:ascii="Times New Roman" w:hAnsi="Times New Roman"/>
          <w:sz w:val="24"/>
          <w:lang w:val="sr-Cyrl-RS"/>
        </w:rPr>
        <w:t xml:space="preserve"> за ревизију и руковање документима</w:t>
      </w:r>
      <w:r w:rsidR="007E728E" w:rsidRPr="0081082A">
        <w:rPr>
          <w:rFonts w:ascii="Times New Roman" w:hAnsi="Times New Roman"/>
          <w:sz w:val="24"/>
          <w:lang w:val="sr-Cyrl-RS"/>
        </w:rPr>
        <w:t>”</w:t>
      </w:r>
      <w:r w:rsidRPr="0081082A">
        <w:rPr>
          <w:rFonts w:ascii="Times New Roman" w:hAnsi="Times New Roman" w:cs="Times New Roman"/>
          <w:sz w:val="24"/>
          <w:szCs w:val="24"/>
          <w:lang w:val="sr-Cyrl-RS"/>
        </w:rPr>
        <w:t>,</w:t>
      </w:r>
      <w:r w:rsidRPr="0081082A">
        <w:rPr>
          <w:rFonts w:ascii="Times New Roman" w:hAnsi="Times New Roman" w:cs="Times New Roman"/>
          <w:bCs/>
          <w:sz w:val="24"/>
          <w:szCs w:val="24"/>
          <w:lang w:val="sr-Cyrl-RS"/>
        </w:rPr>
        <w:t xml:space="preserve"> спроведеног током 2018. године, у циљу ефикаснијег и ефективнијег рада, уводећи софтвер којим се значајно олакшава руковање документима Канцеларије. У наредном периоду је планирано даље унапређење софтвера.  </w:t>
      </w:r>
    </w:p>
    <w:p w:rsidR="00F12C93" w:rsidRPr="0081082A" w:rsidRDefault="00F12C93" w:rsidP="00F12C93">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Управљање неправилностима, координација и сарадња на сузбијању превара у поступању са средствима ЕУ релевантна је и важна, како за интересе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sz w:val="24"/>
          <w:szCs w:val="24"/>
          <w:lang w:val="sr-Cyrl-RS"/>
        </w:rPr>
        <w:t>, тако и за интересе ЕУ. Влада је уложила значајне напоре како би се осигурала транспарентност и наменско коришћење финансијских средстава ЕУ, паралелно са напорима за осигурање националних средстава. Свеобухватни стратешки оквир за борбу против неправилности и превара</w:t>
      </w:r>
      <w:r w:rsidR="00A545D2"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односно заштите финансијских средстава ЕУ, утемељен је у Стратегији </w:t>
      </w:r>
      <w:r w:rsidR="00534963" w:rsidRPr="0081082A">
        <w:rPr>
          <w:rFonts w:ascii="Times New Roman" w:hAnsi="Times New Roman" w:cs="Times New Roman"/>
          <w:sz w:val="24"/>
          <w:szCs w:val="24"/>
          <w:lang w:val="sr-Cyrl-RS"/>
        </w:rPr>
        <w:t>за сузбијање неправилности и превара у поступању са финансијским средствима Европске уније у Републици Србији за период 2017-2020. године</w:t>
      </w:r>
      <w:r w:rsidR="00534963" w:rsidRPr="0081082A" w:rsidDel="00534963">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 xml:space="preserve">(у даљем тексту: АФКОС Стратегија) и пратећем Акционом плану.  </w:t>
      </w:r>
    </w:p>
    <w:p w:rsidR="00F12C93" w:rsidRPr="0081082A" w:rsidRDefault="00F12C93" w:rsidP="00F12C93">
      <w:pPr>
        <w:spacing w:after="0" w:line="240" w:lineRule="auto"/>
        <w:ind w:firstLine="706"/>
        <w:jc w:val="both"/>
        <w:rPr>
          <w:rFonts w:ascii="Times New Roman" w:hAnsi="Times New Roman"/>
          <w:sz w:val="24"/>
          <w:lang w:val="sr-Cyrl-RS"/>
        </w:rPr>
      </w:pPr>
      <w:r w:rsidRPr="0081082A">
        <w:rPr>
          <w:rFonts w:ascii="Times New Roman" w:hAnsi="Times New Roman" w:cs="Times New Roman"/>
          <w:sz w:val="24"/>
          <w:szCs w:val="24"/>
          <w:lang w:val="sr-Cyrl-RS"/>
        </w:rPr>
        <w:t xml:space="preserve">У претходном периоду је спроведена и планирана СИГМА анализа, односно процена могућности рационализације рада буџетске инспекције и Одељења за сузбијање неправилности и превара у поступању са финансијским средствима ЕУ (у даљем тексту: АФКОС), под јединственом структуром управљања у оквиру постојећег законодавства. Закључак СИГМА Извештаја је да буџетска инспекција и АФКОС треба да остану одвојене све до приступања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sz w:val="24"/>
          <w:szCs w:val="24"/>
          <w:lang w:val="sr-Cyrl-RS"/>
        </w:rPr>
        <w:t xml:space="preserve"> ЕУ, при чему ће до тада АФКОС спроводити Акциони план за спровођење АФКОС Стратегије, док ће буџетска инспекција унапредити свој рад кроз </w:t>
      </w:r>
      <w:r w:rsidRPr="0081082A">
        <w:rPr>
          <w:rFonts w:ascii="Times New Roman" w:hAnsi="Times New Roman"/>
          <w:sz w:val="24"/>
          <w:lang w:val="sr-Cyrl-RS"/>
        </w:rPr>
        <w:t xml:space="preserve">свој плански документ за развој буџетске инспекцијске контроле у </w:t>
      </w:r>
      <w:r w:rsidR="00534963" w:rsidRPr="0081082A">
        <w:rPr>
          <w:rFonts w:ascii="Times New Roman" w:hAnsi="Times New Roman" w:cs="Times New Roman"/>
          <w:bCs/>
          <w:sz w:val="24"/>
          <w:szCs w:val="24"/>
          <w:lang w:val="sr-Cyrl-RS"/>
        </w:rPr>
        <w:t>Републици Србији</w:t>
      </w:r>
      <w:r w:rsidRPr="0081082A">
        <w:rPr>
          <w:rFonts w:ascii="Times New Roman" w:hAnsi="Times New Roman" w:cs="Times New Roman"/>
          <w:sz w:val="24"/>
          <w:szCs w:val="24"/>
          <w:lang w:val="sr-Cyrl-RS"/>
        </w:rPr>
        <w:t>. Обе јединице утврђују радне методологије и могу да успоставе заједничке праксе у областима разменe информација и сарадњe приликом отклањања недостатака система.</w:t>
      </w:r>
    </w:p>
    <w:p w:rsidR="00F12C93" w:rsidRPr="0081082A" w:rsidRDefault="00F12C93" w:rsidP="00F12C93">
      <w:pPr>
        <w:spacing w:after="0" w:line="240" w:lineRule="auto"/>
        <w:ind w:firstLine="706"/>
        <w:jc w:val="both"/>
        <w:rPr>
          <w:rFonts w:ascii="Times New Roman" w:hAnsi="Times New Roman" w:cs="Times New Roman"/>
          <w:sz w:val="24"/>
          <w:szCs w:val="24"/>
          <w:shd w:val="clear" w:color="auto" w:fill="FFFFFF"/>
          <w:lang w:val="sr-Cyrl-RS"/>
        </w:rPr>
      </w:pPr>
      <w:r w:rsidRPr="0081082A">
        <w:rPr>
          <w:rFonts w:ascii="Times New Roman" w:hAnsi="Times New Roman" w:cs="Times New Roman"/>
          <w:sz w:val="24"/>
          <w:szCs w:val="24"/>
          <w:shd w:val="clear" w:color="auto" w:fill="FFFFFF"/>
          <w:lang w:val="sr-Cyrl-RS"/>
        </w:rPr>
        <w:t>Од јануара 2017. године, путем званичне интернет странице Министарства финансија, отворена је могућност примања</w:t>
      </w:r>
      <w:r w:rsidRPr="0081082A">
        <w:rPr>
          <w:rFonts w:ascii="Times New Roman" w:hAnsi="Times New Roman" w:cs="Times New Roman"/>
          <w:i/>
          <w:sz w:val="24"/>
          <w:szCs w:val="24"/>
          <w:shd w:val="clear" w:color="auto" w:fill="FFFFFF"/>
          <w:lang w:val="sr-Cyrl-RS"/>
        </w:rPr>
        <w:t xml:space="preserve"> </w:t>
      </w:r>
      <w:r w:rsidRPr="0081082A">
        <w:rPr>
          <w:rFonts w:ascii="Times New Roman" w:hAnsi="Times New Roman"/>
          <w:sz w:val="24"/>
          <w:lang w:val="sr-Cyrl-RS"/>
        </w:rPr>
        <w:t>пријава</w:t>
      </w:r>
      <w:r w:rsidRPr="0081082A">
        <w:rPr>
          <w:rFonts w:ascii="Times New Roman" w:hAnsi="Times New Roman" w:cs="Times New Roman"/>
          <w:sz w:val="24"/>
          <w:szCs w:val="24"/>
          <w:shd w:val="clear" w:color="auto" w:fill="FFFFFF"/>
          <w:lang w:val="sr-Cyrl-RS"/>
        </w:rPr>
        <w:t xml:space="preserve"> неправилности у поступању са финансијским средствима ЕУ</w:t>
      </w:r>
      <w:r w:rsidR="002B0656" w:rsidRPr="0081082A">
        <w:rPr>
          <w:rFonts w:ascii="Times New Roman" w:hAnsi="Times New Roman" w:cs="Times New Roman"/>
          <w:sz w:val="24"/>
          <w:szCs w:val="24"/>
          <w:shd w:val="clear" w:color="auto" w:fill="FFFFFF"/>
          <w:lang w:val="sr-Cyrl-RS"/>
        </w:rPr>
        <w:t>.</w:t>
      </w:r>
      <w:r w:rsidRPr="0081082A">
        <w:rPr>
          <w:rStyle w:val="FootnoteReference"/>
          <w:rFonts w:ascii="Times New Roman" w:hAnsi="Times New Roman" w:cs="Times New Roman"/>
          <w:sz w:val="24"/>
          <w:szCs w:val="24"/>
          <w:shd w:val="clear" w:color="auto" w:fill="FFFFFF"/>
          <w:lang w:val="sr-Cyrl-RS"/>
        </w:rPr>
        <w:footnoteReference w:id="76"/>
      </w:r>
      <w:r w:rsidRPr="0081082A">
        <w:rPr>
          <w:rFonts w:ascii="Times New Roman" w:hAnsi="Times New Roman" w:cs="Times New Roman"/>
          <w:i/>
          <w:sz w:val="24"/>
          <w:szCs w:val="24"/>
          <w:shd w:val="clear" w:color="auto" w:fill="FFFFFF"/>
          <w:lang w:val="sr-Cyrl-RS"/>
        </w:rPr>
        <w:t xml:space="preserve"> </w:t>
      </w:r>
      <w:r w:rsidRPr="0081082A">
        <w:rPr>
          <w:rFonts w:ascii="Times New Roman" w:hAnsi="Times New Roman" w:cs="Times New Roman"/>
          <w:sz w:val="24"/>
          <w:szCs w:val="24"/>
          <w:shd w:val="clear" w:color="auto" w:fill="FFFFFF"/>
          <w:lang w:val="sr-Cyrl-RS"/>
        </w:rPr>
        <w:t xml:space="preserve">На овај начин поједностављује се поступак пријављивања и пружа могућност свима који имају било какву  информацију о </w:t>
      </w:r>
      <w:r w:rsidRPr="0081082A">
        <w:rPr>
          <w:rFonts w:ascii="Times New Roman" w:hAnsi="Times New Roman" w:cs="Times New Roman"/>
          <w:sz w:val="24"/>
          <w:szCs w:val="24"/>
          <w:shd w:val="clear" w:color="auto" w:fill="FFFFFF"/>
          <w:lang w:val="sr-Cyrl-RS"/>
        </w:rPr>
        <w:lastRenderedPageBreak/>
        <w:t xml:space="preserve">неправилностима у поступању са финансијским средствима ЕУ да је проследе, потписано или анонимно. </w:t>
      </w:r>
    </w:p>
    <w:p w:rsidR="00F12C93" w:rsidRPr="0081082A" w:rsidRDefault="00F12C93" w:rsidP="00F12C93">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Међуинституционална и сара</w:t>
      </w:r>
      <w:r w:rsidR="001A30EF">
        <w:rPr>
          <w:rFonts w:ascii="Times New Roman" w:hAnsi="Times New Roman" w:cs="Times New Roman"/>
          <w:sz w:val="24"/>
          <w:szCs w:val="24"/>
          <w:lang w:val="sr-Cyrl-RS"/>
        </w:rPr>
        <w:t>д</w:t>
      </w:r>
      <w:r w:rsidRPr="0081082A">
        <w:rPr>
          <w:rFonts w:ascii="Times New Roman" w:hAnsi="Times New Roman" w:cs="Times New Roman"/>
          <w:sz w:val="24"/>
          <w:szCs w:val="24"/>
          <w:lang w:val="sr-Cyrl-RS"/>
        </w:rPr>
        <w:t xml:space="preserve">ња са ЕУ представља један од најважнијих елемената у ефикасном функционисању АФКОС-а. С тим у вези, у циљу спречавања неправилности и превара у поступању са финансијским средствима ЕУ за време пружања помоћи </w:t>
      </w:r>
      <w:r w:rsidR="00534963" w:rsidRPr="0081082A">
        <w:rPr>
          <w:rFonts w:ascii="Times New Roman" w:hAnsi="Times New Roman" w:cs="Times New Roman"/>
          <w:bCs/>
          <w:sz w:val="24"/>
          <w:szCs w:val="24"/>
          <w:lang w:val="sr-Cyrl-RS"/>
        </w:rPr>
        <w:t>Републици Србији</w:t>
      </w:r>
      <w:r w:rsidRPr="0081082A">
        <w:rPr>
          <w:rFonts w:ascii="Times New Roman" w:hAnsi="Times New Roman" w:cs="Times New Roman"/>
          <w:sz w:val="24"/>
          <w:szCs w:val="24"/>
          <w:lang w:val="sr-Cyrl-RS"/>
        </w:rPr>
        <w:t xml:space="preserve"> за програме финансиране до 2020. године, у претходном периоду је функционисала </w:t>
      </w:r>
      <w:r w:rsidRPr="0081082A">
        <w:rPr>
          <w:rFonts w:ascii="Times New Roman" w:hAnsi="Times New Roman"/>
          <w:sz w:val="24"/>
          <w:lang w:val="sr-Cyrl-RS"/>
        </w:rPr>
        <w:t>Мрежа за сузбијање неправилности и превара у поступању са финансијским средствима ЕУ</w:t>
      </w:r>
      <w:r w:rsidRPr="0081082A">
        <w:rPr>
          <w:rFonts w:ascii="Times New Roman" w:hAnsi="Times New Roman" w:cs="Times New Roman"/>
          <w:sz w:val="24"/>
          <w:szCs w:val="24"/>
          <w:lang w:val="sr-Cyrl-RS"/>
        </w:rPr>
        <w:t>.</w:t>
      </w:r>
      <w:r w:rsidRPr="0081082A">
        <w:rPr>
          <w:rFonts w:ascii="Times New Roman" w:hAnsi="Times New Roman" w:cs="Times New Roman"/>
          <w:sz w:val="24"/>
          <w:szCs w:val="24"/>
          <w:vertAlign w:val="superscript"/>
          <w:lang w:val="sr-Cyrl-RS"/>
        </w:rPr>
        <w:footnoteReference w:id="77"/>
      </w:r>
      <w:r w:rsidRPr="0081082A">
        <w:rPr>
          <w:rFonts w:ascii="Times New Roman" w:hAnsi="Times New Roman" w:cs="Times New Roman"/>
          <w:sz w:val="24"/>
          <w:szCs w:val="24"/>
          <w:lang w:val="sr-Cyrl-RS"/>
        </w:rPr>
        <w:t xml:space="preserve"> Са друге стране, АФКОС је одржавао сарадњу са  Европском канцеларијом за борбу против превара (</w:t>
      </w:r>
      <w:r w:rsidRPr="0081082A">
        <w:rPr>
          <w:rFonts w:ascii="Times New Roman" w:hAnsi="Times New Roman" w:cs="Times New Roman"/>
          <w:i/>
          <w:sz w:val="24"/>
          <w:szCs w:val="24"/>
          <w:lang w:val="sr-Cyrl-RS"/>
        </w:rPr>
        <w:t>OLAF</w:t>
      </w:r>
      <w:r w:rsidRPr="0081082A">
        <w:rPr>
          <w:rFonts w:ascii="Times New Roman" w:hAnsi="Times New Roman" w:cs="Times New Roman"/>
          <w:sz w:val="24"/>
          <w:szCs w:val="24"/>
          <w:lang w:val="sr-Cyrl-RS"/>
        </w:rPr>
        <w:t xml:space="preserve">) која се огледала у размени информација о утврђеним неправилностима и постојању сумње на превару у коришћењу средстава ЕУ, као и координацији и пружању подршке националним институцијама и инспекторима </w:t>
      </w:r>
      <w:r w:rsidRPr="0081082A">
        <w:rPr>
          <w:rFonts w:ascii="Times New Roman" w:hAnsi="Times New Roman" w:cs="Times New Roman"/>
          <w:i/>
          <w:sz w:val="24"/>
          <w:szCs w:val="24"/>
          <w:lang w:val="sr-Cyrl-RS"/>
        </w:rPr>
        <w:t>OLAF</w:t>
      </w:r>
      <w:r w:rsidRPr="0081082A">
        <w:rPr>
          <w:rFonts w:ascii="Times New Roman" w:hAnsi="Times New Roman" w:cs="Times New Roman"/>
          <w:sz w:val="24"/>
          <w:szCs w:val="24"/>
          <w:lang w:val="sr-Cyrl-RS"/>
        </w:rPr>
        <w:t xml:space="preserve">-а у спровођењу истрага на територији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sz w:val="24"/>
          <w:szCs w:val="24"/>
          <w:lang w:val="sr-Cyrl-RS"/>
        </w:rPr>
        <w:t xml:space="preserve">. Размена информација са </w:t>
      </w:r>
      <w:r w:rsidRPr="0081082A">
        <w:rPr>
          <w:rFonts w:ascii="Times New Roman" w:hAnsi="Times New Roman" w:cs="Times New Roman"/>
          <w:i/>
          <w:sz w:val="24"/>
          <w:szCs w:val="24"/>
          <w:lang w:val="sr-Cyrl-RS"/>
        </w:rPr>
        <w:t>OLAF</w:t>
      </w:r>
      <w:r w:rsidRPr="0081082A">
        <w:rPr>
          <w:rFonts w:ascii="Times New Roman" w:hAnsi="Times New Roman" w:cs="Times New Roman"/>
          <w:sz w:val="24"/>
          <w:szCs w:val="24"/>
          <w:lang w:val="sr-Cyrl-RS"/>
        </w:rPr>
        <w:t xml:space="preserve">-ом подразумева и информације о праћењу тока истрага које спроводе надлежне </w:t>
      </w:r>
      <w:r w:rsidR="00433D2C" w:rsidRPr="0081082A">
        <w:rPr>
          <w:rFonts w:ascii="Times New Roman" w:hAnsi="Times New Roman" w:cs="Times New Roman"/>
          <w:sz w:val="24"/>
          <w:szCs w:val="24"/>
          <w:lang w:val="sr-Cyrl-RS"/>
        </w:rPr>
        <w:t>и</w:t>
      </w:r>
      <w:r w:rsidRPr="0081082A">
        <w:rPr>
          <w:rFonts w:ascii="Times New Roman" w:hAnsi="Times New Roman" w:cs="Times New Roman"/>
          <w:sz w:val="24"/>
          <w:szCs w:val="24"/>
          <w:lang w:val="sr-Cyrl-RS"/>
        </w:rPr>
        <w:t xml:space="preserve">нституције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sz w:val="24"/>
          <w:szCs w:val="24"/>
          <w:lang w:val="sr-Cyrl-RS"/>
        </w:rPr>
        <w:t>. Од августа 2018. године, отворена је могућност директног извештавања о утврђеним неправилностима и сумњама на превару у поступању са финансијским средствима ЕУ од стране АФКОС-а, кроз систем електронског извештавања (</w:t>
      </w:r>
      <w:r w:rsidRPr="0081082A">
        <w:rPr>
          <w:rFonts w:ascii="Times New Roman" w:hAnsi="Times New Roman"/>
          <w:i/>
          <w:sz w:val="24"/>
          <w:lang w:val="sr-Cyrl-RS"/>
        </w:rPr>
        <w:t>Irregularity Management System</w:t>
      </w:r>
      <w:r w:rsidRPr="0081082A">
        <w:rPr>
          <w:rFonts w:ascii="Times New Roman" w:hAnsi="Times New Roman"/>
          <w:sz w:val="24"/>
          <w:lang w:val="sr-Cyrl-RS"/>
        </w:rPr>
        <w:t xml:space="preserve"> - </w:t>
      </w:r>
      <w:r w:rsidRPr="0081082A">
        <w:rPr>
          <w:rFonts w:ascii="Times New Roman" w:hAnsi="Times New Roman"/>
          <w:i/>
          <w:sz w:val="24"/>
          <w:lang w:val="sr-Cyrl-RS"/>
        </w:rPr>
        <w:t>IMS</w:t>
      </w:r>
      <w:r w:rsidRPr="0081082A" w:rsidDel="006608F5">
        <w:rPr>
          <w:rFonts w:ascii="Times New Roman" w:hAnsi="Times New Roman"/>
          <w:sz w:val="24"/>
          <w:lang w:val="sr-Cyrl-RS"/>
        </w:rPr>
        <w:t xml:space="preserve"> </w:t>
      </w:r>
      <w:r w:rsidRPr="0081082A">
        <w:rPr>
          <w:rFonts w:ascii="Times New Roman" w:hAnsi="Times New Roman" w:cs="Times New Roman"/>
          <w:sz w:val="24"/>
          <w:szCs w:val="24"/>
          <w:lang w:val="sr-Cyrl-RS"/>
        </w:rPr>
        <w:t xml:space="preserve">) </w:t>
      </w:r>
      <w:r w:rsidR="007F054D" w:rsidRPr="0081082A">
        <w:rPr>
          <w:rFonts w:ascii="Times New Roman" w:hAnsi="Times New Roman" w:cs="Times New Roman"/>
          <w:sz w:val="24"/>
          <w:szCs w:val="24"/>
          <w:lang w:val="sr-Cyrl-RS"/>
        </w:rPr>
        <w:t>ЕК</w:t>
      </w:r>
      <w:r w:rsidRPr="0081082A">
        <w:rPr>
          <w:rFonts w:ascii="Times New Roman" w:hAnsi="Times New Roman" w:cs="Times New Roman"/>
          <w:sz w:val="24"/>
          <w:szCs w:val="24"/>
          <w:lang w:val="sr-Cyrl-RS"/>
        </w:rPr>
        <w:t xml:space="preserve"> и </w:t>
      </w:r>
      <w:r w:rsidRPr="0081082A">
        <w:rPr>
          <w:rFonts w:ascii="Times New Roman" w:hAnsi="Times New Roman" w:cs="Times New Roman"/>
          <w:i/>
          <w:sz w:val="24"/>
          <w:szCs w:val="24"/>
          <w:lang w:val="sr-Cyrl-RS"/>
        </w:rPr>
        <w:t>OLAF</w:t>
      </w:r>
      <w:r w:rsidRPr="0081082A">
        <w:rPr>
          <w:rFonts w:ascii="Times New Roman" w:hAnsi="Times New Roman" w:cs="Times New Roman"/>
          <w:sz w:val="24"/>
          <w:szCs w:val="24"/>
          <w:lang w:val="sr-Cyrl-RS"/>
        </w:rPr>
        <w:t>-а.</w:t>
      </w:r>
      <w:r w:rsidRPr="0081082A">
        <w:rPr>
          <w:rFonts w:ascii="Times New Roman" w:eastAsia="Times New Roman" w:hAnsi="Times New Roman" w:cs="Times New Roman"/>
          <w:color w:val="000000"/>
          <w:sz w:val="24"/>
          <w:szCs w:val="22"/>
          <w:lang w:val="sr-Cyrl-RS"/>
        </w:rPr>
        <w:t xml:space="preserve"> </w:t>
      </w:r>
      <w:r w:rsidRPr="0081082A">
        <w:rPr>
          <w:rFonts w:ascii="Times New Roman" w:hAnsi="Times New Roman" w:cs="Times New Roman"/>
          <w:sz w:val="24"/>
          <w:szCs w:val="24"/>
          <w:lang w:val="sr-Cyrl-RS"/>
        </w:rPr>
        <w:t xml:space="preserve">Ситуација са пандемијом која је трајала скоро целу 2020. годину је знатно умањила интензитет сарадње са ОЛАФ-ом, иако су се уз изузетне напоре и са једне и </w:t>
      </w:r>
      <w:r w:rsidR="00DE726E" w:rsidRPr="0081082A">
        <w:rPr>
          <w:rFonts w:ascii="Times New Roman" w:hAnsi="Times New Roman" w:cs="Times New Roman"/>
          <w:sz w:val="24"/>
          <w:szCs w:val="24"/>
          <w:lang w:val="sr-Cyrl-RS"/>
        </w:rPr>
        <w:t xml:space="preserve">са </w:t>
      </w:r>
      <w:r w:rsidRPr="0081082A">
        <w:rPr>
          <w:rFonts w:ascii="Times New Roman" w:hAnsi="Times New Roman" w:cs="Times New Roman"/>
          <w:sz w:val="24"/>
          <w:szCs w:val="24"/>
          <w:lang w:val="sr-Cyrl-RS"/>
        </w:rPr>
        <w:t>друге стране, обавиле провере пријава сумњи на неправилности и превару, размењивале информације и успостављала сарадња са надлежним поступајућим Тужилаштвима на територији Републике Србије.</w:t>
      </w:r>
    </w:p>
    <w:p w:rsidR="00F12C93" w:rsidRPr="0081082A" w:rsidRDefault="00F12C93" w:rsidP="00F12C93">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На </w:t>
      </w:r>
      <w:r w:rsidR="002F77ED">
        <w:rPr>
          <w:rFonts w:ascii="Times New Roman" w:hAnsi="Times New Roman" w:cs="Times New Roman"/>
          <w:sz w:val="24"/>
          <w:szCs w:val="24"/>
          <w:lang w:val="sr-Cyrl-RS"/>
        </w:rPr>
        <w:t>састан</w:t>
      </w:r>
      <w:r w:rsidRPr="0081082A">
        <w:rPr>
          <w:rFonts w:ascii="Times New Roman" w:hAnsi="Times New Roman" w:cs="Times New Roman"/>
          <w:sz w:val="24"/>
          <w:szCs w:val="24"/>
          <w:lang w:val="sr-Cyrl-RS"/>
        </w:rPr>
        <w:t xml:space="preserve">цима Пододбора за економска и финансијска питања и статистику 2019. и 2020. године представници </w:t>
      </w:r>
      <w:r w:rsidR="007F054D" w:rsidRPr="0081082A">
        <w:rPr>
          <w:rFonts w:ascii="Times New Roman" w:hAnsi="Times New Roman" w:cs="Times New Roman"/>
          <w:sz w:val="24"/>
          <w:szCs w:val="24"/>
          <w:lang w:val="sr-Cyrl-RS"/>
        </w:rPr>
        <w:t>ЕК</w:t>
      </w:r>
      <w:r w:rsidRPr="0081082A">
        <w:rPr>
          <w:rFonts w:ascii="Times New Roman" w:hAnsi="Times New Roman" w:cs="Times New Roman"/>
          <w:sz w:val="24"/>
          <w:szCs w:val="24"/>
          <w:lang w:val="sr-Cyrl-RS"/>
        </w:rPr>
        <w:t xml:space="preserve"> су потврдили да су задовољни нивоом успостављене сарадње по питању заштите финансијских интереса ЕУ, а за коју је одговоран АФКОС.</w:t>
      </w:r>
    </w:p>
    <w:p w:rsidR="00F12C93" w:rsidRPr="0081082A" w:rsidRDefault="00F12C93" w:rsidP="00F12C93">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Поред јачања сарадње са другим институцијама, унапређен је законодавни оквир система за борбу против неправилности и превара у поступању са средствима ЕУ. У септембру 2019. године, министар финансија издао је Директиву о раду и начину</w:t>
      </w:r>
      <w:r w:rsidRPr="0081082A">
        <w:rPr>
          <w:lang w:val="sr-Cyrl-RS"/>
        </w:rPr>
        <w:t xml:space="preserve"> </w:t>
      </w:r>
      <w:r w:rsidRPr="0081082A">
        <w:rPr>
          <w:rFonts w:asciiTheme="majorBidi" w:hAnsiTheme="majorBidi" w:cstheme="majorBidi"/>
          <w:sz w:val="24"/>
          <w:szCs w:val="24"/>
          <w:lang w:val="sr-Cyrl-RS"/>
        </w:rPr>
        <w:t>поступања</w:t>
      </w:r>
      <w:r w:rsidRPr="0081082A">
        <w:rPr>
          <w:rFonts w:ascii="Times New Roman" w:hAnsi="Times New Roman" w:cs="Times New Roman"/>
          <w:sz w:val="24"/>
          <w:szCs w:val="24"/>
          <w:lang w:val="sr-Cyrl-RS"/>
        </w:rPr>
        <w:t xml:space="preserve"> Одељења за сузбијање неправилности и превара у поступању са финансијским средствима ЕУ поводом пријављених и на друге начине евидентираних неправилности и сумњи на превару у поступању са финансијским средствима ЕУ у </w:t>
      </w:r>
      <w:r w:rsidR="00534963" w:rsidRPr="0081082A">
        <w:rPr>
          <w:rFonts w:ascii="Times New Roman" w:hAnsi="Times New Roman" w:cs="Times New Roman"/>
          <w:bCs/>
          <w:sz w:val="24"/>
          <w:szCs w:val="24"/>
          <w:lang w:val="sr-Cyrl-RS"/>
        </w:rPr>
        <w:t>Републици Србији</w:t>
      </w:r>
      <w:r w:rsidRPr="0081082A">
        <w:rPr>
          <w:rFonts w:ascii="Times New Roman" w:hAnsi="Times New Roman" w:cs="Times New Roman"/>
          <w:sz w:val="24"/>
          <w:szCs w:val="24"/>
          <w:lang w:val="sr-Cyrl-RS"/>
        </w:rPr>
        <w:t xml:space="preserve">. Директива је издата у циљу јачања поменутог Одељења, а ради предузимања административних провера пријављених неправилности у поступању са финансијским средствима ЕУ. Поред овог, АФКОС је, такође, у области управљања ризицима од неправилности и превара, израдио Методолошко упутство за управљање ризицима у вези са појавом неправилности и превара у поступању са финансијским </w:t>
      </w:r>
      <w:r w:rsidRPr="0081082A">
        <w:rPr>
          <w:rFonts w:ascii="Times New Roman" w:hAnsi="Times New Roman" w:cs="Times New Roman"/>
          <w:sz w:val="24"/>
          <w:szCs w:val="24"/>
          <w:lang w:val="sr-Cyrl-RS"/>
        </w:rPr>
        <w:lastRenderedPageBreak/>
        <w:t>средствима ЕУ (у даљем тексту: Методолошко упутство), укључујући и пратеће анексе</w:t>
      </w:r>
      <w:r w:rsidRPr="0081082A">
        <w:rPr>
          <w:rStyle w:val="FootnoteReference"/>
          <w:rFonts w:ascii="Times New Roman" w:hAnsi="Times New Roman" w:cs="Times New Roman"/>
          <w:sz w:val="24"/>
          <w:szCs w:val="24"/>
          <w:lang w:val="sr-Cyrl-RS"/>
        </w:rPr>
        <w:footnoteReference w:id="78"/>
      </w:r>
      <w:r w:rsidRPr="0081082A">
        <w:rPr>
          <w:rFonts w:ascii="Times New Roman" w:hAnsi="Times New Roman" w:cs="Times New Roman"/>
          <w:sz w:val="24"/>
          <w:szCs w:val="24"/>
          <w:lang w:val="sr-Cyrl-RS"/>
        </w:rPr>
        <w:t xml:space="preserve"> , кој</w:t>
      </w:r>
      <w:r w:rsidR="00DE726E" w:rsidRPr="0081082A">
        <w:rPr>
          <w:rFonts w:ascii="Times New Roman" w:hAnsi="Times New Roman" w:cs="Times New Roman"/>
          <w:sz w:val="24"/>
          <w:szCs w:val="24"/>
          <w:lang w:val="sr-Cyrl-RS"/>
        </w:rPr>
        <w:t>е</w:t>
      </w:r>
      <w:r w:rsidRPr="0081082A">
        <w:rPr>
          <w:rFonts w:ascii="Times New Roman" w:hAnsi="Times New Roman" w:cs="Times New Roman"/>
          <w:sz w:val="24"/>
          <w:szCs w:val="24"/>
          <w:lang w:val="sr-Cyrl-RS"/>
        </w:rPr>
        <w:t xml:space="preserve"> је донет</w:t>
      </w:r>
      <w:r w:rsidR="00DE726E" w:rsidRPr="0081082A">
        <w:rPr>
          <w:rFonts w:ascii="Times New Roman" w:hAnsi="Times New Roman" w:cs="Times New Roman"/>
          <w:sz w:val="24"/>
          <w:szCs w:val="24"/>
          <w:lang w:val="sr-Cyrl-RS"/>
        </w:rPr>
        <w:t>о</w:t>
      </w:r>
      <w:r w:rsidRPr="0081082A">
        <w:rPr>
          <w:rFonts w:ascii="Times New Roman" w:hAnsi="Times New Roman" w:cs="Times New Roman"/>
          <w:sz w:val="24"/>
          <w:szCs w:val="24"/>
          <w:lang w:val="sr-Cyrl-RS"/>
        </w:rPr>
        <w:t xml:space="preserve"> од стране министра финансија 7. новембра 2019. године.</w:t>
      </w:r>
    </w:p>
    <w:p w:rsidR="00F12C93" w:rsidRPr="0081082A" w:rsidRDefault="00F12C93" w:rsidP="00F12C93">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 току 2020. године започет је поступак припреме за израду новог документа јавних политика - Стратегије за борбу против превара и управљање неправилностима у поступању са финансијским средствима Европске уније и Акционог плана за њено спровођење. </w:t>
      </w:r>
    </w:p>
    <w:p w:rsidR="00F12C93" w:rsidRPr="0081082A" w:rsidRDefault="00F12C93" w:rsidP="00F12C93">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 циљу спровођења </w:t>
      </w:r>
      <w:r w:rsidRPr="0081082A">
        <w:rPr>
          <w:rFonts w:ascii="Times New Roman" w:hAnsi="Times New Roman" w:cs="Times New Roman"/>
          <w:i/>
          <w:iCs/>
          <w:sz w:val="24"/>
          <w:szCs w:val="24"/>
          <w:lang w:val="sr-Cyrl-RS"/>
        </w:rPr>
        <w:t>ex-post</w:t>
      </w:r>
      <w:r w:rsidRPr="0081082A">
        <w:rPr>
          <w:rFonts w:ascii="Times New Roman" w:hAnsi="Times New Roman" w:cs="Times New Roman"/>
          <w:sz w:val="24"/>
          <w:szCs w:val="24"/>
          <w:lang w:val="sr-Cyrl-RS"/>
        </w:rPr>
        <w:t xml:space="preserve"> анализе ефеката, сачињен је упитник са упутством који је достављен члановима Мреже ради давања одговора на постављена питања. Упитник је подељен на четири области (релевантност/значај, ефективност, ефикасност и одрживост) и обухватао је питања која се односе на тренутно стање и спровођење активности из Стратегије. Услед ситуације проузроковане пандемијом</w:t>
      </w:r>
      <w:r w:rsidR="00DE726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доношење новог стратешког документа померено је за крај 2021. године.</w:t>
      </w:r>
    </w:p>
    <w:p w:rsidR="00F12C93" w:rsidRPr="0081082A" w:rsidRDefault="00F12C93" w:rsidP="00F12C93">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lang w:val="sr-Cyrl-RS"/>
        </w:rPr>
        <w:t xml:space="preserve">Унапређење одговарајућег механизма за повраћај непрописно утрошених средстава представља један од важних реформских циљева дефинисаних АФКОС Стратегијом, као и развој политике управљања ризицима у контексту превенције неправилности и превара у поступању са финансијским средствима ЕУ. </w:t>
      </w:r>
      <w:r w:rsidRPr="0081082A">
        <w:rPr>
          <w:rFonts w:ascii="Times New Roman" w:hAnsi="Times New Roman" w:cs="Times New Roman"/>
          <w:sz w:val="24"/>
          <w:szCs w:val="24"/>
          <w:lang w:val="sr-Cyrl-RS"/>
        </w:rPr>
        <w:t>Циљ је да се унапреди законодавни и процедурални оквир који омогућава да се поступци повраћаја средстава врше благовремено и ефикасно, те да запослени у систему имају високо изграђене капацитете и специфична знања за спровођење и надзор над процедурама за неправилности и повраћај средстава у складу са својим пословима и надлежностима.</w:t>
      </w:r>
    </w:p>
    <w:p w:rsidR="00F12C93" w:rsidRPr="0081082A" w:rsidRDefault="00F12C93" w:rsidP="00F12C93">
      <w:pPr>
        <w:spacing w:after="0" w:line="240" w:lineRule="auto"/>
        <w:ind w:firstLine="706"/>
        <w:jc w:val="both"/>
        <w:rPr>
          <w:rFonts w:ascii="Times New Roman" w:hAnsi="Times New Roman"/>
          <w:sz w:val="24"/>
          <w:lang w:val="sr-Cyrl-RS"/>
        </w:rPr>
      </w:pPr>
      <w:r w:rsidRPr="0081082A">
        <w:rPr>
          <w:rFonts w:ascii="Times New Roman" w:hAnsi="Times New Roman" w:cs="Times New Roman"/>
          <w:sz w:val="24"/>
          <w:szCs w:val="24"/>
          <w:lang w:val="sr-Cyrl-RS"/>
        </w:rPr>
        <w:t xml:space="preserve"> </w:t>
      </w:r>
      <w:r w:rsidRPr="0081082A">
        <w:rPr>
          <w:rFonts w:ascii="Times New Roman" w:hAnsi="Times New Roman" w:cs="Times New Roman"/>
          <w:sz w:val="24"/>
          <w:lang w:val="sr-Cyrl-RS"/>
        </w:rPr>
        <w:t>Примарну улогу за израду механизма за повраћај средстава и унапређење капацитета у протеклом периоду имали су Сектор за управљање средствима ЕУ Министарства финансија, док АФКОС има ко</w:t>
      </w:r>
      <w:r w:rsidR="00015112">
        <w:rPr>
          <w:rFonts w:ascii="Times New Roman" w:hAnsi="Times New Roman" w:cs="Times New Roman"/>
          <w:sz w:val="24"/>
          <w:lang w:val="sr-Cyrl-RS"/>
        </w:rPr>
        <w:t>о</w:t>
      </w:r>
      <w:r w:rsidRPr="0081082A">
        <w:rPr>
          <w:rFonts w:ascii="Times New Roman" w:hAnsi="Times New Roman" w:cs="Times New Roman"/>
          <w:sz w:val="24"/>
          <w:lang w:val="sr-Cyrl-RS"/>
        </w:rPr>
        <w:t>рдинативну улогу. Најпре је предвиђена одговорност НАО-а за повраћај средстава</w:t>
      </w:r>
      <w:r w:rsidRPr="0081082A">
        <w:rPr>
          <w:rStyle w:val="FootnoteReference"/>
          <w:rFonts w:ascii="Times New Roman" w:hAnsi="Times New Roman" w:cs="Times New Roman"/>
          <w:sz w:val="24"/>
          <w:lang w:val="sr-Cyrl-RS"/>
        </w:rPr>
        <w:footnoteReference w:id="79"/>
      </w:r>
      <w:r w:rsidRPr="0081082A">
        <w:rPr>
          <w:rFonts w:ascii="Times New Roman" w:hAnsi="Times New Roman" w:cs="Times New Roman"/>
          <w:sz w:val="24"/>
          <w:lang w:val="sr-Cyrl-RS"/>
        </w:rPr>
        <w:t>, с обзиром на то да НАО</w:t>
      </w:r>
      <w:r w:rsidRPr="0081082A">
        <w:rPr>
          <w:rFonts w:ascii="Times New Roman" w:hAnsi="Times New Roman" w:cs="Times New Roman"/>
          <w:sz w:val="24"/>
          <w:szCs w:val="24"/>
          <w:lang w:val="sr-Cyrl-RS"/>
        </w:rPr>
        <w:t xml:space="preserve"> сноси укупну одговорност за финансијско управљање ИПА помоћи у </w:t>
      </w:r>
      <w:r w:rsidR="00534963" w:rsidRPr="0081082A">
        <w:rPr>
          <w:rFonts w:ascii="Times New Roman" w:hAnsi="Times New Roman" w:cs="Times New Roman"/>
          <w:bCs/>
          <w:sz w:val="24"/>
          <w:szCs w:val="24"/>
          <w:lang w:val="sr-Cyrl-RS"/>
        </w:rPr>
        <w:t>Републици Србији</w:t>
      </w:r>
      <w:r w:rsidRPr="0081082A">
        <w:rPr>
          <w:rFonts w:ascii="Times New Roman" w:hAnsi="Times New Roman" w:cs="Times New Roman"/>
          <w:sz w:val="24"/>
          <w:szCs w:val="24"/>
          <w:lang w:val="sr-Cyrl-RS"/>
        </w:rPr>
        <w:t xml:space="preserve"> и за осигурање законитости и правилности расхода</w:t>
      </w:r>
      <w:r w:rsidRPr="0081082A">
        <w:rPr>
          <w:rStyle w:val="FootnoteReference"/>
          <w:rFonts w:ascii="Times New Roman" w:hAnsi="Times New Roman" w:cs="Times New Roman"/>
          <w:sz w:val="24"/>
          <w:lang w:val="sr-Cyrl-RS"/>
        </w:rPr>
        <w:footnoteReference w:id="80"/>
      </w:r>
      <w:r w:rsidRPr="0081082A">
        <w:rPr>
          <w:rFonts w:ascii="Times New Roman" w:hAnsi="Times New Roman" w:cs="Times New Roman"/>
          <w:sz w:val="24"/>
          <w:lang w:val="sr-Cyrl-RS"/>
        </w:rPr>
        <w:t>. Затим су, т</w:t>
      </w:r>
      <w:r w:rsidRPr="0081082A">
        <w:rPr>
          <w:rFonts w:ascii="Times New Roman" w:hAnsi="Times New Roman" w:cs="Times New Roman"/>
          <w:sz w:val="24"/>
          <w:szCs w:val="24"/>
          <w:lang w:val="sr-Cyrl-RS"/>
        </w:rPr>
        <w:t>оком 2019. године, ажуриране Уредба о управљању програм</w:t>
      </w:r>
      <w:r w:rsidR="00DE726E" w:rsidRPr="0081082A">
        <w:rPr>
          <w:rFonts w:ascii="Times New Roman" w:hAnsi="Times New Roman" w:cs="Times New Roman"/>
          <w:sz w:val="24"/>
          <w:szCs w:val="24"/>
          <w:lang w:val="sr-Cyrl-RS"/>
        </w:rPr>
        <w:t>има</w:t>
      </w:r>
      <w:r w:rsidRPr="0081082A">
        <w:rPr>
          <w:rFonts w:ascii="Times New Roman" w:hAnsi="Times New Roman" w:cs="Times New Roman"/>
          <w:sz w:val="24"/>
          <w:szCs w:val="24"/>
          <w:lang w:val="sr-Cyrl-RS"/>
        </w:rPr>
        <w:t xml:space="preserve"> претприступне помоћи ЕУ у оквиру ИПА I – Помоћ у транзицији и изградња институција за период 2007–2013. године и Уредба о управљању програмима претприступне помоћи ЕУ у оквиру ИПА II – 2014</w:t>
      </w:r>
      <w:r w:rsidR="00DE726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2020.</w:t>
      </w:r>
    </w:p>
    <w:p w:rsidR="00CD4772" w:rsidRPr="0081082A" w:rsidRDefault="00CD4772" w:rsidP="00830DA2">
      <w:pPr>
        <w:spacing w:after="0" w:line="240" w:lineRule="auto"/>
        <w:ind w:firstLine="706"/>
        <w:jc w:val="both"/>
        <w:rPr>
          <w:rFonts w:asciiTheme="majorBidi" w:hAnsiTheme="majorBidi"/>
          <w:sz w:val="24"/>
          <w:lang w:val="sr-Cyrl-RS"/>
        </w:rPr>
      </w:pPr>
      <w:r w:rsidRPr="0081082A">
        <w:rPr>
          <w:rFonts w:asciiTheme="majorBidi" w:hAnsiTheme="majorBidi"/>
          <w:sz w:val="24"/>
          <w:lang w:val="sr-Cyrl-RS"/>
        </w:rPr>
        <w:t xml:space="preserve">Одговарајућа </w:t>
      </w:r>
      <w:r w:rsidRPr="0081082A">
        <w:rPr>
          <w:rFonts w:asciiTheme="majorBidi" w:hAnsiTheme="majorBidi"/>
          <w:i/>
          <w:sz w:val="24"/>
          <w:lang w:val="sr-Cyrl-RS"/>
        </w:rPr>
        <w:t>ex-post</w:t>
      </w:r>
      <w:r w:rsidRPr="0081082A">
        <w:rPr>
          <w:rFonts w:asciiTheme="majorBidi" w:hAnsiTheme="majorBidi"/>
          <w:sz w:val="24"/>
          <w:lang w:val="sr-Cyrl-RS"/>
        </w:rPr>
        <w:t xml:space="preserve"> контрола трошења финансијских средстава </w:t>
      </w:r>
      <w:r w:rsidR="00534963" w:rsidRPr="0081082A">
        <w:rPr>
          <w:rFonts w:ascii="Times New Roman" w:hAnsi="Times New Roman" w:cs="Times New Roman"/>
          <w:bCs/>
          <w:sz w:val="24"/>
          <w:szCs w:val="24"/>
          <w:lang w:val="sr-Cyrl-RS"/>
        </w:rPr>
        <w:t>Републике Србије</w:t>
      </w:r>
      <w:r w:rsidRPr="0081082A">
        <w:rPr>
          <w:rFonts w:asciiTheme="majorBidi" w:hAnsiTheme="majorBidi"/>
          <w:sz w:val="24"/>
          <w:lang w:val="sr-Cyrl-RS"/>
        </w:rPr>
        <w:t xml:space="preserve"> налази се у надлежности буџетске инспекције, која је у периоду пре усвајања ПРУЈФ 2016-2020 била у ограниченим кадровским и техничким ресурсима. У претходном периоду, буџетска инспекција је значајно унапредила своје административне капацитете и оквире деловања, како би успешније достигла ниво ефикасног система заштите буџетских средстава </w:t>
      </w:r>
      <w:r w:rsidR="00534963" w:rsidRPr="0081082A">
        <w:rPr>
          <w:rFonts w:ascii="Times New Roman" w:hAnsi="Times New Roman" w:cs="Times New Roman"/>
          <w:bCs/>
          <w:sz w:val="24"/>
          <w:szCs w:val="24"/>
          <w:lang w:val="sr-Cyrl-RS"/>
        </w:rPr>
        <w:t>Републике Србије</w:t>
      </w:r>
      <w:r w:rsidRPr="0081082A">
        <w:rPr>
          <w:rFonts w:asciiTheme="majorBidi" w:hAnsiTheme="majorBidi"/>
          <w:sz w:val="24"/>
          <w:lang w:val="sr-Cyrl-RS"/>
        </w:rPr>
        <w:t>. Наиме, вертикална функционална анализа Министарства финансија коју је спровела Светска банка 2016. године, препознала је потребу да се обезбеди одговарајући ст</w:t>
      </w:r>
      <w:r w:rsidR="00D31E9B">
        <w:rPr>
          <w:rFonts w:asciiTheme="majorBidi" w:hAnsiTheme="majorBidi"/>
          <w:sz w:val="24"/>
          <w:lang w:val="sr-Cyrl-RS"/>
        </w:rPr>
        <w:t>р</w:t>
      </w:r>
      <w:r w:rsidRPr="0081082A">
        <w:rPr>
          <w:rFonts w:asciiTheme="majorBidi" w:hAnsiTheme="majorBidi"/>
          <w:sz w:val="24"/>
          <w:lang w:val="sr-Cyrl-RS"/>
        </w:rPr>
        <w:t xml:space="preserve">учни кадар који би требало да буде запослен у буџетској инспекцији. </w:t>
      </w:r>
    </w:p>
    <w:p w:rsidR="00CD4772" w:rsidRPr="0081082A" w:rsidRDefault="00CD4772" w:rsidP="00830DA2">
      <w:pPr>
        <w:spacing w:after="0" w:line="240" w:lineRule="auto"/>
        <w:ind w:firstLine="706"/>
        <w:jc w:val="both"/>
        <w:rPr>
          <w:rFonts w:asciiTheme="majorBidi" w:hAnsiTheme="majorBidi"/>
          <w:sz w:val="24"/>
          <w:lang w:val="sr-Cyrl-RS"/>
        </w:rPr>
      </w:pPr>
      <w:r w:rsidRPr="0081082A">
        <w:rPr>
          <w:rFonts w:asciiTheme="majorBidi" w:hAnsiTheme="majorBidi"/>
          <w:sz w:val="24"/>
          <w:lang w:val="sr-Cyrl-RS"/>
        </w:rPr>
        <w:t xml:space="preserve">На основу овог налаза, у децембру 2018. године, усвојен је нови Правилник о унутрашњем уређењу и систематизацији радних места у Министарству финансија, по </w:t>
      </w:r>
      <w:r w:rsidRPr="0081082A">
        <w:rPr>
          <w:rFonts w:asciiTheme="majorBidi" w:hAnsiTheme="majorBidi"/>
          <w:sz w:val="24"/>
          <w:lang w:val="sr-Cyrl-RS"/>
        </w:rPr>
        <w:lastRenderedPageBreak/>
        <w:t>коме је систематизовано 40 радних места у Сектору, у односу на 23 која су до тада постојала. Организациона структура је измењена када је Одељење за буџетску инспекцију, као саставни део Сектора за контролу јавних средстава, прерасло у посебан Сектор за буџетску инспекцију. Сектор сачињавају Одељење буџетске инспекције и Одељење за нормативне, студијско-аналитичке послове, процену и управљање ризицима, при чему је ова измена у структури допринела повећању функционалности и ефикасности буџетске инспекције. Такође, 2019. година је била значајна за јачање капацитета буџетске инспекције кроз развој Програма обука за буџетске инспекторе и спровођење ових обука.</w:t>
      </w:r>
      <w:r w:rsidRPr="0081082A">
        <w:rPr>
          <w:rFonts w:asciiTheme="majorBidi" w:hAnsiTheme="majorBidi"/>
          <w:sz w:val="24"/>
          <w:vertAlign w:val="superscript"/>
          <w:lang w:val="sr-Cyrl-RS"/>
        </w:rPr>
        <w:footnoteReference w:id="81"/>
      </w:r>
    </w:p>
    <w:p w:rsidR="00CD4772" w:rsidRPr="0081082A" w:rsidRDefault="00CD4772" w:rsidP="00830DA2">
      <w:pPr>
        <w:spacing w:after="0" w:line="240" w:lineRule="auto"/>
        <w:ind w:firstLine="706"/>
        <w:jc w:val="both"/>
        <w:rPr>
          <w:rFonts w:asciiTheme="majorBidi" w:hAnsiTheme="majorBidi"/>
          <w:sz w:val="24"/>
          <w:lang w:val="sr-Cyrl-RS"/>
        </w:rPr>
      </w:pPr>
      <w:r w:rsidRPr="0081082A">
        <w:rPr>
          <w:rFonts w:asciiTheme="majorBidi" w:hAnsiTheme="majorBidi"/>
          <w:sz w:val="24"/>
          <w:lang w:val="sr-Cyrl-RS"/>
        </w:rPr>
        <w:t>У периоду од 2017-2019. године, поред јачања капацитета буџетске инспекције у погледу људских ресурса, дошло је и до значајног унапређења законодавног оквира усвајањем подзаконских аката буџетске инспекције</w:t>
      </w:r>
      <w:r w:rsidRPr="0081082A">
        <w:rPr>
          <w:rFonts w:asciiTheme="majorBidi" w:hAnsiTheme="majorBidi"/>
          <w:sz w:val="24"/>
          <w:vertAlign w:val="superscript"/>
          <w:lang w:val="sr-Cyrl-RS"/>
        </w:rPr>
        <w:footnoteReference w:id="82"/>
      </w:r>
      <w:r w:rsidRPr="0081082A">
        <w:rPr>
          <w:rFonts w:asciiTheme="majorBidi" w:hAnsiTheme="majorBidi"/>
          <w:sz w:val="24"/>
          <w:lang w:val="sr-Cyrl-RS"/>
        </w:rPr>
        <w:t xml:space="preserve"> који су је функционално ојачали.  Коначно, 2019. године је  донета и Методологија рада буџетске инспекције у циљу правилног и уједначеног поступања и рада буџетске инспекције Министарства финансија, Службе за буџетску инспекцију аутономне покрајине и Службе за буџетску инспекцију ЈЛС.</w:t>
      </w:r>
    </w:p>
    <w:p w:rsidR="00CD4772" w:rsidRPr="0081082A" w:rsidRDefault="00CD4772" w:rsidP="00830DA2">
      <w:pPr>
        <w:spacing w:after="0" w:line="240" w:lineRule="auto"/>
        <w:ind w:firstLine="706"/>
        <w:jc w:val="both"/>
        <w:rPr>
          <w:rFonts w:asciiTheme="majorBidi" w:hAnsiTheme="majorBidi"/>
          <w:sz w:val="24"/>
          <w:lang w:val="sr-Cyrl-RS"/>
        </w:rPr>
      </w:pPr>
      <w:r w:rsidRPr="0081082A">
        <w:rPr>
          <w:rFonts w:asciiTheme="majorBidi" w:hAnsiTheme="majorBidi"/>
          <w:sz w:val="24"/>
          <w:lang w:val="sr-Cyrl-RS"/>
        </w:rPr>
        <w:t>Захваљујући бољем правном оквиру, ојачаним капацитетима и систематичнијем приступу у раду, у току 2019. године постигнут је значајан напредак у раду буџетске инспекције, у односу на број спроведених инспекцијских контрола у претходној години који се повећао са 15 на 43 контроле, односно у процентима, остварен је раст за 286%, или за 2,5 пута.</w:t>
      </w:r>
    </w:p>
    <w:p w:rsidR="00F12C93" w:rsidRPr="0081082A" w:rsidRDefault="00CD4772" w:rsidP="00830DA2">
      <w:pPr>
        <w:spacing w:after="0" w:line="240" w:lineRule="auto"/>
        <w:ind w:firstLine="706"/>
        <w:jc w:val="both"/>
        <w:rPr>
          <w:rFonts w:asciiTheme="majorBidi" w:hAnsiTheme="majorBidi"/>
          <w:sz w:val="24"/>
          <w:lang w:val="sr-Cyrl-RS"/>
        </w:rPr>
      </w:pPr>
      <w:r w:rsidRPr="0081082A">
        <w:rPr>
          <w:rFonts w:asciiTheme="majorBidi" w:hAnsiTheme="majorBidi"/>
          <w:sz w:val="24"/>
          <w:lang w:val="sr-Cyrl-RS"/>
        </w:rPr>
        <w:t xml:space="preserve">Због епидемиолошке ситуације, ограничених путовања и службених посета уведених због пандемије </w:t>
      </w:r>
      <w:r w:rsidR="009A0BC7" w:rsidRPr="0081082A">
        <w:rPr>
          <w:rFonts w:asciiTheme="majorBidi" w:hAnsiTheme="majorBidi"/>
          <w:sz w:val="24"/>
          <w:lang w:val="sr-Cyrl-RS"/>
        </w:rPr>
        <w:t xml:space="preserve"> болести </w:t>
      </w:r>
      <w:r w:rsidR="00AD40A4">
        <w:rPr>
          <w:rFonts w:asciiTheme="majorBidi" w:hAnsiTheme="majorBidi"/>
          <w:sz w:val="24"/>
          <w:lang w:val="sr-Cyrl-RS"/>
        </w:rPr>
        <w:t>Ковид</w:t>
      </w:r>
      <w:r w:rsidRPr="0081082A">
        <w:rPr>
          <w:rFonts w:asciiTheme="majorBidi" w:hAnsiTheme="majorBidi"/>
          <w:sz w:val="24"/>
          <w:lang w:val="sr-Cyrl-RS"/>
        </w:rPr>
        <w:t xml:space="preserve">-19, Програм рада за 2020. годину је  делимично извршен. Током 2020. године, буџетска инспекција је вршила инспекцијску контролу код 34 субјекта контроле, од чега је вршено 23 редовне и 11 ванредних контрола. Завршено је укупно 27 контрола, 22 редовне и 5 ванредних, а спровођење </w:t>
      </w:r>
      <w:r w:rsidR="00E51588" w:rsidRPr="0081082A">
        <w:rPr>
          <w:rFonts w:asciiTheme="majorBidi" w:hAnsiTheme="majorBidi"/>
          <w:sz w:val="24"/>
          <w:lang w:val="sr-Cyrl-RS"/>
        </w:rPr>
        <w:t>седам</w:t>
      </w:r>
      <w:r w:rsidRPr="0081082A">
        <w:rPr>
          <w:rFonts w:asciiTheme="majorBidi" w:hAnsiTheme="majorBidi"/>
          <w:sz w:val="24"/>
          <w:lang w:val="sr-Cyrl-RS"/>
        </w:rPr>
        <w:t xml:space="preserve"> контрола се наставља у 2021. години.  Поред овога, у току 2020. године, припремљен је нацрт Стратешког плана буџетске инспекције Министарства финансија за период 2021-2026. године, чије је усвајање услед епидемиолошке ситуације одложено за 2021. годину.</w:t>
      </w:r>
    </w:p>
    <w:p w:rsidR="00F12C93" w:rsidRPr="0081082A" w:rsidRDefault="00F12C93" w:rsidP="00F12C93">
      <w:pPr>
        <w:pStyle w:val="Heading2"/>
        <w:jc w:val="center"/>
        <w:rPr>
          <w:rFonts w:ascii="Times New Roman" w:hAnsi="Times New Roman"/>
          <w:sz w:val="24"/>
          <w:lang w:val="sr-Cyrl-RS"/>
        </w:rPr>
      </w:pPr>
      <w:bookmarkStart w:id="22" w:name="_Toc72488800"/>
      <w:r w:rsidRPr="0081082A">
        <w:rPr>
          <w:rFonts w:ascii="Times New Roman" w:hAnsi="Times New Roman"/>
          <w:sz w:val="24"/>
          <w:lang w:val="sr-Cyrl-RS"/>
        </w:rPr>
        <w:t>Планиране реформске мере у периоду 2021-2025</w:t>
      </w:r>
      <w:bookmarkEnd w:id="22"/>
    </w:p>
    <w:p w:rsidR="00F12C93" w:rsidRPr="0081082A" w:rsidRDefault="00F12C93" w:rsidP="00F12C93">
      <w:pPr>
        <w:spacing w:after="0" w:line="240" w:lineRule="auto"/>
        <w:jc w:val="both"/>
        <w:rPr>
          <w:rFonts w:ascii="Times New Roman" w:hAnsi="Times New Roman" w:cs="Times New Roman"/>
          <w:b/>
          <w:sz w:val="24"/>
          <w:szCs w:val="21"/>
          <w:u w:val="single"/>
          <w:lang w:val="sr-Cyrl-RS"/>
        </w:rPr>
      </w:pPr>
      <w:r w:rsidRPr="0081082A">
        <w:rPr>
          <w:rFonts w:ascii="Times New Roman" w:hAnsi="Times New Roman"/>
          <w:b/>
          <w:sz w:val="24"/>
          <w:u w:val="single"/>
          <w:lang w:val="sr-Cyrl-RS"/>
        </w:rPr>
        <w:t>Me</w:t>
      </w:r>
      <w:r w:rsidRPr="0081082A">
        <w:rPr>
          <w:rFonts w:ascii="Times New Roman" w:hAnsi="Times New Roman" w:cs="Times New Roman"/>
          <w:b/>
          <w:sz w:val="24"/>
          <w:szCs w:val="21"/>
          <w:u w:val="single"/>
          <w:lang w:val="sr-Cyrl-RS"/>
        </w:rPr>
        <w:t xml:space="preserve">ра 3.1 </w:t>
      </w:r>
      <w:r w:rsidRPr="0081082A">
        <w:rPr>
          <w:rFonts w:ascii="Times New Roman" w:hAnsi="Times New Roman"/>
          <w:b/>
          <w:sz w:val="24"/>
          <w:u w:val="single"/>
          <w:lang w:val="sr-Cyrl-RS"/>
        </w:rPr>
        <w:t xml:space="preserve">- </w:t>
      </w:r>
      <w:r w:rsidRPr="0081082A">
        <w:rPr>
          <w:rFonts w:ascii="Times New Roman" w:hAnsi="Times New Roman" w:cs="Times New Roman"/>
          <w:b/>
          <w:sz w:val="24"/>
          <w:szCs w:val="21"/>
          <w:u w:val="single"/>
          <w:lang w:val="sr-Cyrl-RS"/>
        </w:rPr>
        <w:t xml:space="preserve">Формирање базе за јачање институционалних и административних капацитета Канцеларије за ревизију система управљања средствима ЕУ који омогућују делотворну ревизију система контроле ЕУ </w:t>
      </w:r>
    </w:p>
    <w:p w:rsidR="00F12C93" w:rsidRPr="0081082A" w:rsidRDefault="00F12C93" w:rsidP="00F12C93">
      <w:pPr>
        <w:spacing w:after="0" w:line="240" w:lineRule="auto"/>
        <w:ind w:firstLine="708"/>
        <w:jc w:val="both"/>
        <w:rPr>
          <w:rFonts w:ascii="Times New Roman" w:hAnsi="Times New Roman" w:cs="Times New Roman"/>
          <w:sz w:val="24"/>
          <w:szCs w:val="21"/>
          <w:lang w:val="sr-Cyrl-RS"/>
        </w:rPr>
      </w:pPr>
      <w:r w:rsidRPr="0081082A">
        <w:rPr>
          <w:rFonts w:ascii="Times New Roman" w:hAnsi="Times New Roman" w:cs="Times New Roman"/>
          <w:sz w:val="24"/>
          <w:szCs w:val="21"/>
          <w:lang w:val="sr-Cyrl-RS"/>
        </w:rPr>
        <w:lastRenderedPageBreak/>
        <w:t xml:space="preserve">Канцеларија за ревизију система управљања средствима ЕУ је формирана Уредбом о оснивању Ревизорског тела, међутим у складу са препорукама </w:t>
      </w:r>
      <w:r w:rsidR="007F054D" w:rsidRPr="0081082A">
        <w:rPr>
          <w:rFonts w:ascii="Times New Roman" w:hAnsi="Times New Roman" w:cs="Times New Roman"/>
          <w:sz w:val="24"/>
          <w:szCs w:val="21"/>
          <w:lang w:val="sr-Cyrl-RS"/>
        </w:rPr>
        <w:t>ЕК</w:t>
      </w:r>
      <w:r w:rsidRPr="0081082A">
        <w:rPr>
          <w:rFonts w:ascii="Times New Roman" w:hAnsi="Times New Roman" w:cs="Times New Roman"/>
          <w:sz w:val="24"/>
          <w:szCs w:val="21"/>
          <w:lang w:val="sr-Cyrl-RS"/>
        </w:rPr>
        <w:t>, неопходно је донети виши правни акт Владе о њеном оснивању, ради њеног ефикаснијег рада. Реинституционализација би подразумевала и додатно јачање административних капацитета Канцеларије, како би пружила релевантне препоруке за ИПА структуру за побољшање децентрализованог (индиректног) управљања претприступним фондовима ЕУ. Процес је започет у другом кварталу 2019. године усвајањем новог Правилника о систематизацији радних места</w:t>
      </w:r>
      <w:r w:rsidRPr="0081082A">
        <w:rPr>
          <w:rStyle w:val="FootnoteReference"/>
          <w:rFonts w:ascii="Times New Roman" w:hAnsi="Times New Roman" w:cs="Times New Roman"/>
          <w:sz w:val="24"/>
          <w:szCs w:val="21"/>
          <w:lang w:val="sr-Cyrl-RS"/>
        </w:rPr>
        <w:footnoteReference w:id="83"/>
      </w:r>
      <w:r w:rsidRPr="0081082A">
        <w:rPr>
          <w:rFonts w:ascii="Times New Roman" w:hAnsi="Times New Roman" w:cs="Times New Roman"/>
          <w:sz w:val="24"/>
          <w:szCs w:val="21"/>
          <w:lang w:val="sr-Cyrl-RS"/>
        </w:rPr>
        <w:t>. Следеће планиране активности, укључујући и оне везане за усвајање новог законског оквира - у складу су са Акционим планом за испуњавање захтева у области кохезионе политике ЕУ - Поглавље 22 - Регионална политика и координација структурних инструмената</w:t>
      </w:r>
      <w:r w:rsidRPr="0081082A">
        <w:rPr>
          <w:rStyle w:val="FootnoteReference"/>
          <w:rFonts w:ascii="Times New Roman" w:hAnsi="Times New Roman" w:cs="Times New Roman"/>
          <w:sz w:val="24"/>
          <w:szCs w:val="21"/>
          <w:lang w:val="sr-Cyrl-RS"/>
        </w:rPr>
        <w:footnoteReference w:id="84"/>
      </w:r>
      <w:r w:rsidRPr="0081082A">
        <w:rPr>
          <w:rFonts w:ascii="Times New Roman" w:hAnsi="Times New Roman" w:cs="Times New Roman"/>
          <w:sz w:val="24"/>
          <w:szCs w:val="21"/>
          <w:lang w:val="sr-Cyrl-RS"/>
        </w:rPr>
        <w:t xml:space="preserve"> и Акционим планом за преузимање, усвајање и примену европских правних тековина у области пољопривреде и руралног развоја у оквиру претприступних преговора</w:t>
      </w:r>
      <w:r w:rsidRPr="0081082A">
        <w:rPr>
          <w:rStyle w:val="FootnoteReference"/>
          <w:rFonts w:ascii="Times New Roman" w:hAnsi="Times New Roman" w:cs="Times New Roman"/>
          <w:sz w:val="24"/>
          <w:szCs w:val="21"/>
          <w:lang w:val="sr-Cyrl-RS"/>
        </w:rPr>
        <w:footnoteReference w:id="85"/>
      </w:r>
      <w:r w:rsidRPr="0081082A">
        <w:rPr>
          <w:rFonts w:ascii="Times New Roman" w:hAnsi="Times New Roman" w:cs="Times New Roman"/>
          <w:sz w:val="24"/>
          <w:szCs w:val="21"/>
          <w:lang w:val="sr-Cyrl-RS"/>
        </w:rPr>
        <w:t>.</w:t>
      </w:r>
    </w:p>
    <w:p w:rsidR="00F12C93" w:rsidRPr="0081082A" w:rsidRDefault="00F12C93" w:rsidP="00F12C93">
      <w:pPr>
        <w:spacing w:after="0" w:line="240" w:lineRule="auto"/>
        <w:ind w:firstLine="708"/>
        <w:jc w:val="both"/>
        <w:rPr>
          <w:rFonts w:ascii="Times New Roman" w:hAnsi="Times New Roman" w:cs="Times New Roman"/>
          <w:sz w:val="24"/>
          <w:szCs w:val="21"/>
          <w:lang w:val="sr-Cyrl-RS"/>
        </w:rPr>
      </w:pPr>
      <w:r w:rsidRPr="0081082A">
        <w:rPr>
          <w:rFonts w:ascii="Times New Roman" w:hAnsi="Times New Roman" w:cs="Times New Roman"/>
          <w:sz w:val="24"/>
          <w:szCs w:val="21"/>
          <w:lang w:val="sr-Cyrl-RS"/>
        </w:rPr>
        <w:t>Поред успостављања новог законског оквира и реинституционализације, Канцеларија ће остати посвећена јачању својих административних капацитета, кроз ст</w:t>
      </w:r>
      <w:r w:rsidR="00DA7E6C">
        <w:rPr>
          <w:rFonts w:ascii="Times New Roman" w:hAnsi="Times New Roman" w:cs="Times New Roman"/>
          <w:sz w:val="24"/>
          <w:szCs w:val="21"/>
          <w:lang w:val="sr-Cyrl-RS"/>
        </w:rPr>
        <w:t>р</w:t>
      </w:r>
      <w:r w:rsidRPr="0081082A">
        <w:rPr>
          <w:rFonts w:ascii="Times New Roman" w:hAnsi="Times New Roman" w:cs="Times New Roman"/>
          <w:sz w:val="24"/>
          <w:szCs w:val="21"/>
          <w:lang w:val="sr-Cyrl-RS"/>
        </w:rPr>
        <w:t xml:space="preserve">учно усавршавање постојећег кадра у складу са важећом аналитичком проценом радних места, у оквиру средстава обезбеђених у буџету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sz w:val="24"/>
          <w:szCs w:val="21"/>
          <w:lang w:val="sr-Cyrl-RS"/>
        </w:rPr>
        <w:t>. Интензивна планирана обука и сертификација новозапослених биће спроведена у складу са планом обука које ће спроводити НАЈУ. Поред овога, планирано је континуирано јачање капацитета запошљавањем нових кадрова како би се ојачала ефикасност и делотворност ревизије система управљања средствима ЕУ у складу са законодавним оквиром ЕУ. Поред запошљавања нових кадрова и њихово</w:t>
      </w:r>
      <w:r w:rsidR="00F62A50" w:rsidRPr="0081082A">
        <w:rPr>
          <w:rFonts w:ascii="Times New Roman" w:hAnsi="Times New Roman" w:cs="Times New Roman"/>
          <w:sz w:val="24"/>
          <w:szCs w:val="21"/>
          <w:lang w:val="sr-Cyrl-RS"/>
        </w:rPr>
        <w:t>г</w:t>
      </w:r>
      <w:r w:rsidRPr="0081082A">
        <w:rPr>
          <w:rFonts w:ascii="Times New Roman" w:hAnsi="Times New Roman" w:cs="Times New Roman"/>
          <w:sz w:val="24"/>
          <w:szCs w:val="21"/>
          <w:lang w:val="sr-Cyrl-RS"/>
        </w:rPr>
        <w:t xml:space="preserve"> континуираног обучавања, предвиђено унапређење организационе структуре Канцеларије допринеће ефикаснијем управљању кохезионом политиком и испуњењу обавеза кој</w:t>
      </w:r>
      <w:r w:rsidR="00F62A50" w:rsidRPr="0081082A">
        <w:rPr>
          <w:rFonts w:ascii="Times New Roman" w:hAnsi="Times New Roman" w:cs="Times New Roman"/>
          <w:sz w:val="24"/>
          <w:szCs w:val="21"/>
          <w:lang w:val="sr-Cyrl-RS"/>
        </w:rPr>
        <w:t>е</w:t>
      </w:r>
      <w:r w:rsidRPr="0081082A">
        <w:rPr>
          <w:rFonts w:ascii="Times New Roman" w:hAnsi="Times New Roman" w:cs="Times New Roman"/>
          <w:sz w:val="24"/>
          <w:szCs w:val="21"/>
          <w:lang w:val="sr-Cyrl-RS"/>
        </w:rPr>
        <w:t xml:space="preserve"> произилазе из захтева за поглавље 22. </w:t>
      </w:r>
    </w:p>
    <w:p w:rsidR="00F12C93" w:rsidRPr="0081082A" w:rsidRDefault="00F12C93" w:rsidP="00F12C93">
      <w:pPr>
        <w:spacing w:after="0" w:line="240" w:lineRule="auto"/>
        <w:jc w:val="both"/>
        <w:rPr>
          <w:rFonts w:ascii="Times New Roman" w:hAnsi="Times New Roman" w:cs="Times New Roman"/>
          <w:b/>
          <w:sz w:val="24"/>
          <w:szCs w:val="21"/>
          <w:u w:val="single"/>
          <w:lang w:val="sr-Cyrl-RS"/>
        </w:rPr>
      </w:pPr>
      <w:r w:rsidRPr="0081082A">
        <w:rPr>
          <w:rFonts w:ascii="Times New Roman" w:hAnsi="Times New Roman" w:cs="Times New Roman"/>
          <w:b/>
          <w:sz w:val="24"/>
          <w:szCs w:val="21"/>
          <w:u w:val="single"/>
          <w:lang w:val="sr-Cyrl-RS"/>
        </w:rPr>
        <w:t xml:space="preserve">Мера 3.2 - Јачање система за ефикасније и делотворније управљање средствима ЕУ </w:t>
      </w:r>
    </w:p>
    <w:p w:rsidR="00F12C93" w:rsidRPr="0081082A" w:rsidRDefault="00F12C93" w:rsidP="00F12C93">
      <w:pPr>
        <w:spacing w:after="0" w:line="240" w:lineRule="auto"/>
        <w:ind w:firstLine="708"/>
        <w:jc w:val="both"/>
        <w:rPr>
          <w:rFonts w:ascii="Times New Roman" w:hAnsi="Times New Roman"/>
          <w:sz w:val="24"/>
          <w:lang w:val="sr-Cyrl-RS"/>
        </w:rPr>
      </w:pPr>
      <w:r w:rsidRPr="0081082A">
        <w:rPr>
          <w:rFonts w:ascii="Times New Roman" w:hAnsi="Times New Roman" w:cs="Times New Roman"/>
          <w:sz w:val="24"/>
          <w:szCs w:val="21"/>
          <w:lang w:val="sr-Cyrl-RS"/>
        </w:rPr>
        <w:t>Извештај Европске комисије о Србији за 2020. годину указује на потребу за даљим јачањем административних капацитета у кључним институцијама за управљање средствима ЕУ.</w:t>
      </w:r>
      <w:r w:rsidR="00F62A50" w:rsidRPr="0081082A">
        <w:rPr>
          <w:rFonts w:ascii="Times New Roman" w:hAnsi="Times New Roman" w:cs="Times New Roman"/>
          <w:sz w:val="24"/>
          <w:szCs w:val="21"/>
          <w:lang w:val="sr-Cyrl-RS"/>
        </w:rPr>
        <w:t xml:space="preserve"> </w:t>
      </w:r>
      <w:r w:rsidRPr="0081082A">
        <w:rPr>
          <w:rFonts w:ascii="Times New Roman" w:hAnsi="Times New Roman" w:cs="Times New Roman"/>
          <w:sz w:val="24"/>
          <w:szCs w:val="21"/>
          <w:lang w:val="sr-Cyrl-RS"/>
        </w:rPr>
        <w:t xml:space="preserve">Јачање система за ефикасније управљање средствима ЕУ је један од приоритета Министарства финансија у наредном петогодишњем периоду. Процес јачања система започео је 2019. године када је усвојеним Правилником о систематизацији радних места у оквиру Сектора за управљање средствима ЕУ и Сектора за уговарање и финансирање програма из средстава ЕУ унапређена организациона структура. Такође, усвајањем нових Процедура за спровођење средстава у децентрализованом систему управљања из јула 2019. године, започет је процес унапређења целокупног система успостављањем најбоље праксе и одговарањем на налазе Канцеларије за ревизију система и ревизора ЕК. У наредном периоду, јачање система управљања средствима ЕУ биће усмерено кроз припрему свеобухватне политике за задржавање кадрова у оквиру ИПА структуре, у складу са мерама које буду донете на националном нивоу за органе државне управе и службе Владе, у којима се у складу са њиховим делокругом обављају послови државне управе који се односе на управљање средствима претприступне помоћи ЕУ. Израдом унапређених процедура </w:t>
      </w:r>
      <w:r w:rsidRPr="0081082A">
        <w:rPr>
          <w:rFonts w:ascii="Times New Roman" w:hAnsi="Times New Roman" w:cs="Times New Roman"/>
          <w:sz w:val="24"/>
          <w:szCs w:val="21"/>
          <w:lang w:val="sr-Cyrl-RS"/>
        </w:rPr>
        <w:lastRenderedPageBreak/>
        <w:t xml:space="preserve">поступања, методолошких смерница и других помоћних алата за институције надлежне за спровођење средстава ЕУ до краја 2021. године, повећаће се ефикасност извршених теренских контрола и смањити административно оптерећење структура за управљање ЕУ фондовима при спровођењу обавезних контрола у складу са годишњим планом. Упапређење процедура базирано је на усвојеним налазима ревизора и лекцијама наученим из досадашње радне праксе. Уз то, у наредном периоду биће уложени напори у јачање административних капацитета и осигурања одговарајућег броја службеника за побољшање квалитета контрола на лицу места код корисника јавних средстава. Повећање ефикасности и броја контрола на лицу места ће, са једне стране, смањити ризик од појава неправилности и превара код корисника јавних средстава, а са друге ојачати систем децентрализованог управљања. </w:t>
      </w:r>
    </w:p>
    <w:p w:rsidR="00F12C93" w:rsidRPr="0081082A" w:rsidRDefault="00F12C93" w:rsidP="00F12C93">
      <w:pPr>
        <w:spacing w:after="0" w:line="240" w:lineRule="auto"/>
        <w:ind w:firstLine="708"/>
        <w:jc w:val="both"/>
        <w:rPr>
          <w:rFonts w:ascii="Times New Roman" w:hAnsi="Times New Roman" w:cs="Times New Roman"/>
          <w:sz w:val="24"/>
          <w:szCs w:val="21"/>
          <w:lang w:val="sr-Cyrl-RS"/>
        </w:rPr>
      </w:pPr>
      <w:r w:rsidRPr="0081082A">
        <w:rPr>
          <w:rFonts w:ascii="Times New Roman" w:hAnsi="Times New Roman" w:cs="Times New Roman"/>
          <w:sz w:val="24"/>
          <w:szCs w:val="21"/>
          <w:lang w:val="sr-Cyrl-RS"/>
        </w:rPr>
        <w:t xml:space="preserve">Поред израде нових аката, </w:t>
      </w:r>
      <w:r w:rsidRPr="0081082A">
        <w:rPr>
          <w:rFonts w:ascii="Times New Roman" w:hAnsi="Times New Roman" w:cs="Times New Roman"/>
          <w:i/>
          <w:iCs/>
          <w:sz w:val="24"/>
          <w:szCs w:val="21"/>
          <w:lang w:val="sr-Cyrl-RS"/>
        </w:rPr>
        <w:t>PEFA</w:t>
      </w:r>
      <w:r w:rsidRPr="0081082A">
        <w:rPr>
          <w:rFonts w:ascii="Times New Roman" w:hAnsi="Times New Roman" w:cs="Times New Roman"/>
          <w:sz w:val="24"/>
          <w:szCs w:val="21"/>
          <w:lang w:val="sr-Cyrl-RS"/>
        </w:rPr>
        <w:t xml:space="preserve"> процена за </w:t>
      </w:r>
      <w:r w:rsidR="00534963" w:rsidRPr="0081082A">
        <w:rPr>
          <w:rFonts w:ascii="Times New Roman" w:hAnsi="Times New Roman" w:cs="Times New Roman"/>
          <w:bCs/>
          <w:sz w:val="24"/>
          <w:szCs w:val="24"/>
          <w:lang w:val="sr-Cyrl-RS"/>
        </w:rPr>
        <w:t>Републику Србију</w:t>
      </w:r>
      <w:r w:rsidRPr="0081082A">
        <w:rPr>
          <w:rFonts w:ascii="Times New Roman" w:hAnsi="Times New Roman" w:cs="Times New Roman"/>
          <w:sz w:val="24"/>
          <w:szCs w:val="21"/>
          <w:lang w:val="sr-Cyrl-RS"/>
        </w:rPr>
        <w:t xml:space="preserve"> наводи да је неопходно утврдити јасне дефиниције управљања ризицима и неправилностима како би их корисници ИПА средстава јасно разумели и поступали по њима у циљу превенције неправилности и превара у поступању са средствима ЕУ. У складу са тим, Сектор за управљање средствима ЕУ ће заједно са Сектором за уговарање и финансирање програма из средстава ЕУ радити на успостављању и спровођењу континуираних обука и менторства везаних за управљање и надзор система, финансијског управљања и контролу коришћења средстава ЕУ, управљање ризицима и неправилностима коришћења средстава ЕУ до краја 2023. године. Ова активност надоградиће се на праксу успостављену 2019. године кроз одржавање редовних састанака Мреже за неправилности, који су резултирали унапр</w:t>
      </w:r>
      <w:r w:rsidR="00916D57">
        <w:rPr>
          <w:rFonts w:ascii="Times New Roman" w:hAnsi="Times New Roman" w:cs="Times New Roman"/>
          <w:sz w:val="24"/>
          <w:szCs w:val="21"/>
          <w:lang w:val="sr-Cyrl-RS"/>
        </w:rPr>
        <w:t>е</w:t>
      </w:r>
      <w:r w:rsidRPr="0081082A">
        <w:rPr>
          <w:rFonts w:ascii="Times New Roman" w:hAnsi="Times New Roman" w:cs="Times New Roman"/>
          <w:sz w:val="24"/>
          <w:szCs w:val="21"/>
          <w:lang w:val="sr-Cyrl-RS"/>
        </w:rPr>
        <w:t>ђењ</w:t>
      </w:r>
      <w:r w:rsidR="00F62A50" w:rsidRPr="0081082A">
        <w:rPr>
          <w:rFonts w:ascii="Times New Roman" w:hAnsi="Times New Roman" w:cs="Times New Roman"/>
          <w:sz w:val="24"/>
          <w:szCs w:val="21"/>
          <w:lang w:val="sr-Cyrl-RS"/>
        </w:rPr>
        <w:t>ем</w:t>
      </w:r>
      <w:r w:rsidRPr="0081082A">
        <w:rPr>
          <w:rFonts w:ascii="Times New Roman" w:hAnsi="Times New Roman" w:cs="Times New Roman"/>
          <w:sz w:val="24"/>
          <w:szCs w:val="21"/>
          <w:lang w:val="sr-Cyrl-RS"/>
        </w:rPr>
        <w:t xml:space="preserve"> свести о поступању са неправилностима, разменом искустава и бољим учешћем свих службеника за неправилности из </w:t>
      </w:r>
      <w:r w:rsidRPr="0081082A">
        <w:rPr>
          <w:rFonts w:ascii="Times New Roman" w:hAnsi="Times New Roman"/>
          <w:sz w:val="24"/>
          <w:lang w:val="sr-Cyrl-RS"/>
        </w:rPr>
        <w:t xml:space="preserve"> релевантних</w:t>
      </w:r>
      <w:r w:rsidRPr="0081082A">
        <w:rPr>
          <w:rFonts w:ascii="Times New Roman" w:hAnsi="Times New Roman" w:cs="Times New Roman"/>
          <w:sz w:val="24"/>
          <w:szCs w:val="21"/>
          <w:lang w:val="sr-Cyrl-RS"/>
        </w:rPr>
        <w:t xml:space="preserve"> институција ИПА структуре. Континуиране обуке на тему ризика и неправилности допринеће бољем разумевању концепта неправилности, повећању капацитета службеника за управљање неправилн</w:t>
      </w:r>
      <w:r w:rsidR="00F62A50" w:rsidRPr="0081082A">
        <w:rPr>
          <w:rFonts w:ascii="Times New Roman" w:hAnsi="Times New Roman" w:cs="Times New Roman"/>
          <w:sz w:val="24"/>
          <w:szCs w:val="21"/>
          <w:lang w:val="sr-Cyrl-RS"/>
        </w:rPr>
        <w:t>о</w:t>
      </w:r>
      <w:r w:rsidRPr="0081082A">
        <w:rPr>
          <w:rFonts w:ascii="Times New Roman" w:hAnsi="Times New Roman" w:cs="Times New Roman"/>
          <w:sz w:val="24"/>
          <w:szCs w:val="21"/>
          <w:lang w:val="sr-Cyrl-RS"/>
        </w:rPr>
        <w:t>стима приликом првостепене контроле</w:t>
      </w:r>
      <w:r w:rsidR="00F62A50" w:rsidRPr="0081082A">
        <w:rPr>
          <w:rFonts w:ascii="Times New Roman" w:hAnsi="Times New Roman" w:cs="Times New Roman"/>
          <w:sz w:val="24"/>
          <w:szCs w:val="21"/>
          <w:lang w:val="sr-Cyrl-RS"/>
        </w:rPr>
        <w:t>,</w:t>
      </w:r>
      <w:r w:rsidRPr="0081082A">
        <w:rPr>
          <w:rFonts w:ascii="Times New Roman" w:hAnsi="Times New Roman" w:cs="Times New Roman"/>
          <w:sz w:val="24"/>
          <w:szCs w:val="21"/>
          <w:lang w:val="sr-Cyrl-RS"/>
        </w:rPr>
        <w:t xml:space="preserve"> како би се исте отклониле унутар система. Ово укључује и  </w:t>
      </w:r>
      <w:r w:rsidR="00F62A50" w:rsidRPr="0081082A">
        <w:rPr>
          <w:rFonts w:ascii="Times New Roman" w:hAnsi="Times New Roman" w:cs="Times New Roman"/>
          <w:sz w:val="24"/>
          <w:szCs w:val="21"/>
          <w:lang w:val="sr-Cyrl-RS"/>
        </w:rPr>
        <w:t xml:space="preserve">правовремене </w:t>
      </w:r>
      <w:r w:rsidRPr="0081082A">
        <w:rPr>
          <w:rFonts w:ascii="Times New Roman" w:hAnsi="Times New Roman" w:cs="Times New Roman"/>
          <w:sz w:val="24"/>
          <w:szCs w:val="21"/>
          <w:lang w:val="sr-Cyrl-RS"/>
        </w:rPr>
        <w:t>пријаве сумњи на неправилности надлежним институцијама.</w:t>
      </w:r>
    </w:p>
    <w:p w:rsidR="00F12C93" w:rsidRPr="0081082A" w:rsidRDefault="00F12C93" w:rsidP="00811B7D">
      <w:pPr>
        <w:spacing w:after="0" w:line="240" w:lineRule="auto"/>
        <w:ind w:firstLine="708"/>
        <w:jc w:val="both"/>
        <w:rPr>
          <w:rFonts w:ascii="Times New Roman" w:hAnsi="Times New Roman" w:cs="Times New Roman"/>
          <w:sz w:val="24"/>
          <w:szCs w:val="21"/>
          <w:lang w:val="sr-Cyrl-RS"/>
        </w:rPr>
      </w:pPr>
      <w:r w:rsidRPr="0081082A">
        <w:rPr>
          <w:rFonts w:ascii="Times New Roman" w:hAnsi="Times New Roman" w:cs="Times New Roman"/>
          <w:sz w:val="24"/>
          <w:szCs w:val="21"/>
          <w:lang w:val="sr-Cyrl-RS"/>
        </w:rPr>
        <w:t>У наредном периоду поред унапређења процедура и јачања административних капацитета у циљу унапређења децентрализованог система управљања средствима ЕУ, Сектор за управљање средствима ЕУ уложиће напоре у израду информационог система (</w:t>
      </w:r>
      <w:r w:rsidRPr="0081082A">
        <w:rPr>
          <w:rFonts w:ascii="Times New Roman" w:hAnsi="Times New Roman" w:cs="Times New Roman"/>
          <w:i/>
          <w:sz w:val="24"/>
          <w:szCs w:val="21"/>
          <w:lang w:val="sr-Cyrl-RS"/>
        </w:rPr>
        <w:t>MIS)</w:t>
      </w:r>
      <w:r w:rsidRPr="0081082A">
        <w:rPr>
          <w:rFonts w:ascii="Times New Roman" w:hAnsi="Times New Roman" w:cs="Times New Roman"/>
          <w:sz w:val="24"/>
          <w:szCs w:val="21"/>
          <w:lang w:val="sr-Cyrl-RS"/>
        </w:rPr>
        <w:t xml:space="preserve"> намењеног подршци пословним процесима за управљање системом и спровођењу уговора и коришћењу средстава. Систем ће обухватити процесе индиректног управљања средствима ЕУ, укључујући  припрему тендерске документације и спровођење уговора, област финансијског управљања, финансијске контроле и рачуноводства, праћење кључних индикатора изведбе, праћење кључних индикатора ризика, управљање људским ресурсима и управљање неправилностима. Успостављање овог ИТ система у наредном периоду ће бити од  значаја за оптимизацију процеса рада и подршка при раду  запосленима у управљању програм</w:t>
      </w:r>
      <w:r w:rsidR="00F62A50" w:rsidRPr="0081082A">
        <w:rPr>
          <w:rFonts w:ascii="Times New Roman" w:hAnsi="Times New Roman" w:cs="Times New Roman"/>
          <w:sz w:val="24"/>
          <w:szCs w:val="21"/>
          <w:lang w:val="sr-Cyrl-RS"/>
        </w:rPr>
        <w:t>им</w:t>
      </w:r>
      <w:r w:rsidRPr="0081082A">
        <w:rPr>
          <w:rFonts w:ascii="Times New Roman" w:hAnsi="Times New Roman" w:cs="Times New Roman"/>
          <w:sz w:val="24"/>
          <w:szCs w:val="21"/>
          <w:lang w:val="sr-Cyrl-RS"/>
        </w:rPr>
        <w:t>а који се финансирају из средстава ЕУ, а спроводе кроз индиректно управљање. Поред овога, унапређени ИТ систем значајно ће допринети унапређењу благовременог праћења, превенцији кашњења и транспарентности трошења ЕУ средстава, што је од великог значаја за целокупан систем јавних финансија.</w:t>
      </w:r>
    </w:p>
    <w:p w:rsidR="00F12C93" w:rsidRPr="0081082A" w:rsidRDefault="00F12C93" w:rsidP="00F12C93">
      <w:pPr>
        <w:spacing w:after="0" w:line="240" w:lineRule="auto"/>
        <w:jc w:val="both"/>
        <w:rPr>
          <w:rFonts w:ascii="Times New Roman" w:hAnsi="Times New Roman" w:cs="Times New Roman"/>
          <w:b/>
          <w:sz w:val="24"/>
          <w:szCs w:val="21"/>
          <w:u w:val="single"/>
          <w:lang w:val="sr-Cyrl-RS"/>
        </w:rPr>
      </w:pPr>
      <w:r w:rsidRPr="0081082A">
        <w:rPr>
          <w:rFonts w:ascii="Times New Roman" w:hAnsi="Times New Roman" w:cs="Times New Roman"/>
          <w:b/>
          <w:sz w:val="24"/>
          <w:szCs w:val="21"/>
          <w:u w:val="single"/>
          <w:lang w:val="sr-Cyrl-RS"/>
        </w:rPr>
        <w:t>Мера 3.3 - Повећање ефикасности и делотворности инспекцијске контроле</w:t>
      </w:r>
    </w:p>
    <w:p w:rsidR="00F12C93" w:rsidRPr="0081082A" w:rsidRDefault="00F12C93" w:rsidP="00F12C93">
      <w:pPr>
        <w:spacing w:after="0" w:line="240" w:lineRule="auto"/>
        <w:ind w:firstLine="708"/>
        <w:jc w:val="both"/>
        <w:rPr>
          <w:rFonts w:ascii="Times New Roman" w:hAnsi="Times New Roman" w:cs="Times New Roman"/>
          <w:sz w:val="24"/>
          <w:szCs w:val="21"/>
          <w:lang w:val="sr-Cyrl-RS"/>
        </w:rPr>
      </w:pPr>
      <w:r w:rsidRPr="0081082A">
        <w:rPr>
          <w:rFonts w:ascii="Times New Roman" w:hAnsi="Times New Roman" w:cs="Times New Roman"/>
          <w:sz w:val="24"/>
          <w:szCs w:val="21"/>
          <w:lang w:val="sr-Cyrl-RS"/>
        </w:rPr>
        <w:t xml:space="preserve">Извештај Европске комисије о Србији за 2020. годину у контексту поглавља 32 наводи да је неопходно даље јачање капацитета буџетске инспекције како би се покрио </w:t>
      </w:r>
      <w:r w:rsidRPr="0081082A">
        <w:rPr>
          <w:rFonts w:ascii="Times New Roman" w:hAnsi="Times New Roman" w:cs="Times New Roman"/>
          <w:sz w:val="24"/>
          <w:szCs w:val="21"/>
          <w:lang w:val="sr-Cyrl-RS"/>
        </w:rPr>
        <w:lastRenderedPageBreak/>
        <w:t xml:space="preserve">целокупни систем корисника јавних средстава и како би се омогућила њихова ефикасна контрола. У складу са овом препоруком, буџетска инспекција планира да повећа број инспектора са 17 на 38 до краја 2025. године. </w:t>
      </w:r>
    </w:p>
    <w:p w:rsidR="00F12C93" w:rsidRPr="0081082A" w:rsidRDefault="00F12C93" w:rsidP="00F12C93">
      <w:pPr>
        <w:spacing w:after="0" w:line="240" w:lineRule="auto"/>
        <w:ind w:firstLine="708"/>
        <w:jc w:val="both"/>
        <w:rPr>
          <w:rFonts w:ascii="Times New Roman" w:hAnsi="Times New Roman" w:cs="Times New Roman"/>
          <w:sz w:val="24"/>
          <w:szCs w:val="21"/>
          <w:lang w:val="sr-Cyrl-RS"/>
        </w:rPr>
      </w:pPr>
      <w:r w:rsidRPr="0081082A">
        <w:rPr>
          <w:rFonts w:ascii="Times New Roman" w:hAnsi="Times New Roman" w:cs="Times New Roman"/>
          <w:sz w:val="24"/>
          <w:szCs w:val="21"/>
          <w:lang w:val="sr-Cyrl-RS"/>
        </w:rPr>
        <w:t xml:space="preserve">Такође, буџетска инспекција планира да настави континуирано обучавање својих кадрова, у циљу ефикаснијег и бољег рада. </w:t>
      </w:r>
      <w:r w:rsidRPr="0081082A">
        <w:rPr>
          <w:rFonts w:ascii="Times New Roman" w:hAnsi="Times New Roman" w:cs="Times New Roman"/>
          <w:sz w:val="24"/>
          <w:szCs w:val="24"/>
          <w:lang w:val="sr-Cyrl-RS"/>
        </w:rPr>
        <w:t>У</w:t>
      </w:r>
      <w:r w:rsidRPr="0081082A">
        <w:rPr>
          <w:rFonts w:ascii="Times New Roman" w:hAnsi="Times New Roman" w:cs="Times New Roman"/>
          <w:sz w:val="24"/>
          <w:szCs w:val="21"/>
          <w:lang w:val="sr-Cyrl-RS"/>
        </w:rPr>
        <w:t xml:space="preserve"> 2021. години су планиране </w:t>
      </w:r>
      <w:r w:rsidR="006069E9" w:rsidRPr="0081082A">
        <w:rPr>
          <w:rFonts w:ascii="Times New Roman" w:hAnsi="Times New Roman" w:cs="Times New Roman"/>
          <w:sz w:val="24"/>
          <w:szCs w:val="21"/>
          <w:lang w:val="sr-Cyrl-RS"/>
        </w:rPr>
        <w:t>четири</w:t>
      </w:r>
      <w:r w:rsidRPr="0081082A">
        <w:rPr>
          <w:rFonts w:ascii="Times New Roman" w:hAnsi="Times New Roman" w:cs="Times New Roman"/>
          <w:sz w:val="24"/>
          <w:szCs w:val="21"/>
          <w:lang w:val="sr-Cyrl-RS"/>
        </w:rPr>
        <w:t xml:space="preserve"> обуке у вези са областима, као што су покретање прекршајног и кривичног поступка, давање исказа, управљање временом и етиком и интегритетом државних службеника.</w:t>
      </w:r>
      <w:r w:rsidRPr="0081082A">
        <w:rPr>
          <w:rStyle w:val="FootnoteReference"/>
          <w:rFonts w:ascii="Times New Roman" w:hAnsi="Times New Roman" w:cs="Times New Roman"/>
          <w:sz w:val="24"/>
          <w:szCs w:val="21"/>
          <w:lang w:val="sr-Cyrl-RS"/>
        </w:rPr>
        <w:footnoteReference w:id="86"/>
      </w:r>
    </w:p>
    <w:p w:rsidR="00F12C93" w:rsidRPr="0081082A" w:rsidRDefault="00F12C93" w:rsidP="00F12C93">
      <w:pPr>
        <w:spacing w:after="0" w:line="240" w:lineRule="auto"/>
        <w:ind w:firstLine="708"/>
        <w:jc w:val="both"/>
        <w:rPr>
          <w:rFonts w:ascii="Times New Roman" w:hAnsi="Times New Roman" w:cs="Times New Roman"/>
          <w:sz w:val="24"/>
          <w:lang w:val="sr-Cyrl-RS"/>
        </w:rPr>
      </w:pPr>
      <w:r w:rsidRPr="0081082A">
        <w:rPr>
          <w:rFonts w:ascii="Times New Roman" w:hAnsi="Times New Roman" w:cs="Times New Roman"/>
          <w:sz w:val="24"/>
          <w:lang w:val="sr-Cyrl-RS"/>
        </w:rPr>
        <w:t>Поред наведених обука, буџетска инспекција ће, у зависности од епидемиолошке ситуације, у наредном периоду учествовати и на обукама Центра за финансијску изузетност у Љубљани</w:t>
      </w:r>
      <w:r w:rsidRPr="0081082A">
        <w:rPr>
          <w:rStyle w:val="FootnoteReference"/>
          <w:rFonts w:ascii="Times New Roman" w:hAnsi="Times New Roman"/>
          <w:sz w:val="24"/>
          <w:lang w:val="sr-Cyrl-RS"/>
        </w:rPr>
        <w:footnoteReference w:id="87"/>
      </w:r>
      <w:r w:rsidR="006069E9" w:rsidRPr="0081082A">
        <w:rPr>
          <w:rFonts w:ascii="Times New Roman" w:hAnsi="Times New Roman" w:cs="Times New Roman"/>
          <w:sz w:val="24"/>
          <w:lang w:val="sr-Cyrl-RS"/>
        </w:rPr>
        <w:t>,</w:t>
      </w:r>
      <w:r w:rsidRPr="0081082A">
        <w:rPr>
          <w:rFonts w:ascii="Times New Roman" w:hAnsi="Times New Roman"/>
          <w:sz w:val="24"/>
          <w:lang w:val="sr-Cyrl-RS"/>
        </w:rPr>
        <w:t xml:space="preserve"> </w:t>
      </w:r>
      <w:r w:rsidRPr="0081082A">
        <w:rPr>
          <w:rFonts w:ascii="Times New Roman" w:hAnsi="Times New Roman" w:cs="Times New Roman"/>
          <w:sz w:val="24"/>
          <w:lang w:val="sr-Cyrl-RS"/>
        </w:rPr>
        <w:t xml:space="preserve">као и НАЈУ. Континуираним обучавањем постојећих капацитета, као и ангажовањем новог стручног кадра, осигураће се повећање укупног броја инспекцијских контрола, што ће довести до свеобухватно бољег нивоа адекватне буџетске дисциплине и транспарентнијег коришћења јавних средстава. </w:t>
      </w:r>
    </w:p>
    <w:p w:rsidR="00F12C93" w:rsidRPr="0081082A" w:rsidRDefault="00F12C93" w:rsidP="00F12C93">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1"/>
          <w:lang w:val="sr-Cyrl-RS"/>
        </w:rPr>
        <w:t>Усвајање стручно-методолошких упутстaва о начину рада буџетске инспекције по областима вршења контрола у 2021. години, допринеће ефикаснијем раду буџетске инспекције. У</w:t>
      </w:r>
      <w:r w:rsidRPr="0081082A">
        <w:rPr>
          <w:rFonts w:ascii="Times New Roman" w:hAnsi="Times New Roman" w:cs="Times New Roman"/>
          <w:sz w:val="24"/>
          <w:szCs w:val="24"/>
          <w:lang w:val="sr-Cyrl-RS"/>
        </w:rPr>
        <w:t xml:space="preserve"> плану је доношење три упутства у 2021. години: Упутство о контроли примене Закона о буџетском систему у делу припреме и доношења буџета и финансијских планова и у делу извршења буџета; Упутство о контроли примене Закона о јавном приватном партнерству и концесијама и Упутство о начину вршења инспекцијске кон</w:t>
      </w:r>
      <w:r w:rsidR="00904D08">
        <w:rPr>
          <w:rFonts w:ascii="Times New Roman" w:hAnsi="Times New Roman" w:cs="Times New Roman"/>
          <w:sz w:val="24"/>
          <w:szCs w:val="24"/>
          <w:lang w:val="sr-Cyrl-RS"/>
        </w:rPr>
        <w:t>т</w:t>
      </w:r>
      <w:r w:rsidRPr="0081082A">
        <w:rPr>
          <w:rFonts w:ascii="Times New Roman" w:hAnsi="Times New Roman" w:cs="Times New Roman"/>
          <w:sz w:val="24"/>
          <w:szCs w:val="24"/>
          <w:lang w:val="sr-Cyrl-RS"/>
        </w:rPr>
        <w:t>роле редовног и ванредног пописа код корисника јавних средстава.</w:t>
      </w:r>
    </w:p>
    <w:p w:rsidR="00F12C93" w:rsidRPr="0081082A" w:rsidRDefault="00F12C93" w:rsidP="00F12C93">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noProof/>
          <w:sz w:val="24"/>
          <w:szCs w:val="24"/>
          <w:lang w:val="sr-Cyrl-RS"/>
        </w:rPr>
        <w:t>У 2021. години, усвојен је предлог Стратешког плана буџетске инспекције Министарства финансија за период 2021-2026. године</w:t>
      </w:r>
      <w:r w:rsidR="006069E9" w:rsidRPr="0081082A">
        <w:rPr>
          <w:rFonts w:ascii="Times New Roman" w:hAnsi="Times New Roman" w:cs="Times New Roman"/>
          <w:noProof/>
          <w:sz w:val="24"/>
          <w:szCs w:val="24"/>
          <w:lang w:val="sr-Cyrl-RS"/>
        </w:rPr>
        <w:t>,</w:t>
      </w:r>
      <w:r w:rsidRPr="0081082A">
        <w:rPr>
          <w:rFonts w:ascii="Times New Roman" w:hAnsi="Times New Roman" w:cs="Times New Roman"/>
          <w:noProof/>
          <w:sz w:val="24"/>
          <w:szCs w:val="24"/>
          <w:lang w:val="sr-Cyrl-RS"/>
        </w:rPr>
        <w:t xml:space="preserve"> као и пратећи Акциони план којим се детаљно дефинишу мере и активности које ће </w:t>
      </w:r>
      <w:r w:rsidR="002603BB" w:rsidRPr="0081082A">
        <w:rPr>
          <w:rFonts w:ascii="Times New Roman" w:hAnsi="Times New Roman" w:cs="Times New Roman"/>
          <w:noProof/>
          <w:sz w:val="24"/>
          <w:szCs w:val="24"/>
          <w:lang w:val="sr-Cyrl-RS"/>
        </w:rPr>
        <w:t xml:space="preserve">се </w:t>
      </w:r>
      <w:r w:rsidRPr="0081082A">
        <w:rPr>
          <w:rFonts w:ascii="Times New Roman" w:hAnsi="Times New Roman" w:cs="Times New Roman"/>
          <w:noProof/>
          <w:sz w:val="24"/>
          <w:szCs w:val="24"/>
          <w:lang w:val="sr-Cyrl-RS"/>
        </w:rPr>
        <w:t xml:space="preserve">предузети у циљу </w:t>
      </w:r>
      <w:r w:rsidRPr="0081082A">
        <w:rPr>
          <w:rFonts w:ascii="TimesNewRomanPSMT" w:hAnsi="TimesNewRomanPSMT" w:cs="TimesNewRomanPSMT"/>
          <w:sz w:val="24"/>
          <w:szCs w:val="24"/>
          <w:lang w:val="sr-Cyrl-RS"/>
        </w:rPr>
        <w:t xml:space="preserve">повећања законитости у области материјално - финансијског пословања и наменског и законитог коришћења средстава корисника буџетских средстава, чиме се постиже </w:t>
      </w:r>
      <w:r w:rsidRPr="0081082A">
        <w:rPr>
          <w:rFonts w:ascii="Times New Roman" w:hAnsi="Times New Roman" w:cs="Times New Roman"/>
          <w:noProof/>
          <w:sz w:val="24"/>
          <w:szCs w:val="24"/>
          <w:lang w:val="sr-Cyrl-RS"/>
        </w:rPr>
        <w:t xml:space="preserve">остварење дугорочног циља из области буџетске инспекције. </w:t>
      </w:r>
      <w:r w:rsidRPr="0081082A">
        <w:rPr>
          <w:rFonts w:ascii="Times New Roman" w:hAnsi="Times New Roman" w:cs="Times New Roman"/>
          <w:sz w:val="24"/>
          <w:lang w:val="sr-Cyrl-RS"/>
        </w:rPr>
        <w:t>Општи циљ је повећање законитости у области материјално</w:t>
      </w:r>
      <w:r w:rsidRPr="0081082A">
        <w:rPr>
          <w:rFonts w:ascii="Times New Roman" w:hAnsi="Times New Roman" w:cs="Times New Roman"/>
          <w:sz w:val="24"/>
          <w:szCs w:val="24"/>
          <w:lang w:val="sr-Cyrl-RS"/>
        </w:rPr>
        <w:t>-</w:t>
      </w:r>
      <w:r w:rsidRPr="0081082A">
        <w:rPr>
          <w:rFonts w:ascii="Times New Roman" w:hAnsi="Times New Roman" w:cs="Times New Roman"/>
          <w:sz w:val="24"/>
          <w:lang w:val="sr-Cyrl-RS"/>
        </w:rPr>
        <w:t xml:space="preserve">финансијског пословања и наменског и законитог коришћења средстава корисника буџетских средстава, организација предузећа, правних лица и других субјеката прописаних Законом о буџетском систему. Планирано је да се општи циљ постигне повећањем броја инспекцијских контрола, повећањем </w:t>
      </w:r>
      <w:r w:rsidRPr="0081082A">
        <w:rPr>
          <w:rFonts w:ascii="TimesNewRomanPSMT" w:hAnsi="TimesNewRomanPSMT" w:cs="TimesNewRomanPSMT"/>
          <w:sz w:val="24"/>
          <w:szCs w:val="24"/>
          <w:lang w:val="sr-Cyrl-RS"/>
        </w:rPr>
        <w:t>њихове ефикасности и делотворности и позитивних ефеката по буџет Републике Србије.</w:t>
      </w:r>
    </w:p>
    <w:p w:rsidR="00F12C93" w:rsidRPr="0081082A" w:rsidRDefault="00F12C93" w:rsidP="00F12C93">
      <w:pPr>
        <w:spacing w:after="0" w:line="240" w:lineRule="auto"/>
        <w:ind w:firstLine="708"/>
        <w:jc w:val="both"/>
        <w:rPr>
          <w:rFonts w:ascii="Times New Roman" w:hAnsi="Times New Roman" w:cs="Times New Roman"/>
          <w:sz w:val="24"/>
          <w:szCs w:val="21"/>
          <w:lang w:val="sr-Cyrl-RS"/>
        </w:rPr>
      </w:pPr>
      <w:r w:rsidRPr="0081082A">
        <w:rPr>
          <w:rFonts w:ascii="Times New Roman" w:hAnsi="Times New Roman" w:cs="Times New Roman"/>
          <w:sz w:val="24"/>
          <w:szCs w:val="21"/>
          <w:lang w:val="sr-Cyrl-RS"/>
        </w:rPr>
        <w:t xml:space="preserve">Поред континуираног јачања административних капацитета и усвајања подзаконских аката о начину рада буџетске инспекције, планирана је измена Закона о буџетском </w:t>
      </w:r>
      <w:r w:rsidR="002603BB" w:rsidRPr="0081082A">
        <w:rPr>
          <w:rFonts w:ascii="Times New Roman" w:hAnsi="Times New Roman" w:cs="Times New Roman"/>
          <w:sz w:val="24"/>
          <w:szCs w:val="21"/>
          <w:lang w:val="sr-Cyrl-RS"/>
        </w:rPr>
        <w:t xml:space="preserve">систему </w:t>
      </w:r>
      <w:r w:rsidRPr="0081082A">
        <w:rPr>
          <w:rFonts w:ascii="Times New Roman" w:hAnsi="Times New Roman" w:cs="Times New Roman"/>
          <w:sz w:val="24"/>
          <w:szCs w:val="21"/>
          <w:lang w:val="sr-Cyrl-RS"/>
        </w:rPr>
        <w:t>Републике Србије</w:t>
      </w:r>
      <w:r w:rsidR="00A545D2" w:rsidRPr="0081082A">
        <w:rPr>
          <w:rFonts w:ascii="Times New Roman" w:hAnsi="Times New Roman" w:cs="Times New Roman"/>
          <w:sz w:val="24"/>
          <w:szCs w:val="21"/>
          <w:lang w:val="sr-Cyrl-RS"/>
        </w:rPr>
        <w:t>,</w:t>
      </w:r>
      <w:r w:rsidRPr="0081082A">
        <w:rPr>
          <w:rFonts w:ascii="Times New Roman" w:hAnsi="Times New Roman" w:cs="Times New Roman"/>
          <w:sz w:val="24"/>
          <w:szCs w:val="21"/>
          <w:lang w:val="sr-Cyrl-RS"/>
        </w:rPr>
        <w:t xml:space="preserve"> односно усвајање новог Закона о буџетској инспекцији како би поступак буџетске инспекцијске контроле </w:t>
      </w:r>
      <w:r w:rsidR="002603BB" w:rsidRPr="0081082A">
        <w:rPr>
          <w:rFonts w:ascii="Times New Roman" w:hAnsi="Times New Roman" w:cs="Times New Roman"/>
          <w:sz w:val="24"/>
          <w:szCs w:val="21"/>
          <w:lang w:val="sr-Cyrl-RS"/>
        </w:rPr>
        <w:t xml:space="preserve">био </w:t>
      </w:r>
      <w:r w:rsidRPr="0081082A">
        <w:rPr>
          <w:rFonts w:ascii="Times New Roman" w:hAnsi="Times New Roman" w:cs="Times New Roman"/>
          <w:sz w:val="24"/>
          <w:szCs w:val="21"/>
          <w:lang w:val="sr-Cyrl-RS"/>
        </w:rPr>
        <w:t>јасније одређен, и како би буџетска инспекција била у могућности да ефикасније открије и процесуира незаконитости и неправилности у коришћењу јавних средстава. Такође, на ширем плану, усвајање измена у законодавном оквиру допринеће повезивању стратешких и организационих циљева буџетске инспекције са циљевима националне политике и свеукупним реформским напорима Владе у процесу реформе управљања јавим финансијама.</w:t>
      </w:r>
    </w:p>
    <w:p w:rsidR="00670A08" w:rsidRPr="0081082A" w:rsidRDefault="00670A08" w:rsidP="006B36D7">
      <w:pPr>
        <w:spacing w:after="0" w:line="240" w:lineRule="auto"/>
        <w:jc w:val="both"/>
        <w:rPr>
          <w:rFonts w:ascii="Times New Roman" w:hAnsi="Times New Roman" w:cs="Times New Roman"/>
          <w:sz w:val="24"/>
          <w:szCs w:val="21"/>
          <w:lang w:val="sr-Cyrl-RS"/>
        </w:rPr>
      </w:pPr>
    </w:p>
    <w:p w:rsidR="001B6DE8" w:rsidRPr="0081082A" w:rsidRDefault="001B6DE8" w:rsidP="001B6DE8">
      <w:pPr>
        <w:pStyle w:val="Heading2"/>
        <w:jc w:val="center"/>
        <w:rPr>
          <w:rFonts w:ascii="Times New Roman" w:hAnsi="Times New Roman"/>
          <w:sz w:val="28"/>
          <w:lang w:val="sr-Cyrl-RS"/>
        </w:rPr>
      </w:pPr>
      <w:bookmarkStart w:id="23" w:name="_Toc69727766"/>
      <w:r w:rsidRPr="0081082A">
        <w:rPr>
          <w:rFonts w:ascii="Times New Roman" w:hAnsi="Times New Roman"/>
          <w:sz w:val="28"/>
          <w:lang w:val="sr-Cyrl-RS"/>
        </w:rPr>
        <w:t xml:space="preserve">ПОСЕБНИ ЦИЉ IV:  УНАПРЕЂЕЊЕ </w:t>
      </w:r>
      <w:r w:rsidRPr="0081082A">
        <w:rPr>
          <w:rFonts w:ascii="Times New Roman" w:eastAsia="Calibri" w:hAnsi="Times New Roman" w:cs="Times New Roman"/>
          <w:sz w:val="28"/>
          <w:szCs w:val="28"/>
          <w:lang w:val="sr-Cyrl-RS"/>
        </w:rPr>
        <w:t>ПРИМЕНЕ</w:t>
      </w:r>
      <w:r w:rsidRPr="0081082A">
        <w:rPr>
          <w:rFonts w:ascii="Times New Roman" w:hAnsi="Times New Roman"/>
          <w:sz w:val="28"/>
          <w:lang w:val="sr-Cyrl-RS"/>
        </w:rPr>
        <w:t xml:space="preserve"> СИСТЕМА ИНТЕРНЕ ФИНАНСИЈСКЕ КОНТРОЛЕ У ЈАВНОМ СЕКТОРУ</w:t>
      </w:r>
      <w:bookmarkEnd w:id="23"/>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Интерна контрола у јавном сектору (у даљем тексту: ИФКЈ) је, по међународним стандардима, у јавни сектор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sz w:val="24"/>
          <w:szCs w:val="24"/>
          <w:lang w:val="sr-Cyrl-RS"/>
        </w:rPr>
        <w:t xml:space="preserve"> уведена кроз Закон о буџетском систему 2009. године. Уведене су модерне методе управљања усмерене ка  постизању циљева, повећању ефикасности, ефективности, економичности и транспарентности у управљању јавним средствима. У појмовном смислу управљачка одговорност је предуслов за ИФКЈ, али у пракси се ова два појма суштински прожимају и позитивно утичу један на други. Увођење ИФКЈ </w:t>
      </w:r>
      <w:r w:rsidR="002603BB" w:rsidRPr="0081082A">
        <w:rPr>
          <w:rFonts w:ascii="Times New Roman" w:hAnsi="Times New Roman" w:cs="Times New Roman"/>
          <w:sz w:val="24"/>
          <w:szCs w:val="24"/>
          <w:lang w:val="sr-Cyrl-RS"/>
        </w:rPr>
        <w:t xml:space="preserve">само </w:t>
      </w:r>
      <w:r w:rsidRPr="0081082A">
        <w:rPr>
          <w:rFonts w:ascii="Times New Roman" w:hAnsi="Times New Roman" w:cs="Times New Roman"/>
          <w:sz w:val="24"/>
          <w:szCs w:val="24"/>
          <w:lang w:val="sr-Cyrl-RS"/>
        </w:rPr>
        <w:t xml:space="preserve">по себи представља велику реформу начина управљања и организационе културе и прелазак са некадашњег бирократског управљања на модерно управљање усмерено ка остварењу циљева.  Управо због тога ова реформа траје већ нешто дуже од </w:t>
      </w:r>
      <w:r w:rsidR="006069E9" w:rsidRPr="0081082A">
        <w:rPr>
          <w:rFonts w:ascii="Times New Roman" w:hAnsi="Times New Roman" w:cs="Times New Roman"/>
          <w:sz w:val="24"/>
          <w:szCs w:val="24"/>
          <w:lang w:val="sr-Cyrl-RS"/>
        </w:rPr>
        <w:t>десет</w:t>
      </w:r>
      <w:r w:rsidRPr="0081082A">
        <w:rPr>
          <w:rFonts w:ascii="Times New Roman" w:hAnsi="Times New Roman" w:cs="Times New Roman"/>
          <w:sz w:val="24"/>
          <w:szCs w:val="24"/>
          <w:lang w:val="sr-Cyrl-RS"/>
        </w:rPr>
        <w:t xml:space="preserve"> година и иако су сви неопходни инструменти успостављени, њена имплементација би требало да буде бржа и ефикаснија. </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ИФКЈ у јавном сектору чине: </w:t>
      </w:r>
      <w:r w:rsidRPr="0081082A">
        <w:rPr>
          <w:rFonts w:ascii="Times New Roman" w:hAnsi="Times New Roman"/>
          <w:sz w:val="24"/>
          <w:lang w:val="sr-Cyrl-RS"/>
        </w:rPr>
        <w:t>финансијско управљање и контрола код корисника јавних средстава (у даљем тексту: ФУК), интерна ревизија код корисника јавних средстава (у даљем тексту: ИР) и хармонизација и координација финансијског управљања и контроле и интерне ревизије коју обавља Централна јединица за хармонизацију (у даљем тексту: ЦЈХ)</w:t>
      </w:r>
      <w:r w:rsidRPr="0081082A">
        <w:rPr>
          <w:rFonts w:ascii="Times New Roman" w:hAnsi="Times New Roman" w:cs="Times New Roman"/>
          <w:sz w:val="24"/>
          <w:szCs w:val="24"/>
          <w:lang w:val="sr-Cyrl-RS"/>
        </w:rPr>
        <w:t xml:space="preserve">, односно добро успостављен систем ИФКЈ треба да обезбеди да се средства пореских обвезника троше на законит, економичан, ефикасан и ефективан начин. </w:t>
      </w:r>
    </w:p>
    <w:p w:rsidR="001B6DE8" w:rsidRPr="0081082A" w:rsidRDefault="001B6DE8" w:rsidP="001B6DE8">
      <w:pPr>
        <w:spacing w:after="0" w:line="240" w:lineRule="auto"/>
        <w:ind w:firstLine="708"/>
        <w:jc w:val="both"/>
        <w:rPr>
          <w:rFonts w:ascii="Times New Roman" w:hAnsi="Times New Roman"/>
          <w:sz w:val="24"/>
          <w:szCs w:val="24"/>
          <w:lang w:val="sr-Cyrl-RS"/>
        </w:rPr>
      </w:pPr>
      <w:r w:rsidRPr="0081082A">
        <w:rPr>
          <w:rFonts w:ascii="Times New Roman" w:hAnsi="Times New Roman"/>
          <w:sz w:val="24"/>
          <w:szCs w:val="24"/>
          <w:lang w:val="sr-Cyrl-RS"/>
        </w:rPr>
        <w:t>ФУК обухвата све аспекте управљања организацијама у јавном сектору, укључујући:</w:t>
      </w:r>
    </w:p>
    <w:p w:rsidR="001B6DE8" w:rsidRPr="0081082A" w:rsidRDefault="001B6DE8" w:rsidP="006069E9">
      <w:pPr>
        <w:numPr>
          <w:ilvl w:val="0"/>
          <w:numId w:val="12"/>
        </w:numPr>
        <w:tabs>
          <w:tab w:val="clear" w:pos="1440"/>
          <w:tab w:val="num" w:pos="360"/>
          <w:tab w:val="num" w:pos="1276"/>
        </w:tabs>
        <w:spacing w:after="0" w:line="240" w:lineRule="auto"/>
        <w:ind w:left="0" w:firstLine="720"/>
        <w:jc w:val="both"/>
        <w:rPr>
          <w:rFonts w:ascii="Times New Roman" w:hAnsi="Times New Roman"/>
          <w:sz w:val="24"/>
          <w:szCs w:val="24"/>
          <w:lang w:val="sr-Cyrl-RS"/>
        </w:rPr>
      </w:pPr>
      <w:r w:rsidRPr="0081082A">
        <w:rPr>
          <w:rFonts w:ascii="Times New Roman" w:hAnsi="Times New Roman"/>
          <w:i/>
          <w:iCs/>
          <w:sz w:val="24"/>
          <w:szCs w:val="24"/>
          <w:lang w:val="sr-Cyrl-RS"/>
        </w:rPr>
        <w:t>Стратешко планирање</w:t>
      </w:r>
      <w:r w:rsidRPr="0081082A">
        <w:rPr>
          <w:rFonts w:ascii="Times New Roman" w:hAnsi="Times New Roman"/>
          <w:sz w:val="24"/>
          <w:szCs w:val="24"/>
          <w:lang w:val="sr-Cyrl-RS"/>
        </w:rPr>
        <w:t xml:space="preserve"> које повезује организационе циљеве са свеукупном визијом Владе;</w:t>
      </w:r>
    </w:p>
    <w:p w:rsidR="001B6DE8" w:rsidRPr="0081082A" w:rsidRDefault="001B6DE8" w:rsidP="006069E9">
      <w:pPr>
        <w:numPr>
          <w:ilvl w:val="0"/>
          <w:numId w:val="12"/>
        </w:numPr>
        <w:tabs>
          <w:tab w:val="clear" w:pos="1440"/>
          <w:tab w:val="num" w:pos="360"/>
          <w:tab w:val="num" w:pos="1276"/>
        </w:tabs>
        <w:spacing w:after="0" w:line="240" w:lineRule="auto"/>
        <w:ind w:left="0" w:firstLine="720"/>
        <w:jc w:val="both"/>
        <w:rPr>
          <w:rFonts w:ascii="Times New Roman" w:hAnsi="Times New Roman"/>
          <w:sz w:val="24"/>
          <w:szCs w:val="24"/>
          <w:lang w:val="sr-Cyrl-RS"/>
        </w:rPr>
      </w:pPr>
      <w:r w:rsidRPr="0081082A">
        <w:rPr>
          <w:rFonts w:ascii="Times New Roman" w:hAnsi="Times New Roman"/>
          <w:i/>
          <w:iCs/>
          <w:sz w:val="24"/>
          <w:szCs w:val="24"/>
          <w:lang w:val="sr-Cyrl-RS"/>
        </w:rPr>
        <w:t>Оперативно планирање</w:t>
      </w:r>
      <w:r w:rsidRPr="0081082A">
        <w:rPr>
          <w:rFonts w:ascii="Times New Roman" w:hAnsi="Times New Roman"/>
          <w:sz w:val="24"/>
          <w:szCs w:val="24"/>
          <w:lang w:val="sr-Cyrl-RS"/>
        </w:rPr>
        <w:t xml:space="preserve"> које повезује оперативне циљеве са захтевима за ресурсе (буџет, особље и друга средства);</w:t>
      </w:r>
    </w:p>
    <w:p w:rsidR="001B6DE8" w:rsidRPr="0081082A" w:rsidRDefault="001B6DE8" w:rsidP="006069E9">
      <w:pPr>
        <w:numPr>
          <w:ilvl w:val="0"/>
          <w:numId w:val="12"/>
        </w:numPr>
        <w:tabs>
          <w:tab w:val="clear" w:pos="1440"/>
          <w:tab w:val="num" w:pos="360"/>
          <w:tab w:val="num" w:pos="1276"/>
        </w:tabs>
        <w:spacing w:after="0" w:line="240" w:lineRule="auto"/>
        <w:ind w:left="0" w:firstLine="720"/>
        <w:jc w:val="both"/>
        <w:rPr>
          <w:rFonts w:ascii="Times New Roman" w:hAnsi="Times New Roman"/>
          <w:sz w:val="24"/>
          <w:szCs w:val="24"/>
          <w:lang w:val="sr-Cyrl-RS"/>
        </w:rPr>
      </w:pPr>
      <w:r w:rsidRPr="0081082A">
        <w:rPr>
          <w:rFonts w:ascii="Times New Roman" w:hAnsi="Times New Roman"/>
          <w:i/>
          <w:iCs/>
          <w:sz w:val="24"/>
          <w:szCs w:val="24"/>
          <w:lang w:val="sr-Cyrl-RS"/>
        </w:rPr>
        <w:t xml:space="preserve">Праћење и извештавање </w:t>
      </w:r>
      <w:r w:rsidRPr="0081082A">
        <w:rPr>
          <w:rFonts w:ascii="Times New Roman" w:hAnsi="Times New Roman"/>
          <w:sz w:val="24"/>
          <w:szCs w:val="24"/>
          <w:lang w:val="sr-Cyrl-RS"/>
        </w:rPr>
        <w:t>о остварењу циљева у односу на коришћене ресурсе;</w:t>
      </w:r>
    </w:p>
    <w:p w:rsidR="001B6DE8" w:rsidRPr="0081082A" w:rsidRDefault="001B6DE8" w:rsidP="006069E9">
      <w:pPr>
        <w:numPr>
          <w:ilvl w:val="0"/>
          <w:numId w:val="12"/>
        </w:numPr>
        <w:tabs>
          <w:tab w:val="clear" w:pos="1440"/>
          <w:tab w:val="num" w:pos="360"/>
          <w:tab w:val="num" w:pos="1276"/>
        </w:tabs>
        <w:spacing w:after="0" w:line="240" w:lineRule="auto"/>
        <w:ind w:left="0" w:firstLine="720"/>
        <w:jc w:val="both"/>
        <w:rPr>
          <w:rFonts w:ascii="Times New Roman" w:hAnsi="Times New Roman"/>
          <w:sz w:val="24"/>
          <w:szCs w:val="24"/>
          <w:lang w:val="sr-Cyrl-RS"/>
        </w:rPr>
      </w:pPr>
      <w:r w:rsidRPr="0081082A">
        <w:rPr>
          <w:rFonts w:ascii="Times New Roman" w:hAnsi="Times New Roman"/>
          <w:i/>
          <w:iCs/>
          <w:sz w:val="24"/>
          <w:szCs w:val="24"/>
          <w:lang w:val="sr-Cyrl-RS"/>
        </w:rPr>
        <w:t>Идентификација и управљање ризицима</w:t>
      </w:r>
      <w:r w:rsidRPr="0081082A">
        <w:rPr>
          <w:rFonts w:ascii="Times New Roman" w:hAnsi="Times New Roman"/>
          <w:sz w:val="24"/>
          <w:szCs w:val="24"/>
          <w:lang w:val="sr-Cyrl-RS"/>
        </w:rPr>
        <w:t xml:space="preserve"> за постизање оперативних циљева;</w:t>
      </w:r>
    </w:p>
    <w:p w:rsidR="001B6DE8" w:rsidRPr="0081082A" w:rsidRDefault="001B6DE8" w:rsidP="006069E9">
      <w:pPr>
        <w:numPr>
          <w:ilvl w:val="0"/>
          <w:numId w:val="12"/>
        </w:numPr>
        <w:tabs>
          <w:tab w:val="clear" w:pos="1440"/>
          <w:tab w:val="num" w:pos="360"/>
          <w:tab w:val="num" w:pos="1276"/>
        </w:tabs>
        <w:spacing w:after="0" w:line="240" w:lineRule="auto"/>
        <w:ind w:left="0" w:firstLine="720"/>
        <w:jc w:val="both"/>
        <w:rPr>
          <w:rFonts w:ascii="Times New Roman" w:hAnsi="Times New Roman"/>
          <w:sz w:val="24"/>
          <w:szCs w:val="24"/>
          <w:lang w:val="sr-Cyrl-RS"/>
        </w:rPr>
      </w:pPr>
      <w:r w:rsidRPr="0081082A">
        <w:rPr>
          <w:rFonts w:ascii="Times New Roman" w:hAnsi="Times New Roman"/>
          <w:sz w:val="24"/>
          <w:szCs w:val="24"/>
          <w:lang w:val="sr-Cyrl-RS"/>
        </w:rPr>
        <w:t xml:space="preserve">Развој </w:t>
      </w:r>
      <w:r w:rsidRPr="0081082A">
        <w:rPr>
          <w:rFonts w:ascii="Times New Roman" w:hAnsi="Times New Roman"/>
          <w:i/>
          <w:iCs/>
          <w:sz w:val="24"/>
          <w:szCs w:val="24"/>
          <w:lang w:val="sr-Cyrl-RS"/>
        </w:rPr>
        <w:t>модела за евалуацију квалитета финансијског управљања и контроле</w:t>
      </w:r>
      <w:r w:rsidRPr="0081082A">
        <w:rPr>
          <w:rFonts w:ascii="Times New Roman" w:hAnsi="Times New Roman"/>
          <w:sz w:val="24"/>
          <w:szCs w:val="24"/>
          <w:lang w:val="sr-Cyrl-RS"/>
        </w:rPr>
        <w:t>, који укључује решавање оперативних ризика, ризика од проневере или губитка финансијских и физичких средстава и информација организације;</w:t>
      </w:r>
    </w:p>
    <w:p w:rsidR="001B6DE8" w:rsidRPr="0081082A" w:rsidRDefault="001B6DE8" w:rsidP="006069E9">
      <w:pPr>
        <w:numPr>
          <w:ilvl w:val="0"/>
          <w:numId w:val="12"/>
        </w:numPr>
        <w:tabs>
          <w:tab w:val="clear" w:pos="1440"/>
          <w:tab w:val="num" w:pos="360"/>
          <w:tab w:val="num" w:pos="1276"/>
        </w:tabs>
        <w:spacing w:after="0" w:line="240" w:lineRule="auto"/>
        <w:ind w:left="0" w:firstLine="720"/>
        <w:jc w:val="both"/>
        <w:rPr>
          <w:rFonts w:ascii="Times New Roman" w:hAnsi="Times New Roman"/>
          <w:sz w:val="24"/>
          <w:szCs w:val="24"/>
          <w:lang w:val="sr-Cyrl-RS"/>
        </w:rPr>
      </w:pPr>
      <w:r w:rsidRPr="0081082A">
        <w:rPr>
          <w:rFonts w:ascii="Times New Roman" w:hAnsi="Times New Roman"/>
          <w:i/>
          <w:iCs/>
          <w:sz w:val="24"/>
          <w:szCs w:val="24"/>
          <w:lang w:val="sr-Cyrl-RS"/>
        </w:rPr>
        <w:t>Комуникација тачних, релевантних и правовремених информација</w:t>
      </w:r>
      <w:r w:rsidRPr="0081082A">
        <w:rPr>
          <w:rFonts w:ascii="Times New Roman" w:hAnsi="Times New Roman"/>
          <w:sz w:val="24"/>
          <w:szCs w:val="24"/>
          <w:lang w:val="sr-Cyrl-RS"/>
        </w:rPr>
        <w:t xml:space="preserve"> у вези са финансијским и оперативним учинком унутар и ван организације.</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ИР је активност која пружа независно</w:t>
      </w:r>
      <w:r w:rsidR="000A7AE8" w:rsidRPr="0081082A">
        <w:rPr>
          <w:rFonts w:ascii="Times New Roman" w:hAnsi="Times New Roman"/>
          <w:sz w:val="24"/>
          <w:szCs w:val="24"/>
          <w:lang w:val="sr-Cyrl-RS"/>
        </w:rPr>
        <w:t>,</w:t>
      </w:r>
      <w:r w:rsidRPr="0081082A">
        <w:rPr>
          <w:rFonts w:ascii="Times New Roman" w:hAnsi="Times New Roman"/>
          <w:sz w:val="24"/>
          <w:szCs w:val="24"/>
          <w:lang w:val="sr-Cyrl-RS"/>
        </w:rPr>
        <w:t xml:space="preserve"> објективно уверавање и саветодавна активност, са сврхом да допринесе унапређењу пословања организације</w:t>
      </w:r>
      <w:r w:rsidR="000A7AE8" w:rsidRPr="0081082A">
        <w:rPr>
          <w:rFonts w:ascii="Times New Roman" w:hAnsi="Times New Roman"/>
          <w:sz w:val="24"/>
          <w:szCs w:val="24"/>
          <w:lang w:val="sr-Cyrl-RS"/>
        </w:rPr>
        <w:t xml:space="preserve"> и</w:t>
      </w:r>
      <w:r w:rsidRPr="0081082A">
        <w:rPr>
          <w:rFonts w:ascii="Times New Roman" w:hAnsi="Times New Roman"/>
          <w:sz w:val="24"/>
          <w:szCs w:val="24"/>
          <w:lang w:val="sr-Cyrl-RS"/>
        </w:rPr>
        <w:t xml:space="preserve"> помаже организацији да оствари своје циљеве, тако што систематично и дисциплиновано процењује и вреднује управљање ризицима, контроле и управљање организацијом.</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Успостављен децентрализован систем ФУК и ИР код корисника јавних средстава, значи да је одговорност на руководиоцу корисника јавних средстава. Са </w:t>
      </w:r>
      <w:r w:rsidRPr="0081082A">
        <w:rPr>
          <w:rFonts w:ascii="Times New Roman" w:hAnsi="Times New Roman" w:cs="Times New Roman"/>
          <w:sz w:val="24"/>
          <w:szCs w:val="24"/>
          <w:lang w:val="sr-Cyrl-RS"/>
        </w:rPr>
        <w:lastRenderedPageBreak/>
        <w:t xml:space="preserve">друге стране, ЦЈХ, као централна институција за системе ФУК и ИР, дефинише заједничке критеријуме, прати међународне  стандарде и принципе и приближава их јавном сектору </w:t>
      </w:r>
      <w:r w:rsidR="00534963" w:rsidRPr="0081082A">
        <w:rPr>
          <w:rFonts w:ascii="Times New Roman" w:hAnsi="Times New Roman" w:cs="Times New Roman"/>
          <w:bCs/>
          <w:sz w:val="24"/>
          <w:szCs w:val="24"/>
          <w:lang w:val="sr-Cyrl-RS"/>
        </w:rPr>
        <w:t>Републике Србије</w:t>
      </w:r>
      <w:r w:rsidRPr="0081082A">
        <w:rPr>
          <w:rFonts w:ascii="Times New Roman" w:hAnsi="Times New Roman" w:cs="Times New Roman"/>
          <w:sz w:val="24"/>
          <w:szCs w:val="24"/>
          <w:lang w:val="sr-Cyrl-RS"/>
        </w:rPr>
        <w:t>, пружа стручну подршку за њихову примену и даљи развој и прати стање ИФКЈ области.</w:t>
      </w:r>
    </w:p>
    <w:p w:rsidR="001B6DE8" w:rsidRPr="0081082A" w:rsidRDefault="001B6DE8" w:rsidP="001B6DE8">
      <w:pPr>
        <w:spacing w:after="0" w:line="240" w:lineRule="auto"/>
        <w:ind w:firstLine="708"/>
        <w:jc w:val="both"/>
        <w:rPr>
          <w:rFonts w:ascii="Times New Roman" w:hAnsi="Times New Roman"/>
          <w:sz w:val="24"/>
          <w:szCs w:val="24"/>
          <w:lang w:val="sr-Cyrl-RS"/>
        </w:rPr>
      </w:pPr>
      <w:r w:rsidRPr="0081082A">
        <w:rPr>
          <w:rFonts w:ascii="Times New Roman" w:hAnsi="Times New Roman"/>
          <w:sz w:val="24"/>
          <w:szCs w:val="24"/>
          <w:lang w:val="sr-Cyrl-RS"/>
        </w:rPr>
        <w:t xml:space="preserve">Спровођење мера и активности које су предвиђене овим циљем директно зависе од напретка који је учињен у специфичним областима, које су обухваћене Стратегијом реформе јавне управе и појединих делова ПРУЈФ. Напредак у многоме зависи и од проактивног приступа корисника јавних средстава, који у складу са законом, треба да примене стандарде интерне контроле и да осигурају неопходне капацитете за функционисање система интерне контроле. </w:t>
      </w:r>
    </w:p>
    <w:p w:rsidR="001B6DE8" w:rsidRPr="0081082A" w:rsidRDefault="001B6DE8" w:rsidP="001B6DE8">
      <w:pPr>
        <w:spacing w:after="0" w:line="240" w:lineRule="auto"/>
        <w:jc w:val="both"/>
        <w:rPr>
          <w:rFonts w:ascii="Times New Roman" w:hAnsi="Times New Roman" w:cs="Times New Roman"/>
          <w:sz w:val="24"/>
          <w:szCs w:val="24"/>
          <w:lang w:val="sr-Cyrl-RS"/>
        </w:rPr>
      </w:pPr>
    </w:p>
    <w:p w:rsidR="001B6DE8" w:rsidRPr="0081082A" w:rsidRDefault="00811B7D" w:rsidP="00811B7D">
      <w:pPr>
        <w:spacing w:after="0" w:line="240" w:lineRule="auto"/>
        <w:ind w:firstLine="708"/>
        <w:jc w:val="center"/>
        <w:rPr>
          <w:rFonts w:ascii="Times New Roman" w:hAnsi="Times New Roman" w:cs="Times New Roman"/>
          <w:sz w:val="24"/>
          <w:szCs w:val="24"/>
          <w:lang w:val="sr-Cyrl-RS"/>
        </w:rPr>
      </w:pPr>
      <w:r w:rsidRPr="0081082A">
        <w:rPr>
          <w:rFonts w:ascii="Times New Roman" w:hAnsi="Times New Roman"/>
          <w:noProof/>
          <w:sz w:val="24"/>
        </w:rPr>
        <w:drawing>
          <wp:inline distT="0" distB="0" distL="0" distR="0" wp14:anchorId="5E954422" wp14:editId="1F63A72B">
            <wp:extent cx="5210175" cy="309499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27440" cy="3105246"/>
                    </a:xfrm>
                    <a:prstGeom prst="rect">
                      <a:avLst/>
                    </a:prstGeom>
                  </pic:spPr>
                </pic:pic>
              </a:graphicData>
            </a:graphic>
          </wp:inline>
        </w:drawing>
      </w:r>
    </w:p>
    <w:p w:rsidR="001B6DE8" w:rsidRPr="0081082A" w:rsidRDefault="001B6DE8" w:rsidP="00811B7D">
      <w:pPr>
        <w:spacing w:after="0" w:line="240" w:lineRule="auto"/>
        <w:ind w:firstLine="708"/>
        <w:jc w:val="center"/>
        <w:rPr>
          <w:rFonts w:ascii="Times New Roman" w:hAnsi="Times New Roman" w:cs="Times New Roman"/>
          <w:b/>
          <w:bCs/>
          <w:sz w:val="22"/>
          <w:szCs w:val="22"/>
          <w:lang w:val="sr-Cyrl-RS"/>
        </w:rPr>
      </w:pPr>
      <w:r w:rsidRPr="0081082A">
        <w:rPr>
          <w:rFonts w:ascii="Times New Roman" w:hAnsi="Times New Roman" w:cs="Times New Roman"/>
          <w:b/>
          <w:bCs/>
          <w:sz w:val="22"/>
          <w:szCs w:val="22"/>
          <w:lang w:val="sr-Cyrl-RS"/>
        </w:rPr>
        <w:t>Слика 5.: Предности успостављања ИФКЈ</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p>
    <w:p w:rsidR="001B6DE8" w:rsidRPr="0081082A" w:rsidRDefault="001B6DE8" w:rsidP="001B6DE8">
      <w:pPr>
        <w:pStyle w:val="Heading2"/>
        <w:spacing w:line="240" w:lineRule="auto"/>
        <w:jc w:val="center"/>
        <w:rPr>
          <w:lang w:val="sr-Cyrl-RS"/>
        </w:rPr>
      </w:pPr>
      <w:bookmarkStart w:id="24" w:name="_Toc69727767"/>
      <w:r w:rsidRPr="0081082A">
        <w:rPr>
          <w:rFonts w:ascii="Times New Roman" w:eastAsia="Calibri" w:hAnsi="Times New Roman" w:cs="Times New Roman"/>
          <w:sz w:val="24"/>
          <w:szCs w:val="24"/>
          <w:lang w:val="sr-Cyrl-RS"/>
        </w:rPr>
        <w:t>Постигнуто у претходном ПЕРИОДУ</w:t>
      </w:r>
      <w:bookmarkEnd w:id="24"/>
    </w:p>
    <w:p w:rsidR="001B6DE8" w:rsidRPr="0081082A" w:rsidRDefault="001B6DE8" w:rsidP="001B6DE8">
      <w:pPr>
        <w:spacing w:after="0" w:line="240" w:lineRule="auto"/>
        <w:ind w:firstLine="709"/>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Развој ИФКЈ се у поступку европских интеграција увек стратешки планирао и пратио кроз више поглавља од којих је најзначајније поглавље 32 – Финансијски надзор</w:t>
      </w:r>
      <w:r w:rsidRPr="0081082A">
        <w:rPr>
          <w:rStyle w:val="FootnoteReference"/>
          <w:rFonts w:ascii="Times New Roman" w:hAnsi="Times New Roman" w:cs="Times New Roman"/>
          <w:sz w:val="24"/>
          <w:szCs w:val="24"/>
          <w:lang w:val="sr-Cyrl-RS"/>
        </w:rPr>
        <w:footnoteReference w:id="88"/>
      </w:r>
      <w:r w:rsidRPr="0081082A">
        <w:rPr>
          <w:rFonts w:ascii="Times New Roman" w:hAnsi="Times New Roman" w:cs="Times New Roman"/>
          <w:sz w:val="24"/>
          <w:szCs w:val="24"/>
          <w:lang w:val="sr-Cyrl-RS"/>
        </w:rPr>
        <w:t xml:space="preserve">. Извештаји о напретку су у претходним периодима потврђивали напредовања у овом поглављу и садржавали препоруке за даљу надоградњу ИФКЈ. У последњем Извештају Европске комисије о Србији за 2020. годину, констатује се да је Србија умерено припремљена за поглавље 32, али и да је у 2020. години остварен добар напредак. Више од 95% препорука које је 2019. године дала </w:t>
      </w:r>
      <w:r w:rsidR="007F054D" w:rsidRPr="0081082A">
        <w:rPr>
          <w:rFonts w:ascii="Times New Roman" w:hAnsi="Times New Roman" w:cs="Times New Roman"/>
          <w:sz w:val="24"/>
          <w:szCs w:val="21"/>
          <w:lang w:val="sr-Cyrl-RS"/>
        </w:rPr>
        <w:t>ЕК</w:t>
      </w:r>
      <w:r w:rsidRPr="0081082A">
        <w:rPr>
          <w:rFonts w:ascii="Times New Roman" w:hAnsi="Times New Roman" w:cs="Times New Roman"/>
          <w:sz w:val="24"/>
          <w:szCs w:val="24"/>
          <w:lang w:val="sr-Cyrl-RS"/>
        </w:rPr>
        <w:t xml:space="preserve"> у оквиру Извештаја о Србији у контексту преговарачког поглавља 32 је спроведено, а то се нарочито односи на пилот-пројекат који је био спроведен у увођењу/развоју управљачке одговорности, као и у поступку преиспитивања квалитета унутрашњих контрола. Преостале препоруке се континуирано спроводе. Ипак, препорука је да се уложе додатни напори </w:t>
      </w:r>
      <w:r w:rsidRPr="0081082A">
        <w:rPr>
          <w:rFonts w:ascii="Times New Roman" w:hAnsi="Times New Roman" w:cs="Times New Roman"/>
          <w:sz w:val="24"/>
          <w:szCs w:val="24"/>
          <w:lang w:val="sr-Cyrl-RS"/>
        </w:rPr>
        <w:lastRenderedPageBreak/>
        <w:t xml:space="preserve">како би се управљачка одговорност уградила у административну организациону културу, као и у јачање функционисања ФУК и ИР. </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Имајући у виду да је ова област саставни део реформе УЈФ, као и део шире реформе јавне управе, након консултација са представницима </w:t>
      </w:r>
      <w:r w:rsidR="007F054D" w:rsidRPr="0081082A">
        <w:rPr>
          <w:rFonts w:ascii="Times New Roman" w:hAnsi="Times New Roman" w:cs="Times New Roman"/>
          <w:sz w:val="24"/>
          <w:szCs w:val="21"/>
          <w:lang w:val="sr-Cyrl-RS"/>
        </w:rPr>
        <w:t>ЕК</w:t>
      </w:r>
      <w:r w:rsidRPr="0081082A">
        <w:rPr>
          <w:rFonts w:ascii="Times New Roman" w:hAnsi="Times New Roman" w:cs="Times New Roman"/>
          <w:sz w:val="24"/>
          <w:szCs w:val="24"/>
          <w:lang w:val="sr-Cyrl-RS"/>
        </w:rPr>
        <w:t>, донета је одлука да се након истека постојеће Стратегије развоја интерне финансијске контроле у јавном сектору 2017-2020 - не припрема нова стратегија за период после 2020. године, већ да ова област постане саставни део ПРУЈФ 2021-2025. Тиме ће се</w:t>
      </w:r>
      <w:r w:rsidR="001D60AD"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у складу са Законом о планском систему </w:t>
      </w:r>
      <w:r w:rsidR="002A61BC" w:rsidRPr="0081082A">
        <w:rPr>
          <w:rFonts w:ascii="Times New Roman" w:hAnsi="Times New Roman" w:cs="Times New Roman"/>
          <w:sz w:val="24"/>
          <w:szCs w:val="24"/>
          <w:lang w:val="sr-Cyrl-RS"/>
        </w:rPr>
        <w:t xml:space="preserve"> Републике Србије</w:t>
      </w:r>
      <w:r w:rsidRPr="0081082A">
        <w:rPr>
          <w:rFonts w:ascii="Times New Roman" w:hAnsi="Times New Roman" w:cs="Times New Roman"/>
          <w:sz w:val="24"/>
          <w:szCs w:val="24"/>
          <w:lang w:val="sr-Cyrl-RS"/>
        </w:rPr>
        <w:t>, наставити даљи систематичан и одржив развој система ФУК и ИР. Такође, на овај начин ће се обезбедити и унапређење институције управљачке одговорности која је постала део СРЈУ 2021-2030 и налази се у оквиру стуба Одговорност и транспарентност</w:t>
      </w:r>
      <w:r w:rsidR="001D60AD"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где су планиране активности које ће се односити управо на унапређење управљачке одговорности кроз унапређење регулаторно-методолошког оквира уз целокупну подршку имплементацији (обуке, едукативни материјали). Посебан акценат је стављен на унапређење управљања учинком</w:t>
      </w:r>
      <w:r w:rsidR="001D60AD"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како на нивоу једне организације тако и међу хијерархијски повезаним организацијама.</w:t>
      </w:r>
    </w:p>
    <w:p w:rsidR="001B6DE8" w:rsidRPr="0081082A" w:rsidRDefault="001B6DE8" w:rsidP="001B6DE8">
      <w:pPr>
        <w:shd w:val="clear" w:color="auto" w:fill="FFFFFF"/>
        <w:spacing w:after="0" w:line="240" w:lineRule="auto"/>
        <w:ind w:firstLine="708"/>
        <w:jc w:val="both"/>
        <w:rPr>
          <w:rFonts w:ascii="Arial" w:eastAsia="Times New Roman" w:hAnsi="Arial" w:cs="Arial"/>
          <w:color w:val="0D4077"/>
          <w:sz w:val="23"/>
          <w:szCs w:val="23"/>
          <w:lang w:val="sr-Cyrl-RS" w:eastAsia="en-GB"/>
        </w:rPr>
      </w:pPr>
      <w:r w:rsidRPr="0081082A">
        <w:rPr>
          <w:rFonts w:ascii="Times New Roman" w:hAnsi="Times New Roman" w:cs="Times New Roman"/>
          <w:sz w:val="24"/>
          <w:szCs w:val="24"/>
          <w:lang w:val="sr-Cyrl-RS"/>
        </w:rPr>
        <w:t>У претходном стратешком периоду, систем ИФКЈ је заокружен и модернизован. Значајнији резултати су постигнути на унапређењу правно-методолошког оквира и припреми едукативних материјала у складу са међународним стандардима и добрим праксама ЕУ. Усвојен је Правилник о стручном усавршавању овлашћених интерних ревизора у јавном сектору</w:t>
      </w:r>
      <w:r w:rsidRPr="0081082A">
        <w:rPr>
          <w:rStyle w:val="FootnoteReference"/>
          <w:rFonts w:ascii="Times New Roman" w:hAnsi="Times New Roman" w:cs="Times New Roman"/>
          <w:sz w:val="24"/>
          <w:szCs w:val="24"/>
          <w:lang w:val="sr-Cyrl-RS"/>
        </w:rPr>
        <w:footnoteReference w:id="89"/>
      </w:r>
      <w:r w:rsidRPr="0081082A">
        <w:rPr>
          <w:rFonts w:ascii="Times New Roman" w:hAnsi="Times New Roman" w:cs="Times New Roman"/>
          <w:sz w:val="24"/>
          <w:szCs w:val="24"/>
          <w:lang w:val="sr-Cyrl-RS"/>
        </w:rPr>
        <w:t>, којим су дефинисана подручја и критеријуми за признавање, извештавање и евиденције о стручном усавршавању. Очекује се да ће спровођење овог правилника допринети унапређењу квалитета рада и даље</w:t>
      </w:r>
      <w:r w:rsidR="001D60AD" w:rsidRPr="0081082A">
        <w:rPr>
          <w:rFonts w:ascii="Times New Roman" w:hAnsi="Times New Roman" w:cs="Times New Roman"/>
          <w:sz w:val="24"/>
          <w:szCs w:val="24"/>
          <w:lang w:val="sr-Cyrl-RS"/>
        </w:rPr>
        <w:t>м</w:t>
      </w:r>
      <w:r w:rsidRPr="0081082A">
        <w:rPr>
          <w:rFonts w:ascii="Times New Roman" w:hAnsi="Times New Roman" w:cs="Times New Roman"/>
          <w:sz w:val="24"/>
          <w:szCs w:val="24"/>
          <w:lang w:val="sr-Cyrl-RS"/>
        </w:rPr>
        <w:t xml:space="preserve"> јачањ</w:t>
      </w:r>
      <w:r w:rsidR="001D60AD" w:rsidRPr="0081082A">
        <w:rPr>
          <w:rFonts w:ascii="Times New Roman" w:hAnsi="Times New Roman" w:cs="Times New Roman"/>
          <w:sz w:val="24"/>
          <w:szCs w:val="24"/>
          <w:lang w:val="sr-Cyrl-RS"/>
        </w:rPr>
        <w:t>у</w:t>
      </w:r>
      <w:r w:rsidRPr="0081082A">
        <w:rPr>
          <w:rFonts w:ascii="Times New Roman" w:hAnsi="Times New Roman" w:cs="Times New Roman"/>
          <w:sz w:val="24"/>
          <w:szCs w:val="24"/>
          <w:lang w:val="sr-Cyrl-RS"/>
        </w:rPr>
        <w:t xml:space="preserve"> улоге интерних ревизора у јавном сектору. Такође, усвојен је нови Правилник о заједничким критеријумима и стандардима за успостављање, функционисање и извештавање о систему ФУК код КЈС</w:t>
      </w:r>
      <w:r w:rsidRPr="0081082A">
        <w:rPr>
          <w:rStyle w:val="FootnoteReference"/>
          <w:rFonts w:ascii="Times New Roman" w:hAnsi="Times New Roman" w:cs="Times New Roman"/>
          <w:sz w:val="24"/>
          <w:szCs w:val="24"/>
          <w:lang w:val="sr-Cyrl-RS"/>
        </w:rPr>
        <w:footnoteReference w:id="90"/>
      </w:r>
      <w:r w:rsidRPr="0081082A">
        <w:rPr>
          <w:rFonts w:ascii="Times New Roman" w:hAnsi="Times New Roman" w:cs="Times New Roman"/>
          <w:sz w:val="24"/>
          <w:szCs w:val="24"/>
          <w:lang w:val="sr-Cyrl-RS"/>
        </w:rPr>
        <w:t xml:space="preserve"> (у даљем тексту: ФУК Правилник), којим је уведена Изјава о интерним контролама чијим потписивањем руководилац потврђује ниво усклађености система </w:t>
      </w:r>
      <w:r w:rsidRPr="0081082A">
        <w:rPr>
          <w:rFonts w:ascii="Times New Roman" w:hAnsi="Times New Roman"/>
          <w:sz w:val="24"/>
          <w:lang w:val="sr-Cyrl-RS"/>
        </w:rPr>
        <w:t>ФУК</w:t>
      </w:r>
      <w:r w:rsidRPr="0081082A">
        <w:rPr>
          <w:rFonts w:ascii="Times New Roman" w:hAnsi="Times New Roman" w:cs="Times New Roman"/>
          <w:sz w:val="24"/>
          <w:szCs w:val="24"/>
          <w:lang w:val="sr-Cyrl-RS"/>
        </w:rPr>
        <w:t xml:space="preserve"> у односу на међународне стандарде интерне контроле. Изјава о интерним контролама треба да допринесе подизању нивоа свести руководилаца о њиховој улози и задацима, али и да ојача управљачку одговорност, која је у претходном периоду препозната као један од изазова успостављања ФУК. ФУК Правилник је усклађен са изменама међународних стандарда интерне контроле (</w:t>
      </w:r>
      <w:r w:rsidRPr="0081082A">
        <w:rPr>
          <w:rFonts w:ascii="Times New Roman" w:hAnsi="Times New Roman" w:cs="Times New Roman"/>
          <w:i/>
          <w:iCs/>
          <w:sz w:val="24"/>
          <w:szCs w:val="24"/>
          <w:lang w:val="sr-Cyrl-RS"/>
        </w:rPr>
        <w:t>INTOSAI</w:t>
      </w:r>
      <w:r w:rsidRPr="0081082A">
        <w:rPr>
          <w:rFonts w:ascii="Times New Roman" w:hAnsi="Times New Roman" w:cs="Times New Roman"/>
          <w:sz w:val="24"/>
          <w:szCs w:val="24"/>
          <w:lang w:val="sr-Cyrl-RS"/>
        </w:rPr>
        <w:t xml:space="preserve">) који укључују концепт </w:t>
      </w:r>
      <w:r w:rsidRPr="0081082A">
        <w:rPr>
          <w:rFonts w:ascii="Times New Roman" w:hAnsi="Times New Roman" w:cs="Times New Roman"/>
          <w:i/>
          <w:iCs/>
          <w:sz w:val="24"/>
          <w:szCs w:val="24"/>
          <w:lang w:val="sr-Cyrl-RS"/>
        </w:rPr>
        <w:t>COSO</w:t>
      </w:r>
      <w:r w:rsidRPr="0081082A">
        <w:rPr>
          <w:rFonts w:ascii="Times New Roman" w:hAnsi="Times New Roman" w:cs="Times New Roman"/>
          <w:sz w:val="24"/>
          <w:szCs w:val="24"/>
          <w:lang w:val="sr-Cyrl-RS"/>
        </w:rPr>
        <w:t xml:space="preserve"> оквира 2013 „Интерна контрола – Интегрисани оквир</w:t>
      </w:r>
      <w:r w:rsidR="007E728E" w:rsidRPr="0081082A">
        <w:rPr>
          <w:rFonts w:ascii="Times New Roman" w:hAnsi="Times New Roman" w:cs="Times New Roman"/>
          <w:sz w:val="24"/>
          <w:szCs w:val="24"/>
          <w:lang w:val="sr-Cyrl-RS"/>
        </w:rPr>
        <w:t>”</w:t>
      </w:r>
      <w:r w:rsidRPr="0081082A">
        <w:rPr>
          <w:rStyle w:val="FootnoteReference"/>
          <w:rFonts w:ascii="Times New Roman" w:hAnsi="Times New Roman" w:cs="Times New Roman"/>
          <w:sz w:val="24"/>
          <w:szCs w:val="24"/>
          <w:lang w:val="sr-Cyrl-RS"/>
        </w:rPr>
        <w:footnoteReference w:id="91"/>
      </w:r>
      <w:r w:rsidRPr="0081082A">
        <w:rPr>
          <w:rFonts w:ascii="Times New Roman" w:hAnsi="Times New Roman" w:cs="Times New Roman"/>
          <w:sz w:val="24"/>
          <w:szCs w:val="24"/>
          <w:lang w:val="sr-Cyrl-RS"/>
        </w:rPr>
        <w:t>. Детаљније је разрађен концепт управљачке одговорности и управљање неправилностима. Приручник за финансијско управљање и контролу је ажуриран и објављен</w:t>
      </w:r>
      <w:r w:rsidRPr="0081082A">
        <w:rPr>
          <w:rStyle w:val="FootnoteReference"/>
          <w:rFonts w:ascii="Times New Roman" w:hAnsi="Times New Roman" w:cs="Times New Roman"/>
          <w:sz w:val="24"/>
          <w:szCs w:val="24"/>
          <w:lang w:val="sr-Cyrl-RS"/>
        </w:rPr>
        <w:footnoteReference w:id="92"/>
      </w:r>
      <w:r w:rsidRPr="0081082A">
        <w:rPr>
          <w:rFonts w:ascii="Times New Roman" w:hAnsi="Times New Roman" w:cs="Times New Roman"/>
          <w:sz w:val="24"/>
          <w:szCs w:val="24"/>
          <w:lang w:val="sr-Cyrl-RS"/>
        </w:rPr>
        <w:t xml:space="preserve">, а најважније измене везане су за увођење новог </w:t>
      </w:r>
      <w:r w:rsidRPr="0081082A">
        <w:rPr>
          <w:rFonts w:ascii="Times New Roman" w:hAnsi="Times New Roman" w:cs="Times New Roman"/>
          <w:i/>
          <w:iCs/>
          <w:sz w:val="24"/>
          <w:szCs w:val="24"/>
          <w:lang w:val="sr-Cyrl-RS"/>
        </w:rPr>
        <w:t xml:space="preserve">COSO </w:t>
      </w:r>
      <w:r w:rsidRPr="0081082A">
        <w:rPr>
          <w:rFonts w:ascii="Times New Roman" w:hAnsi="Times New Roman" w:cs="Times New Roman"/>
          <w:sz w:val="24"/>
          <w:szCs w:val="24"/>
          <w:lang w:val="sr-Cyrl-RS"/>
        </w:rPr>
        <w:t>оквира</w:t>
      </w:r>
      <w:r w:rsidRPr="0081082A">
        <w:rPr>
          <w:rStyle w:val="FootnoteReference"/>
          <w:rFonts w:ascii="Times New Roman" w:hAnsi="Times New Roman" w:cs="Times New Roman"/>
          <w:sz w:val="24"/>
          <w:szCs w:val="24"/>
          <w:lang w:val="sr-Cyrl-RS"/>
        </w:rPr>
        <w:footnoteReference w:id="93"/>
      </w:r>
      <w:r w:rsidRPr="0081082A">
        <w:rPr>
          <w:rFonts w:ascii="Times New Roman" w:hAnsi="Times New Roman" w:cs="Times New Roman"/>
          <w:sz w:val="24"/>
          <w:szCs w:val="24"/>
          <w:lang w:val="sr-Cyrl-RS"/>
        </w:rPr>
        <w:t xml:space="preserve"> 2013 и укључивање ажурираних алата из области ФУК-а, чиме се обезбеђује усаглашеност управљања у КЈС са најновијим променама у области међународних принципа у сфери интерних контрола и њихову олакшану импл</w:t>
      </w:r>
      <w:r w:rsidR="00A54E1A">
        <w:rPr>
          <w:rFonts w:ascii="Times New Roman" w:hAnsi="Times New Roman" w:cs="Times New Roman"/>
          <w:sz w:val="24"/>
          <w:szCs w:val="24"/>
          <w:lang w:val="sr-Cyrl-RS"/>
        </w:rPr>
        <w:t>е</w:t>
      </w:r>
      <w:r w:rsidRPr="0081082A">
        <w:rPr>
          <w:rFonts w:ascii="Times New Roman" w:hAnsi="Times New Roman" w:cs="Times New Roman"/>
          <w:sz w:val="24"/>
          <w:szCs w:val="24"/>
          <w:lang w:val="sr-Cyrl-RS"/>
        </w:rPr>
        <w:t>ментацију и видљивост. Спроведене су активности на пилот пројекту у оквиру Твининга који је имао за циљ примену добре праксе ФУК у пилот институцијама</w:t>
      </w:r>
      <w:r w:rsidRPr="0081082A">
        <w:rPr>
          <w:rStyle w:val="FootnoteReference"/>
          <w:rFonts w:ascii="Times New Roman" w:hAnsi="Times New Roman" w:cs="Times New Roman"/>
          <w:sz w:val="24"/>
          <w:szCs w:val="24"/>
          <w:lang w:val="sr-Cyrl-RS"/>
        </w:rPr>
        <w:footnoteReference w:id="94"/>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примену </w:t>
      </w:r>
      <w:r w:rsidRPr="0081082A">
        <w:rPr>
          <w:rFonts w:ascii="Times New Roman" w:hAnsi="Times New Roman" w:cs="Times New Roman"/>
          <w:sz w:val="24"/>
          <w:szCs w:val="24"/>
          <w:lang w:val="sr-Cyrl-RS"/>
        </w:rPr>
        <w:lastRenderedPageBreak/>
        <w:t>концепта управљачке одговорности. У складу са примерима добре праксе израђене су смернице и методолошки оквир управљачке одговорности. У циљу унапређења знања припремљено је 13 различитих смерница/модела/видео материјала из различитих области интерне контроле</w:t>
      </w:r>
      <w:r w:rsidRPr="0081082A">
        <w:rPr>
          <w:rStyle w:val="FootnoteReference"/>
          <w:rFonts w:ascii="Times New Roman" w:hAnsi="Times New Roman" w:cs="Times New Roman"/>
          <w:sz w:val="24"/>
          <w:szCs w:val="24"/>
          <w:lang w:val="sr-Cyrl-RS"/>
        </w:rPr>
        <w:footnoteReference w:id="95"/>
      </w:r>
      <w:r w:rsidRPr="0081082A">
        <w:rPr>
          <w:rFonts w:ascii="Times New Roman" w:hAnsi="Times New Roman" w:cs="Times New Roman"/>
          <w:sz w:val="24"/>
          <w:szCs w:val="24"/>
          <w:lang w:val="sr-Cyrl-RS"/>
        </w:rPr>
        <w:t xml:space="preserve"> од којих је већина објављена  у секцији е-учење ЦЈХ у оквиру веб</w:t>
      </w:r>
      <w:r w:rsidR="0048467F">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сајта МФ. </w:t>
      </w:r>
      <w:r w:rsidRPr="0081082A">
        <w:rPr>
          <w:rFonts w:ascii="Times New Roman" w:hAnsi="Times New Roman" w:cs="Times New Roman"/>
          <w:color w:val="000000"/>
          <w:sz w:val="24"/>
          <w:szCs w:val="24"/>
          <w:lang w:val="sr-Cyrl-RS"/>
        </w:rPr>
        <w:t xml:space="preserve">Такође, ажуриран је и  </w:t>
      </w:r>
      <w:r w:rsidRPr="0081082A">
        <w:rPr>
          <w:rFonts w:ascii="Times New Roman" w:hAnsi="Times New Roman"/>
          <w:color w:val="000000"/>
          <w:sz w:val="24"/>
          <w:lang w:val="sr-Cyrl-RS"/>
        </w:rPr>
        <w:t xml:space="preserve">Приручник за </w:t>
      </w:r>
      <w:r w:rsidRPr="0081082A">
        <w:rPr>
          <w:rFonts w:ascii="Times New Roman" w:hAnsi="Times New Roman" w:cs="Times New Roman"/>
          <w:color w:val="000000"/>
          <w:sz w:val="24"/>
          <w:szCs w:val="24"/>
          <w:lang w:val="sr-Cyrl-RS"/>
        </w:rPr>
        <w:t>ИР и израђене су пратеће смернице.</w:t>
      </w:r>
      <w:r w:rsidRPr="0081082A">
        <w:rPr>
          <w:rStyle w:val="FootnoteReference"/>
          <w:rFonts w:ascii="Times New Roman" w:hAnsi="Times New Roman" w:cs="Times New Roman"/>
          <w:color w:val="000000"/>
          <w:sz w:val="24"/>
          <w:szCs w:val="24"/>
          <w:lang w:val="sr-Cyrl-RS"/>
        </w:rPr>
        <w:footnoteReference w:id="96"/>
      </w:r>
      <w:r w:rsidRPr="0081082A">
        <w:rPr>
          <w:rFonts w:ascii="Times New Roman" w:hAnsi="Times New Roman" w:cs="Times New Roman"/>
          <w:color w:val="000000"/>
          <w:sz w:val="24"/>
          <w:szCs w:val="24"/>
          <w:lang w:val="sr-Cyrl-RS"/>
        </w:rPr>
        <w:t xml:space="preserve">  Иако је највећа подршка добијена од Твининг пројекта, ИФКЈ је била подржана од стране </w:t>
      </w:r>
      <w:r w:rsidRPr="0081082A">
        <w:rPr>
          <w:rFonts w:ascii="Times New Roman" w:hAnsi="Times New Roman" w:cs="Times New Roman"/>
          <w:i/>
          <w:iCs/>
          <w:color w:val="000000"/>
          <w:sz w:val="24"/>
          <w:szCs w:val="24"/>
          <w:lang w:val="sr-Cyrl-RS"/>
        </w:rPr>
        <w:t>SECO/UNDP</w:t>
      </w:r>
      <w:r w:rsidRPr="0081082A">
        <w:rPr>
          <w:rFonts w:ascii="Times New Roman" w:hAnsi="Times New Roman" w:cs="Times New Roman"/>
          <w:color w:val="000000"/>
          <w:sz w:val="24"/>
          <w:szCs w:val="24"/>
          <w:lang w:val="sr-Cyrl-RS"/>
        </w:rPr>
        <w:t xml:space="preserve"> пројекта </w:t>
      </w:r>
      <w:r w:rsidRPr="0081082A">
        <w:rPr>
          <w:rFonts w:ascii="Times New Roman" w:hAnsi="Times New Roman" w:cs="Times New Roman"/>
          <w:i/>
          <w:color w:val="000000"/>
          <w:sz w:val="24"/>
          <w:szCs w:val="24"/>
          <w:lang w:val="sr-Cyrl-RS"/>
        </w:rPr>
        <w:t>Побољшање опш</w:t>
      </w:r>
      <w:r w:rsidRPr="0081082A">
        <w:rPr>
          <w:rFonts w:ascii="Times New Roman" w:hAnsi="Times New Roman" w:cs="Times New Roman"/>
          <w:bCs/>
          <w:i/>
          <w:color w:val="000000"/>
          <w:sz w:val="24"/>
          <w:szCs w:val="24"/>
          <w:lang w:val="sr-Cyrl-RS"/>
        </w:rPr>
        <w:t>тинске ревизије за одговорност и</w:t>
      </w:r>
      <w:r w:rsidRPr="0081082A">
        <w:rPr>
          <w:rFonts w:ascii="Times New Roman" w:hAnsi="Times New Roman" w:cs="Times New Roman"/>
          <w:i/>
          <w:color w:val="000000"/>
          <w:sz w:val="24"/>
          <w:szCs w:val="24"/>
          <w:lang w:val="sr-Cyrl-RS"/>
        </w:rPr>
        <w:t xml:space="preserve"> ефикасност у управљању јавним финансијама</w:t>
      </w:r>
      <w:r w:rsidRPr="0081082A">
        <w:rPr>
          <w:rFonts w:ascii="Times New Roman" w:hAnsi="Times New Roman" w:cs="Times New Roman"/>
          <w:color w:val="000000"/>
          <w:sz w:val="24"/>
          <w:szCs w:val="24"/>
          <w:lang w:val="sr-Cyrl-RS"/>
        </w:rPr>
        <w:t xml:space="preserve">, </w:t>
      </w:r>
      <w:r w:rsidRPr="0081082A">
        <w:rPr>
          <w:rFonts w:ascii="Times New Roman" w:hAnsi="Times New Roman" w:cs="Times New Roman"/>
          <w:i/>
          <w:iCs/>
          <w:color w:val="000000"/>
          <w:sz w:val="24"/>
          <w:szCs w:val="24"/>
          <w:lang w:val="sr-Cyrl-RS"/>
        </w:rPr>
        <w:t>SIDA/</w:t>
      </w:r>
      <w:r w:rsidRPr="0081082A">
        <w:rPr>
          <w:rFonts w:ascii="Times New Roman" w:hAnsi="Times New Roman" w:cs="Times New Roman"/>
          <w:bCs/>
          <w:i/>
          <w:iCs/>
          <w:color w:val="000000"/>
          <w:sz w:val="24"/>
          <w:szCs w:val="24"/>
          <w:lang w:val="sr-Cyrl-RS"/>
        </w:rPr>
        <w:t>UNDР</w:t>
      </w:r>
      <w:r w:rsidRPr="0081082A">
        <w:rPr>
          <w:rFonts w:ascii="Times New Roman" w:hAnsi="Times New Roman" w:cs="Times New Roman"/>
          <w:bCs/>
          <w:color w:val="000000"/>
          <w:sz w:val="24"/>
          <w:szCs w:val="24"/>
          <w:lang w:val="sr-Cyrl-RS"/>
        </w:rPr>
        <w:t xml:space="preserve"> пр</w:t>
      </w:r>
      <w:r w:rsidRPr="0081082A">
        <w:rPr>
          <w:rFonts w:ascii="Times New Roman" w:hAnsi="Times New Roman" w:cs="Times New Roman"/>
          <w:color w:val="000000"/>
          <w:sz w:val="24"/>
          <w:szCs w:val="24"/>
          <w:lang w:val="sr-Cyrl-RS"/>
        </w:rPr>
        <w:t xml:space="preserve">ојекта, </w:t>
      </w:r>
      <w:r w:rsidRPr="0081082A">
        <w:rPr>
          <w:rFonts w:ascii="Times New Roman" w:hAnsi="Times New Roman" w:cs="Times New Roman"/>
          <w:i/>
          <w:color w:val="000000"/>
          <w:sz w:val="24"/>
          <w:szCs w:val="24"/>
          <w:lang w:val="sr-Cyrl-RS"/>
        </w:rPr>
        <w:t>Одговорна платформа за управљање јавним финансијама</w:t>
      </w:r>
      <w:r w:rsidRPr="0081082A">
        <w:rPr>
          <w:rFonts w:ascii="Times New Roman" w:hAnsi="Times New Roman" w:cs="Times New Roman"/>
          <w:color w:val="000000"/>
          <w:sz w:val="24"/>
          <w:szCs w:val="24"/>
          <w:lang w:val="sr-Cyrl-RS"/>
        </w:rPr>
        <w:t xml:space="preserve">, SECO </w:t>
      </w:r>
      <w:r w:rsidRPr="0081082A">
        <w:rPr>
          <w:rFonts w:ascii="Times New Roman" w:hAnsi="Times New Roman" w:cs="Times New Roman"/>
          <w:i/>
          <w:color w:val="000000"/>
          <w:sz w:val="24"/>
          <w:szCs w:val="24"/>
          <w:lang w:val="sr-Cyrl-RS"/>
        </w:rPr>
        <w:t>Пројекта реформе локалних финансија</w:t>
      </w:r>
      <w:r w:rsidRPr="0081082A">
        <w:rPr>
          <w:rFonts w:ascii="Times New Roman" w:hAnsi="Times New Roman" w:cs="Times New Roman"/>
          <w:color w:val="000000"/>
          <w:sz w:val="24"/>
          <w:szCs w:val="24"/>
          <w:lang w:val="sr-Cyrl-RS"/>
        </w:rPr>
        <w:t xml:space="preserve"> – </w:t>
      </w:r>
      <w:r w:rsidRPr="0081082A">
        <w:rPr>
          <w:rFonts w:ascii="Times New Roman" w:hAnsi="Times New Roman" w:cs="Times New Roman"/>
          <w:i/>
          <w:iCs/>
          <w:color w:val="000000"/>
          <w:sz w:val="24"/>
          <w:szCs w:val="24"/>
          <w:lang w:val="sr-Cyrl-RS"/>
        </w:rPr>
        <w:t>RELOF</w:t>
      </w:r>
      <w:r w:rsidRPr="0081082A">
        <w:rPr>
          <w:rFonts w:ascii="Times New Roman" w:hAnsi="Times New Roman" w:cs="Times New Roman"/>
          <w:bCs/>
          <w:i/>
          <w:iCs/>
          <w:color w:val="000000"/>
          <w:sz w:val="24"/>
          <w:szCs w:val="24"/>
          <w:lang w:val="sr-Cyrl-RS"/>
        </w:rPr>
        <w:t xml:space="preserve"> </w:t>
      </w:r>
      <w:r w:rsidRPr="0081082A">
        <w:rPr>
          <w:rFonts w:ascii="Times New Roman" w:hAnsi="Times New Roman" w:cs="Times New Roman"/>
          <w:bCs/>
          <w:color w:val="000000"/>
          <w:sz w:val="24"/>
          <w:szCs w:val="24"/>
          <w:lang w:val="sr-Cyrl-RS"/>
        </w:rPr>
        <w:t>и</w:t>
      </w:r>
      <w:r w:rsidRPr="0081082A">
        <w:rPr>
          <w:rStyle w:val="Strong"/>
          <w:rFonts w:ascii="Arial" w:hAnsi="Arial" w:cs="Arial"/>
          <w:b w:val="0"/>
          <w:color w:val="0D4077"/>
          <w:sz w:val="23"/>
          <w:szCs w:val="23"/>
          <w:shd w:val="clear" w:color="auto" w:fill="FFFFFF"/>
          <w:lang w:val="sr-Cyrl-RS"/>
        </w:rPr>
        <w:t> </w:t>
      </w:r>
      <w:r w:rsidRPr="0081082A">
        <w:rPr>
          <w:rFonts w:ascii="Times New Roman" w:hAnsi="Times New Roman"/>
          <w:sz w:val="24"/>
          <w:lang w:val="sr-Cyrl-RS"/>
        </w:rPr>
        <w:t xml:space="preserve">уз подршку </w:t>
      </w:r>
      <w:r w:rsidR="005E0A00" w:rsidRPr="0081082A">
        <w:rPr>
          <w:rFonts w:ascii="Times New Roman" w:hAnsi="Times New Roman"/>
          <w:i/>
          <w:iCs/>
          <w:sz w:val="24"/>
          <w:lang w:val="sr-Cyrl-RS"/>
        </w:rPr>
        <w:t>GIZ</w:t>
      </w:r>
      <w:r w:rsidR="005E0A00" w:rsidRPr="0081082A">
        <w:rPr>
          <w:rFonts w:ascii="Times New Roman" w:hAnsi="Times New Roman"/>
          <w:sz w:val="24"/>
          <w:lang w:val="sr-Cyrl-RS"/>
        </w:rPr>
        <w:t xml:space="preserve"> </w:t>
      </w:r>
      <w:r w:rsidRPr="0081082A">
        <w:rPr>
          <w:rFonts w:ascii="Times New Roman" w:hAnsi="Times New Roman"/>
          <w:sz w:val="24"/>
          <w:lang w:val="sr-Cyrl-RS"/>
        </w:rPr>
        <w:t xml:space="preserve">пројекта </w:t>
      </w:r>
      <w:r w:rsidRPr="0081082A">
        <w:rPr>
          <w:rStyle w:val="Strong"/>
          <w:rFonts w:ascii="Arial" w:hAnsi="Arial" w:cs="Arial"/>
          <w:color w:val="0D4077"/>
          <w:sz w:val="23"/>
          <w:szCs w:val="23"/>
          <w:lang w:val="sr-Cyrl-RS"/>
        </w:rPr>
        <w:t xml:space="preserve"> </w:t>
      </w:r>
      <w:r w:rsidRPr="0081082A">
        <w:rPr>
          <w:rFonts w:ascii="Times New Roman" w:hAnsi="Times New Roman"/>
          <w:i/>
          <w:sz w:val="24"/>
          <w:lang w:val="sr-Cyrl-RS"/>
        </w:rPr>
        <w:t xml:space="preserve">Реформа јавних финансија – Агенда 2030 – </w:t>
      </w:r>
      <w:r w:rsidR="005E0A00" w:rsidRPr="0081082A">
        <w:rPr>
          <w:rFonts w:ascii="Times New Roman" w:hAnsi="Times New Roman"/>
          <w:i/>
          <w:sz w:val="24"/>
          <w:lang w:val="sr-Cyrl-RS"/>
        </w:rPr>
        <w:t xml:space="preserve">PFR </w:t>
      </w:r>
      <w:r w:rsidRPr="0081082A">
        <w:rPr>
          <w:rFonts w:ascii="Times New Roman" w:hAnsi="Times New Roman"/>
          <w:i/>
          <w:sz w:val="24"/>
          <w:lang w:val="sr-Cyrl-RS"/>
        </w:rPr>
        <w:t>А2030.</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 претходном периоду Правилник ФУК је усклађен за </w:t>
      </w:r>
      <w:r w:rsidR="00F86F78" w:rsidRPr="0081082A">
        <w:rPr>
          <w:rFonts w:ascii="Times New Roman" w:hAnsi="Times New Roman" w:cs="Times New Roman"/>
          <w:i/>
          <w:iCs/>
          <w:sz w:val="24"/>
          <w:szCs w:val="24"/>
          <w:lang w:val="sr-Cyrl-RS"/>
        </w:rPr>
        <w:t>C</w:t>
      </w:r>
      <w:r w:rsidRPr="0081082A">
        <w:rPr>
          <w:rFonts w:ascii="Times New Roman" w:hAnsi="Times New Roman" w:cs="Times New Roman"/>
          <w:i/>
          <w:iCs/>
          <w:sz w:val="24"/>
          <w:szCs w:val="24"/>
          <w:lang w:val="sr-Cyrl-RS"/>
        </w:rPr>
        <w:t>О</w:t>
      </w:r>
      <w:r w:rsidR="00F86F78" w:rsidRPr="0081082A">
        <w:rPr>
          <w:rFonts w:ascii="Times New Roman" w:hAnsi="Times New Roman" w:cs="Times New Roman"/>
          <w:i/>
          <w:iCs/>
          <w:sz w:val="24"/>
          <w:szCs w:val="24"/>
          <w:lang w:val="sr-Cyrl-RS"/>
        </w:rPr>
        <w:t>S</w:t>
      </w:r>
      <w:r w:rsidRPr="0081082A">
        <w:rPr>
          <w:rFonts w:ascii="Times New Roman" w:hAnsi="Times New Roman" w:cs="Times New Roman"/>
          <w:i/>
          <w:iCs/>
          <w:sz w:val="24"/>
          <w:szCs w:val="24"/>
          <w:lang w:val="sr-Cyrl-RS"/>
        </w:rPr>
        <w:t>О</w:t>
      </w:r>
      <w:r w:rsidRPr="0081082A">
        <w:rPr>
          <w:rFonts w:ascii="Times New Roman" w:hAnsi="Times New Roman" w:cs="Times New Roman"/>
          <w:sz w:val="24"/>
          <w:szCs w:val="24"/>
          <w:lang w:val="sr-Cyrl-RS"/>
        </w:rPr>
        <w:t xml:space="preserve"> 2013, што је условило да у</w:t>
      </w:r>
      <w:r w:rsidRPr="0081082A">
        <w:rPr>
          <w:rFonts w:ascii="Times New Roman" w:hAnsi="Times New Roman"/>
          <w:sz w:val="24"/>
          <w:lang w:val="sr-Cyrl-RS"/>
        </w:rPr>
        <w:t xml:space="preserve"> 2019. години ЦЈХ, ажурира и материјале за петодневну ФУК обуку. Од свог оснивања ЦЈХ је на петодневним обукама обучио укупно </w:t>
      </w:r>
      <w:r w:rsidRPr="0081082A">
        <w:rPr>
          <w:rFonts w:ascii="Times New Roman" w:hAnsi="Times New Roman" w:cs="Times New Roman"/>
          <w:b/>
          <w:bCs/>
          <w:sz w:val="24"/>
          <w:szCs w:val="24"/>
          <w:lang w:val="sr-Cyrl-RS"/>
        </w:rPr>
        <w:t xml:space="preserve">2.607 </w:t>
      </w:r>
      <w:r w:rsidRPr="0081082A">
        <w:rPr>
          <w:rFonts w:ascii="Times New Roman" w:hAnsi="Times New Roman"/>
          <w:sz w:val="24"/>
          <w:lang w:val="sr-Cyrl-RS"/>
        </w:rPr>
        <w:t xml:space="preserve">запослених из различитих институција јавног сектора. Додатно, број руководилаца који су обучени на једнодневним обукама до сада износи 197. </w:t>
      </w:r>
      <w:r w:rsidRPr="0081082A">
        <w:rPr>
          <w:rFonts w:ascii="Times New Roman" w:hAnsi="Times New Roman" w:cs="Times New Roman"/>
          <w:sz w:val="24"/>
          <w:szCs w:val="24"/>
          <w:lang w:val="sr-Cyrl-RS"/>
        </w:rPr>
        <w:t xml:space="preserve">Резултат свих напред наведених  активности је имало за разултат да је повећан број корисника јавних средстава који су присуствовали обукама и први пут доставили годишњи извештај о систему ФУК. </w:t>
      </w:r>
    </w:p>
    <w:p w:rsidR="001B6DE8" w:rsidRPr="0081082A" w:rsidRDefault="001B6DE8" w:rsidP="001B6DE8">
      <w:pPr>
        <w:spacing w:after="0" w:line="240" w:lineRule="auto"/>
        <w:ind w:firstLine="709"/>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С обзиром на изражене потребе за интерним ревизорима у јавном сектору, а истовремено  имајући у виду и капацитет запослених у ЦЈХ и у складу са препоруком </w:t>
      </w:r>
      <w:r w:rsidR="007F054D" w:rsidRPr="0081082A">
        <w:rPr>
          <w:rFonts w:ascii="Times New Roman" w:hAnsi="Times New Roman" w:cs="Times New Roman"/>
          <w:sz w:val="24"/>
          <w:szCs w:val="21"/>
          <w:lang w:val="sr-Cyrl-RS"/>
        </w:rPr>
        <w:t>ЕК</w:t>
      </w:r>
      <w:r w:rsidRPr="0081082A">
        <w:rPr>
          <w:rFonts w:ascii="Times New Roman" w:hAnsi="Times New Roman" w:cs="Times New Roman"/>
          <w:sz w:val="24"/>
          <w:szCs w:val="24"/>
          <w:lang w:val="sr-Cyrl-RS"/>
        </w:rPr>
        <w:t>,  започете су активности које треба да омогуће пренос основних обука са ЦЈХ на НАЈУ. Пренос основних обука на НАЈУ ће се наставити и у наредном периоду.</w:t>
      </w:r>
    </w:p>
    <w:p w:rsidR="001B6DE8" w:rsidRPr="0081082A" w:rsidRDefault="001B6DE8" w:rsidP="001B6DE8">
      <w:pPr>
        <w:pStyle w:val="Heading3"/>
        <w:spacing w:before="100" w:line="240" w:lineRule="auto"/>
        <w:rPr>
          <w:lang w:val="sr-Cyrl-RS"/>
        </w:rPr>
      </w:pPr>
      <w:bookmarkStart w:id="25" w:name="_Toc69727768"/>
      <w:r w:rsidRPr="0081082A">
        <w:rPr>
          <w:lang w:val="sr-Cyrl-RS"/>
        </w:rPr>
        <w:t>Стратешко планирање: циљеви Владе кроз циљеве организације</w:t>
      </w:r>
      <w:bookmarkEnd w:id="25"/>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tab/>
      </w:r>
      <w:r w:rsidRPr="0081082A">
        <w:rPr>
          <w:rFonts w:ascii="Times New Roman" w:eastAsiaTheme="minorHAnsi" w:hAnsi="Times New Roman" w:cstheme="minorBidi"/>
          <w:szCs w:val="24"/>
          <w:lang w:val="sr-Cyrl-RS"/>
        </w:rPr>
        <w:t>Усвајањем Закона о планском систему</w:t>
      </w:r>
      <w:r w:rsidR="002A61BC" w:rsidRPr="0081082A">
        <w:rPr>
          <w:rFonts w:ascii="Times New Roman" w:hAnsi="Times New Roman"/>
          <w:szCs w:val="24"/>
          <w:lang w:val="sr-Cyrl-RS"/>
        </w:rPr>
        <w:t xml:space="preserve"> Републике Србије </w:t>
      </w:r>
      <w:r w:rsidRPr="0081082A">
        <w:rPr>
          <w:rStyle w:val="FootnoteReference"/>
          <w:rFonts w:ascii="Times New Roman" w:eastAsiaTheme="minorHAnsi" w:hAnsi="Times New Roman" w:cstheme="minorBidi"/>
          <w:szCs w:val="24"/>
          <w:lang w:val="sr-Cyrl-RS"/>
        </w:rPr>
        <w:footnoteReference w:id="97"/>
      </w:r>
      <w:r w:rsidRPr="0081082A">
        <w:rPr>
          <w:rFonts w:ascii="Times New Roman" w:eastAsiaTheme="minorHAnsi" w:hAnsi="Times New Roman" w:cstheme="minorBidi"/>
          <w:szCs w:val="24"/>
          <w:lang w:val="sr-Cyrl-RS"/>
        </w:rPr>
        <w:t xml:space="preserve"> и подзаконских аката за његово спровођење заокружен је систем управљања јавним политикама и средњорочног планирања. Закон прописује формат и обавезну садржину различитих планских докумената чиме се омогућава стандардизација планских докумената. Садржина показатеља</w:t>
      </w:r>
      <w:r w:rsidRPr="0081082A">
        <w:rPr>
          <w:rFonts w:ascii="Times New Roman" w:hAnsi="Times New Roman"/>
          <w:szCs w:val="24"/>
          <w:lang w:val="sr-Cyrl-RS"/>
        </w:rPr>
        <w:t xml:space="preserve"> учинка, који ће омогућити вредновање успешности њиховог спровођења, издваја се по свом значају. Закон подразумева координисано планирање јавних политика од стране надлежних доносилаца докумената јавних политика, како уз уважавање интереса осталих учесника планског система тако и уз уважавање секторских циљева доносиоца документа. Наиме, Законом је обезбеђена усклађеност планских докумената на свим нивоима са Акционим планом за спровођење програма Владе и преузетим обавезама у процесу приступања Републике Србије ЕУ. Истовремено је обезбеђена вертикална хије</w:t>
      </w:r>
      <w:r w:rsidR="00D0051F">
        <w:rPr>
          <w:rFonts w:ascii="Times New Roman" w:hAnsi="Times New Roman"/>
          <w:szCs w:val="24"/>
          <w:lang w:val="sr-Cyrl-RS"/>
        </w:rPr>
        <w:t>ра</w:t>
      </w:r>
      <w:r w:rsidRPr="0081082A">
        <w:rPr>
          <w:rFonts w:ascii="Times New Roman" w:hAnsi="Times New Roman"/>
          <w:szCs w:val="24"/>
          <w:lang w:val="sr-Cyrl-RS"/>
        </w:rPr>
        <w:t xml:space="preserve">хија докумената јавних политика, тако што је на врху план развоја, национални инвестициони план и просторни план Републике Србије, а следе стратегије, програми и акциони планови. Са друге стране, увођењем обавезе усвајања средњорочног плана, обвезници средњорочног планирања </w:t>
      </w:r>
      <w:r w:rsidRPr="0081082A">
        <w:rPr>
          <w:rFonts w:ascii="Times New Roman" w:hAnsi="Times New Roman"/>
          <w:szCs w:val="24"/>
          <w:lang w:val="sr-Cyrl-RS"/>
        </w:rPr>
        <w:lastRenderedPageBreak/>
        <w:t>из члана 26. Закона, у једном документу повезују спровођење конкретних мера или активности из свих докумената јавних политика из надлежности обвезника.</w:t>
      </w:r>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tab/>
        <w:t>С обзиром да је буџет инструмент спровођења јавних политика, средњорочним планом, као документом који се доноси за период од три године, омогућава се повезивање јавних политика са средњорочним оквиром расхода. Приликом спровођења реформи буџетирања управо је наглашено да програмски буџет oмoгућaвa да се ускладе средњорочно плaнирaње и aлoцирање буџeтских срeдстaвa и бoљe упрaвљa спровођењем jaвних пoлитикa. При чему је потребно имати у виду да је програмски буџет шири појам, односно треба да одслика кључне надлежности и утврђене средњорочне циљеве, а не само спровођење јавних политика. Исто се односи и на ИФКЈ која се примарно односи на управљање у оквиру самих организација јавног сектора</w:t>
      </w:r>
      <w:r w:rsidR="00E51588" w:rsidRPr="0081082A">
        <w:rPr>
          <w:rFonts w:ascii="Times New Roman" w:hAnsi="Times New Roman"/>
          <w:szCs w:val="24"/>
          <w:lang w:val="sr-Cyrl-RS"/>
        </w:rPr>
        <w:t>,</w:t>
      </w:r>
      <w:r w:rsidRPr="0081082A">
        <w:rPr>
          <w:rFonts w:ascii="Times New Roman" w:hAnsi="Times New Roman"/>
          <w:szCs w:val="24"/>
          <w:lang w:val="sr-Cyrl-RS"/>
        </w:rPr>
        <w:t xml:space="preserve"> и то на целокупно пословање. </w:t>
      </w:r>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tab/>
        <w:t xml:space="preserve">Успостављање јаче везе организационих циљева са владином визијом паралелно са планирањем буџета подстакнуто је и обавезама из Преговарачког поглавља 17 – Економска и монетарна политика у делу средњорочног буџетског оквира и структурних реформи. Република Србија, у претприступној фази, учествује у координацији економских политика са ЕУ тако што од 2015. године </w:t>
      </w:r>
      <w:r w:rsidR="007F054D" w:rsidRPr="0081082A">
        <w:rPr>
          <w:rFonts w:ascii="Times New Roman" w:hAnsi="Times New Roman"/>
          <w:szCs w:val="21"/>
          <w:lang w:val="sr-Cyrl-RS"/>
        </w:rPr>
        <w:t>ЕК</w:t>
      </w:r>
      <w:r w:rsidRPr="0081082A">
        <w:rPr>
          <w:rFonts w:ascii="Times New Roman" w:hAnsi="Times New Roman"/>
          <w:szCs w:val="24"/>
          <w:lang w:val="sr-Cyrl-RS"/>
        </w:rPr>
        <w:t xml:space="preserve"> доставља  Програм економских реформи (у даљем тексту: ЕРП) за трогодишњи период. ЕРП се припрема на основу националних приоритета и у складу са препорукама Савета за економска и финансијска питања ЕУ и смерницама </w:t>
      </w:r>
      <w:r w:rsidR="007F054D" w:rsidRPr="0081082A">
        <w:rPr>
          <w:rFonts w:ascii="Times New Roman" w:hAnsi="Times New Roman"/>
          <w:szCs w:val="21"/>
          <w:lang w:val="sr-Cyrl-RS"/>
        </w:rPr>
        <w:t>ЕК</w:t>
      </w:r>
      <w:r w:rsidRPr="0081082A">
        <w:rPr>
          <w:rFonts w:ascii="Times New Roman" w:hAnsi="Times New Roman"/>
          <w:szCs w:val="24"/>
          <w:lang w:val="sr-Cyrl-RS"/>
        </w:rPr>
        <w:t xml:space="preserve"> за припрему ЕРП. Тренутна олакшавајућа околност везе планираних циљева са буџетским средствима садржана је у чињеници да се ЕРП доставља након усвајања закона о буџету Републике Србије за буџетску годину. </w:t>
      </w:r>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tab/>
        <w:t>Међутим, као што је наведено у Извештају ЕК о Србији за 2020. годину, потребно је даље унапређење капацитета за економско планирање и међуинституционалну координацију, као и буџетирање. Такође, највећи изазов за усвајање средњорочних планова је оптимизација постојећег стратешког оквира. Имајући у виду да је око 40  докумената јавне политике истекло 2020. године, да ће се нови доносити у складу са Законом о планском систему</w:t>
      </w:r>
      <w:r w:rsidR="002A61BC" w:rsidRPr="0081082A">
        <w:rPr>
          <w:rFonts w:ascii="Times New Roman" w:hAnsi="Times New Roman"/>
          <w:szCs w:val="24"/>
          <w:lang w:val="sr-Cyrl-RS"/>
        </w:rPr>
        <w:t xml:space="preserve"> Републике Србије</w:t>
      </w:r>
      <w:r w:rsidRPr="0081082A">
        <w:rPr>
          <w:rFonts w:ascii="Times New Roman" w:hAnsi="Times New Roman"/>
          <w:szCs w:val="24"/>
          <w:lang w:val="sr-Cyrl-RS"/>
        </w:rPr>
        <w:t>, као и да ће моћи да се изврши анализе постојеће праксе, за очекивати је да ће у наредном периоду доћи до унапређење квалитета целокупног поступка повезивања јавних политика и организационих циљева са буџетом.</w:t>
      </w:r>
      <w:r w:rsidRPr="0081082A">
        <w:rPr>
          <w:rStyle w:val="FootnoteReference"/>
          <w:rFonts w:ascii="Times New Roman" w:hAnsi="Times New Roman"/>
          <w:szCs w:val="24"/>
          <w:lang w:val="sr-Cyrl-RS"/>
        </w:rPr>
        <w:footnoteReference w:id="98"/>
      </w:r>
    </w:p>
    <w:p w:rsidR="001B6DE8" w:rsidRPr="0081082A" w:rsidRDefault="001B6DE8" w:rsidP="001B6DE8">
      <w:pPr>
        <w:pStyle w:val="Heading3"/>
        <w:spacing w:before="100" w:line="240" w:lineRule="auto"/>
        <w:rPr>
          <w:b/>
          <w:bCs/>
          <w:iCs/>
          <w:lang w:val="sr-Cyrl-RS"/>
        </w:rPr>
      </w:pPr>
      <w:bookmarkStart w:id="26" w:name="_Toc69727769"/>
      <w:r w:rsidRPr="0081082A">
        <w:rPr>
          <w:lang w:val="sr-Cyrl-RS"/>
        </w:rPr>
        <w:t>Оперативно планирање које повезује оперативне циљеве са ресурсима</w:t>
      </w:r>
      <w:bookmarkEnd w:id="26"/>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tab/>
        <w:t>Као што је наведено, Закон о планском систему</w:t>
      </w:r>
      <w:r w:rsidR="002A61BC" w:rsidRPr="0081082A">
        <w:rPr>
          <w:rFonts w:ascii="Times New Roman" w:hAnsi="Times New Roman"/>
          <w:szCs w:val="24"/>
          <w:lang w:val="sr-Cyrl-RS"/>
        </w:rPr>
        <w:t xml:space="preserve"> Републике Србије</w:t>
      </w:r>
      <w:r w:rsidRPr="0081082A">
        <w:rPr>
          <w:rFonts w:ascii="Times New Roman" w:hAnsi="Times New Roman"/>
          <w:szCs w:val="24"/>
          <w:lang w:val="sr-Cyrl-RS"/>
        </w:rPr>
        <w:t xml:space="preserve"> је уредио плански систем, а са њим и обавезу исказивања општих и посебних циљева јавне политике. Општи циљ јесте дугорочан циљ којим се дефинише жељено стање на нивоу друштва, док је посебан циљ дефинисан у односу на одређене субјекте или области у којој та политика делује. Остварењем посебних циљева стварају се предуслови за остваривање општег циља, док се исказаним мерама у стратегијама и програмима указује како ће се постићи и посебни и општи циљ. Тек на нивоу акционог плана за спровођење стратегије, односно програма</w:t>
      </w:r>
      <w:r w:rsidR="009624E4" w:rsidRPr="0081082A">
        <w:rPr>
          <w:rFonts w:ascii="Times New Roman" w:hAnsi="Times New Roman"/>
          <w:szCs w:val="24"/>
          <w:lang w:val="sr-Cyrl-RS"/>
        </w:rPr>
        <w:t>,</w:t>
      </w:r>
      <w:r w:rsidRPr="0081082A">
        <w:rPr>
          <w:rFonts w:ascii="Times New Roman" w:hAnsi="Times New Roman"/>
          <w:szCs w:val="24"/>
          <w:lang w:val="sr-Cyrl-RS"/>
        </w:rPr>
        <w:t xml:space="preserve"> </w:t>
      </w:r>
      <w:r w:rsidR="00D0051F">
        <w:rPr>
          <w:rFonts w:ascii="Times New Roman" w:hAnsi="Times New Roman"/>
          <w:szCs w:val="24"/>
          <w:lang w:val="sr-Cyrl-RS"/>
        </w:rPr>
        <w:t>разрађује се највећи ниво детаљ</w:t>
      </w:r>
      <w:r w:rsidRPr="0081082A">
        <w:rPr>
          <w:rFonts w:ascii="Times New Roman" w:hAnsi="Times New Roman"/>
          <w:szCs w:val="24"/>
          <w:lang w:val="sr-Cyrl-RS"/>
        </w:rPr>
        <w:t>ности</w:t>
      </w:r>
      <w:r w:rsidR="00E51588" w:rsidRPr="0081082A">
        <w:rPr>
          <w:rFonts w:ascii="Times New Roman" w:hAnsi="Times New Roman"/>
          <w:szCs w:val="24"/>
          <w:lang w:val="sr-Cyrl-RS"/>
        </w:rPr>
        <w:t>,</w:t>
      </w:r>
      <w:r w:rsidRPr="0081082A">
        <w:rPr>
          <w:rFonts w:ascii="Times New Roman" w:hAnsi="Times New Roman"/>
          <w:szCs w:val="24"/>
          <w:lang w:val="sr-Cyrl-RS"/>
        </w:rPr>
        <w:t xml:space="preserve"> и то активности, рокови, институције одговорне за спровођење активности, веза са програмским буџетом, потребна средства и показатељи учинка на нивоу мере. </w:t>
      </w:r>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lastRenderedPageBreak/>
        <w:tab/>
        <w:t>Навођење институције носиоца и институције партнере одговорне за реализацију мере и активности, може се сматрати видом успостављања вертикалног и хоризонталног управљања учинком. На пример за активност „Израда модула обуке на тему Примена принципа управљачке одговорности за руководиоце</w:t>
      </w:r>
      <w:r w:rsidR="007E728E" w:rsidRPr="0081082A">
        <w:rPr>
          <w:rFonts w:ascii="Times New Roman" w:hAnsi="Times New Roman"/>
          <w:szCs w:val="24"/>
          <w:lang w:val="sr-Cyrl-RS"/>
        </w:rPr>
        <w:t>”</w:t>
      </w:r>
      <w:r w:rsidRPr="0081082A">
        <w:rPr>
          <w:rStyle w:val="FootnoteReference"/>
          <w:rFonts w:ascii="Times New Roman" w:eastAsiaTheme="minorEastAsia" w:hAnsi="Times New Roman"/>
          <w:szCs w:val="24"/>
          <w:lang w:val="sr-Cyrl-RS"/>
        </w:rPr>
        <w:footnoteReference w:id="99"/>
      </w:r>
      <w:r w:rsidRPr="0081082A">
        <w:rPr>
          <w:rFonts w:ascii="Times New Roman" w:hAnsi="Times New Roman"/>
          <w:szCs w:val="24"/>
          <w:lang w:val="sr-Cyrl-RS"/>
        </w:rPr>
        <w:t xml:space="preserve"> из Предлога Стратегије реформе јавне управе 2021-2030, прецизирано је да је орган који спроводи активност Министарство финансија, али је конкретизован сектор (ЦЈХ), док је на хоризонталном нивоу управљања као партнер институција препозната НАЈУ. Уједно, за вертикално управљање учинком створени су услови тако што је прописано да је средњорочним планом министарства обухваћен и средњорочни план органа управе у саставу министарства.</w:t>
      </w:r>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tab/>
        <w:t>Поред тога што Министарство финансија мора у свом средњорочном плану да искаже наведену активност у планираном трогодишњем периоду, уколико спровођење активности изискује одређене трошкове и за НАЈУ</w:t>
      </w:r>
      <w:r w:rsidR="009624E4" w:rsidRPr="0081082A">
        <w:rPr>
          <w:rFonts w:ascii="Times New Roman" w:hAnsi="Times New Roman"/>
          <w:szCs w:val="24"/>
          <w:lang w:val="sr-Cyrl-RS"/>
        </w:rPr>
        <w:t>,</w:t>
      </w:r>
      <w:r w:rsidRPr="0081082A">
        <w:rPr>
          <w:rFonts w:ascii="Times New Roman" w:hAnsi="Times New Roman"/>
          <w:szCs w:val="24"/>
          <w:lang w:val="sr-Cyrl-RS"/>
        </w:rPr>
        <w:t xml:space="preserve"> средства за њихово финансирање морају да буду исказана у оквиру одговарајућег буџетског програма/пројекта. </w:t>
      </w:r>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tab/>
        <w:t>Из свега следи да у одређеној мери акциони план, средњорочни план и програмски елементи (програм, програмска активности и пројекат) представљају, свако са свог аспекта, операционализацију спровођења надлежности буџетског корисника. Један од примера планова који по дефиницији нису документи јавних политика, а који може имати карактер оперативног плана је Програм трансформације Пореске управе за период 2018 – 2023. године или План рада за развој и коришћење електронских система царинске службе министарства финансија за период 2020-2024. година, са напоменом да је оба акта усвојила Влада.</w:t>
      </w:r>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tab/>
        <w:t>Средњорочни план постаје основни управљачки инструмент институције зато што се израђује на основу важећих докумената јавних политика, уз уважавање приоритетних циљева Владе, расположивих капацитета и ресурса, као и промена фактичке ситуације у односу на време када су ти документи јавних политика донети. Међутим, неопходно је да се на оперативном нивоу доносу одлуке у зависности од расположивих кадровских, буџетских и других средстава. На наведеном примеру израде модула обуке</w:t>
      </w:r>
      <w:r w:rsidR="009624E4" w:rsidRPr="0081082A">
        <w:rPr>
          <w:rFonts w:ascii="Times New Roman" w:hAnsi="Times New Roman"/>
          <w:szCs w:val="24"/>
          <w:lang w:val="sr-Cyrl-RS"/>
        </w:rPr>
        <w:t>,</w:t>
      </w:r>
      <w:r w:rsidRPr="0081082A">
        <w:rPr>
          <w:rFonts w:ascii="Times New Roman" w:hAnsi="Times New Roman"/>
          <w:szCs w:val="24"/>
          <w:lang w:val="sr-Cyrl-RS"/>
        </w:rPr>
        <w:t xml:space="preserve"> да би исти постао оперативан, неопходно је сагледати износ потребних средстава, у ком временском распореду и која су све средства потребна и расположива. То је један од разлога што су акциони планови за спровођење Стратегије реформе јавне управе садржали као допуну додатним трошковима и Гантограм путем којег се грубо процењивало колико је времена потребно постојећим запосленим државним службеницима за реализацију конкретних активности.</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С обзиром да је планирање људских ресурса процес који повезује потребе организације за људским ресурсима са њеним стратешким и оперативним циљевима</w:t>
      </w:r>
      <w:r w:rsidR="009624E4"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у претходном периоду извршене су функционалне анализе Светске банке и на основу њих Анализа и смернице за обједињавање функција стратешког, оперативног и финансијског планирања и интерне контроле.</w:t>
      </w:r>
      <w:r w:rsidRPr="0081082A">
        <w:rPr>
          <w:rStyle w:val="FootnoteReference"/>
          <w:rFonts w:ascii="Times New Roman" w:hAnsi="Times New Roman" w:cs="Times New Roman"/>
          <w:sz w:val="24"/>
          <w:szCs w:val="24"/>
          <w:lang w:val="sr-Cyrl-RS"/>
        </w:rPr>
        <w:footnoteReference w:id="100"/>
      </w:r>
      <w:r w:rsidRPr="0081082A">
        <w:rPr>
          <w:rFonts w:ascii="Times New Roman" w:hAnsi="Times New Roman" w:cs="Times New Roman"/>
          <w:sz w:val="24"/>
          <w:szCs w:val="24"/>
          <w:lang w:val="sr-Cyrl-RS"/>
        </w:rPr>
        <w:t xml:space="preserve"> Увођењем тзв. Аналитичких јединица</w:t>
      </w:r>
      <w:r w:rsidRPr="0081082A">
        <w:rPr>
          <w:rStyle w:val="FootnoteReference"/>
          <w:rFonts w:ascii="Times New Roman" w:hAnsi="Times New Roman" w:cs="Times New Roman"/>
          <w:sz w:val="24"/>
          <w:szCs w:val="24"/>
          <w:lang w:val="sr-Cyrl-RS"/>
        </w:rPr>
        <w:footnoteReference w:id="101"/>
      </w:r>
      <w:r w:rsidRPr="0081082A">
        <w:rPr>
          <w:rFonts w:ascii="Times New Roman" w:hAnsi="Times New Roman" w:cs="Times New Roman"/>
          <w:sz w:val="24"/>
          <w:szCs w:val="24"/>
          <w:lang w:val="sr-Cyrl-RS"/>
        </w:rPr>
        <w:t xml:space="preserve"> које је планирано у претходном стратешком периоду се одговара на главни захтев ових смерница а уједно и на три активности претходног АП за спровођење </w:t>
      </w:r>
      <w:r w:rsidRPr="0081082A">
        <w:rPr>
          <w:rFonts w:ascii="Times New Roman" w:hAnsi="Times New Roman" w:cs="Times New Roman"/>
          <w:sz w:val="24"/>
          <w:szCs w:val="24"/>
          <w:lang w:val="sr-Cyrl-RS"/>
        </w:rPr>
        <w:lastRenderedPageBreak/>
        <w:t xml:space="preserve">Стратегије развоја ИФКЈ који су се односили на период до истека 2020. године. Аналитичке јединице ће представљати кључну подршку руковођењу и стратешком и оперативном управљању. </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Основни циљ измена Закона о државним службеницима био је увођење компетенција у систем управљања људским ресурсима. Компетенције потребне за делотворно обављање послова у државном органу детаљније су уређене Уредбом о oдређивању компетенција за рад државних службеника</w:t>
      </w:r>
      <w:r w:rsidRPr="0081082A">
        <w:rPr>
          <w:rStyle w:val="FootnoteReference"/>
          <w:rFonts w:ascii="Times New Roman" w:hAnsi="Times New Roman" w:cs="Times New Roman"/>
          <w:sz w:val="24"/>
          <w:szCs w:val="24"/>
          <w:lang w:val="sr-Cyrl-RS"/>
        </w:rPr>
        <w:footnoteReference w:id="102"/>
      </w:r>
      <w:r w:rsidRPr="0081082A">
        <w:rPr>
          <w:rFonts w:ascii="Times New Roman" w:hAnsi="Times New Roman" w:cs="Times New Roman"/>
          <w:sz w:val="24"/>
          <w:szCs w:val="24"/>
          <w:lang w:val="sr-Cyrl-RS"/>
        </w:rPr>
        <w:t>. За систем опредељен ка управљању учинком значајно је поменути понашајне ком</w:t>
      </w:r>
      <w:r w:rsidR="00146789">
        <w:rPr>
          <w:rFonts w:ascii="Times New Roman" w:hAnsi="Times New Roman" w:cs="Times New Roman"/>
          <w:sz w:val="24"/>
          <w:szCs w:val="24"/>
          <w:lang w:val="sr-Cyrl-RS"/>
        </w:rPr>
        <w:t>пе</w:t>
      </w:r>
      <w:r w:rsidRPr="0081082A">
        <w:rPr>
          <w:rFonts w:ascii="Times New Roman" w:hAnsi="Times New Roman" w:cs="Times New Roman"/>
          <w:sz w:val="24"/>
          <w:szCs w:val="24"/>
          <w:lang w:val="sr-Cyrl-RS"/>
        </w:rPr>
        <w:t>тенције. Компетенција „Управљање задацима и остваривање резултата</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за радна места руководилаца ужих унутрашњих јединица и положаје захтева да планира време, средства и запослене за обављање послова у својој организационој јединици на економичан начин. Компетенције на које је посебно потребно скренути пажњу су компетенција „Управљање људским ресурсима</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која се</w:t>
      </w:r>
      <w:r w:rsidRPr="0081082A">
        <w:rPr>
          <w:lang w:val="sr-Cyrl-RS"/>
        </w:rPr>
        <w:t xml:space="preserve"> </w:t>
      </w:r>
      <w:r w:rsidRPr="0081082A">
        <w:rPr>
          <w:rFonts w:ascii="Times New Roman" w:hAnsi="Times New Roman" w:cs="Times New Roman"/>
          <w:sz w:val="24"/>
          <w:szCs w:val="24"/>
          <w:lang w:val="sr-Cyrl-RS"/>
        </w:rPr>
        <w:t>односи на примену концепта вођења и развоја запослених базираног на компетенцијама ради остварења стратешких циљева и постизања високог нивоа учинка у раду органа и Компетенција „Стратешко управљање</w:t>
      </w:r>
      <w:r w:rsidR="007E72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која се односи на дефинисање и спровођење стратешких циљева органа. Управо из управљања људским ресурсима и ИФКЈ области је дошао снажан замајац у претходном периоду када је кроз процес оцењивања радне успешности постала обавеза да се формулишу циљеви свих организационих јединица у оквиру државних органа</w:t>
      </w:r>
      <w:r w:rsidRPr="0081082A">
        <w:rPr>
          <w:rStyle w:val="FootnoteReference"/>
          <w:rFonts w:ascii="Times New Roman" w:hAnsi="Times New Roman" w:cs="Times New Roman"/>
          <w:sz w:val="24"/>
          <w:szCs w:val="24"/>
          <w:lang w:val="sr-Cyrl-RS"/>
        </w:rPr>
        <w:footnoteReference w:id="103"/>
      </w:r>
      <w:r w:rsidRPr="0081082A">
        <w:rPr>
          <w:rFonts w:ascii="Times New Roman" w:hAnsi="Times New Roman" w:cs="Times New Roman"/>
          <w:sz w:val="24"/>
          <w:szCs w:val="24"/>
          <w:lang w:val="sr-Cyrl-RS"/>
        </w:rPr>
        <w:t xml:space="preserve">. </w:t>
      </w:r>
    </w:p>
    <w:p w:rsidR="001B6DE8" w:rsidRPr="0081082A" w:rsidRDefault="001B6DE8" w:rsidP="001B6DE8">
      <w:pPr>
        <w:pStyle w:val="Heading3"/>
        <w:spacing w:before="100" w:line="240" w:lineRule="auto"/>
        <w:rPr>
          <w:lang w:val="sr-Cyrl-RS"/>
        </w:rPr>
      </w:pPr>
      <w:bookmarkStart w:id="27" w:name="_Toc69727770"/>
      <w:r w:rsidRPr="0081082A">
        <w:rPr>
          <w:lang w:val="sr-Cyrl-RS"/>
        </w:rPr>
        <w:t>Децентрализована управљачка одговорност и делегирање овлашћења</w:t>
      </w:r>
      <w:bookmarkEnd w:id="27"/>
      <w:r w:rsidRPr="0081082A">
        <w:rPr>
          <w:lang w:val="sr-Cyrl-RS"/>
        </w:rPr>
        <w:t xml:space="preserve"> </w:t>
      </w:r>
    </w:p>
    <w:p w:rsidR="001B6DE8" w:rsidRPr="0081082A" w:rsidRDefault="001B6DE8" w:rsidP="001B6DE8">
      <w:pPr>
        <w:spacing w:after="0" w:line="240" w:lineRule="auto"/>
        <w:ind w:firstLine="720"/>
        <w:jc w:val="both"/>
        <w:rPr>
          <w:rFonts w:ascii="Times New Roman" w:hAnsi="Times New Roman" w:cs="Times New Roman"/>
          <w:bCs/>
          <w:sz w:val="24"/>
          <w:szCs w:val="24"/>
          <w:lang w:val="sr-Cyrl-RS"/>
        </w:rPr>
      </w:pPr>
      <w:r w:rsidRPr="0081082A">
        <w:rPr>
          <w:rFonts w:ascii="Times New Roman" w:hAnsi="Times New Roman" w:cs="Times New Roman"/>
          <w:sz w:val="24"/>
          <w:szCs w:val="24"/>
          <w:lang w:val="sr-Cyrl-RS"/>
        </w:rPr>
        <w:t xml:space="preserve">Кључни елемент система управљања учинком је вертикално повезивање организационих циљева са индивидуалним, односно личним циљевима руководилаца унутар КЈС, а што је у основи управљачке одговорности. У одредбама Поглавља 32 </w:t>
      </w:r>
      <w:r w:rsidR="007F15B5"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Финансијски надзор</w:t>
      </w:r>
      <w:r w:rsidR="007F15B5"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нарочито се, између осталог, захтева постојање ефективних и транспарентних система управљања, укључујући и механизме одговорности за остваривање циљева. У складу са међународно признатим оквиром и стандардима и добром праксом ЕУ у погледу ИФКЈ</w:t>
      </w:r>
      <w:r w:rsidRPr="0081082A">
        <w:rPr>
          <w:lang w:val="sr-Cyrl-RS"/>
        </w:rPr>
        <w:t xml:space="preserve"> </w:t>
      </w:r>
      <w:r w:rsidRPr="0081082A">
        <w:rPr>
          <w:rFonts w:ascii="Times New Roman" w:hAnsi="Times New Roman" w:cs="Times New Roman"/>
          <w:sz w:val="24"/>
          <w:szCs w:val="24"/>
          <w:lang w:val="sr-Cyrl-RS"/>
        </w:rPr>
        <w:t>заснованих на принципу децентрализоване управљачке одговорности, изменама Закона о буџетском систему дефинисана је управљачка одговорност. Уједно, током 2019. године усвојен је нови Правилник о заједничким критеријумима и стандардима за успостављање, функционисање и извештавање о систему ФУК код КЈС</w:t>
      </w:r>
      <w:r w:rsidRPr="0081082A">
        <w:rPr>
          <w:rStyle w:val="FootnoteReference"/>
          <w:rFonts w:ascii="Times New Roman" w:hAnsi="Times New Roman" w:cs="Times New Roman"/>
          <w:sz w:val="24"/>
          <w:szCs w:val="24"/>
          <w:lang w:val="sr-Cyrl-RS"/>
        </w:rPr>
        <w:footnoteReference w:id="104"/>
      </w:r>
      <w:r w:rsidRPr="0081082A">
        <w:rPr>
          <w:rFonts w:ascii="Times New Roman" w:hAnsi="Times New Roman" w:cs="Times New Roman"/>
          <w:sz w:val="24"/>
          <w:szCs w:val="24"/>
          <w:lang w:val="sr-Cyrl-RS"/>
        </w:rPr>
        <w:t>, којим је разрађен систем управљачке одговорности. Прописана је обавеза руководиоца</w:t>
      </w:r>
      <w:r w:rsidRPr="0081082A">
        <w:rPr>
          <w:rFonts w:ascii="Times New Roman" w:hAnsi="Times New Roman" w:cs="Times New Roman"/>
          <w:bCs/>
          <w:sz w:val="24"/>
          <w:szCs w:val="24"/>
          <w:lang w:val="sr-Cyrl-RS"/>
        </w:rPr>
        <w:t xml:space="preserve"> корисника јавних средстава за успостављање хијерархијског система преноса овлашћења и одговорности и одговарајућих линија извештавања, укључујући јасне циљеве и показатеље успешности, који ће обезбедити остваривање циљева корисника јавних средстава. </w:t>
      </w:r>
    </w:p>
    <w:p w:rsidR="001B6DE8" w:rsidRPr="0081082A" w:rsidRDefault="001B6DE8" w:rsidP="001B6DE8">
      <w:pPr>
        <w:spacing w:after="0" w:line="240" w:lineRule="auto"/>
        <w:ind w:firstLine="720"/>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Почетни кораци већине реформи су спорији због потребе разумевања и прихватања новитета, а што је посебно изражено код успостављања управљачке одговорности услед страха да ће се системом делегирања изгубити утицај на одлучивање. Да би се помогло корисницима јавних средстава да разумеју и успоставе концепт управљачке одговорности израђене су Смернице о управљачкој одговорности</w:t>
      </w:r>
      <w:r w:rsidRPr="0081082A">
        <w:rPr>
          <w:rStyle w:val="FootnoteReference"/>
          <w:rFonts w:ascii="Times New Roman" w:hAnsi="Times New Roman" w:cs="Times New Roman"/>
          <w:bCs/>
          <w:sz w:val="24"/>
          <w:szCs w:val="24"/>
          <w:lang w:val="sr-Cyrl-RS"/>
        </w:rPr>
        <w:footnoteReference w:id="105"/>
      </w:r>
      <w:r w:rsidRPr="0081082A">
        <w:rPr>
          <w:rFonts w:ascii="Times New Roman" w:hAnsi="Times New Roman" w:cs="Times New Roman"/>
          <w:bCs/>
          <w:sz w:val="24"/>
          <w:szCs w:val="24"/>
          <w:lang w:val="sr-Cyrl-RS"/>
        </w:rPr>
        <w:t>, Смернице о систему делегирањ</w:t>
      </w:r>
      <w:r w:rsidR="007F15B5" w:rsidRPr="0081082A">
        <w:rPr>
          <w:rFonts w:ascii="Times New Roman" w:hAnsi="Times New Roman" w:cs="Times New Roman"/>
          <w:bCs/>
          <w:sz w:val="24"/>
          <w:szCs w:val="24"/>
          <w:lang w:val="sr-Cyrl-RS"/>
        </w:rPr>
        <w:t>a</w:t>
      </w:r>
      <w:r w:rsidRPr="0081082A">
        <w:rPr>
          <w:rStyle w:val="FootnoteReference"/>
          <w:rFonts w:ascii="Times New Roman" w:hAnsi="Times New Roman" w:cs="Times New Roman"/>
          <w:bCs/>
          <w:sz w:val="24"/>
          <w:szCs w:val="24"/>
          <w:lang w:val="sr-Cyrl-RS"/>
        </w:rPr>
        <w:footnoteReference w:id="106"/>
      </w:r>
      <w:r w:rsidRPr="0081082A">
        <w:rPr>
          <w:rFonts w:ascii="Times New Roman" w:hAnsi="Times New Roman" w:cs="Times New Roman"/>
          <w:bCs/>
          <w:sz w:val="24"/>
          <w:szCs w:val="24"/>
          <w:lang w:val="sr-Cyrl-RS"/>
        </w:rPr>
        <w:t xml:space="preserve">, као и Смернице о концепту </w:t>
      </w:r>
      <w:r w:rsidRPr="0081082A">
        <w:rPr>
          <w:rFonts w:ascii="Times New Roman" w:hAnsi="Times New Roman" w:cs="Times New Roman"/>
          <w:bCs/>
          <w:sz w:val="24"/>
          <w:szCs w:val="24"/>
          <w:lang w:val="sr-Cyrl-RS"/>
        </w:rPr>
        <w:lastRenderedPageBreak/>
        <w:t xml:space="preserve">управљачке одговорности и Упитник, који се налазе у оквиру картице за </w:t>
      </w:r>
      <w:r w:rsidRPr="0081082A">
        <w:rPr>
          <w:rFonts w:ascii="Times New Roman" w:hAnsi="Times New Roman" w:cs="Times New Roman"/>
          <w:bCs/>
          <w:i/>
          <w:iCs/>
          <w:sz w:val="24"/>
          <w:szCs w:val="24"/>
          <w:lang w:val="sr-Cyrl-RS"/>
        </w:rPr>
        <w:t>E-learning</w:t>
      </w:r>
      <w:r w:rsidRPr="0081082A">
        <w:rPr>
          <w:rFonts w:ascii="Times New Roman" w:hAnsi="Times New Roman" w:cs="Times New Roman"/>
          <w:bCs/>
          <w:sz w:val="24"/>
          <w:szCs w:val="24"/>
          <w:lang w:val="sr-Cyrl-RS"/>
        </w:rPr>
        <w:t xml:space="preserve"> ЦЈХ на веб</w:t>
      </w:r>
      <w:r w:rsidR="0048467F">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сајту МФ</w:t>
      </w:r>
      <w:r w:rsidRPr="0081082A">
        <w:rPr>
          <w:rStyle w:val="FootnoteReference"/>
          <w:rFonts w:ascii="Times New Roman" w:hAnsi="Times New Roman" w:cs="Times New Roman"/>
          <w:bCs/>
          <w:sz w:val="24"/>
          <w:szCs w:val="24"/>
          <w:lang w:val="sr-Cyrl-RS"/>
        </w:rPr>
        <w:footnoteReference w:id="107"/>
      </w:r>
      <w:r w:rsidRPr="0081082A">
        <w:rPr>
          <w:rFonts w:ascii="Times New Roman" w:hAnsi="Times New Roman" w:cs="Times New Roman"/>
          <w:bCs/>
          <w:sz w:val="24"/>
          <w:szCs w:val="24"/>
          <w:lang w:val="sr-Cyrl-RS"/>
        </w:rPr>
        <w:t>.</w:t>
      </w:r>
    </w:p>
    <w:p w:rsidR="001B6DE8" w:rsidRPr="0081082A" w:rsidRDefault="001B6DE8" w:rsidP="001B6DE8">
      <w:pPr>
        <w:spacing w:after="0" w:line="240" w:lineRule="auto"/>
        <w:ind w:firstLine="720"/>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У првим фазама увођења програмског буџета са циљем постизања разумевања разлике и значаја таквог начина буџетирања није се инсистирало на одређивању одговорног лица за спровођење програма, програмске активности или пројекта. Са стицањем знања и увођењем обавезе извештавања о учинку програма стекли су се услови и податак о одговорном лицу постао је обавезан елемент. Истовремено, потребно је имати у виду да је у складу са Законом о планском систему</w:t>
      </w:r>
      <w:r w:rsidR="002A61BC" w:rsidRPr="0081082A">
        <w:rPr>
          <w:rFonts w:ascii="Times New Roman" w:hAnsi="Times New Roman" w:cs="Times New Roman"/>
          <w:bCs/>
          <w:sz w:val="24"/>
          <w:szCs w:val="24"/>
          <w:lang w:val="sr-Cyrl-RS"/>
        </w:rPr>
        <w:t xml:space="preserve"> </w:t>
      </w:r>
      <w:r w:rsidR="002A61BC" w:rsidRPr="0081082A">
        <w:rPr>
          <w:rFonts w:ascii="Times New Roman" w:hAnsi="Times New Roman" w:cs="Times New Roman"/>
          <w:sz w:val="24"/>
          <w:szCs w:val="24"/>
          <w:lang w:val="sr-Cyrl-RS"/>
        </w:rPr>
        <w:t>Републике Србије</w:t>
      </w:r>
      <w:r w:rsidRPr="0081082A">
        <w:rPr>
          <w:rFonts w:ascii="Times New Roman" w:hAnsi="Times New Roman" w:cs="Times New Roman"/>
          <w:bCs/>
          <w:sz w:val="24"/>
          <w:szCs w:val="24"/>
          <w:lang w:val="sr-Cyrl-RS"/>
        </w:rPr>
        <w:t xml:space="preserve"> регулисано начело одговорности, као начело које подразумева јасно одређивање одговорних институција за спровођење мера и активности јавне политике. Додатно, Приручником за израду средњорочног плана препоручено је да </w:t>
      </w:r>
      <w:r w:rsidR="007F15B5" w:rsidRPr="0081082A">
        <w:rPr>
          <w:rFonts w:ascii="Times New Roman" w:hAnsi="Times New Roman" w:cs="Times New Roman"/>
          <w:bCs/>
          <w:sz w:val="24"/>
          <w:szCs w:val="24"/>
          <w:lang w:val="sr-Cyrl-RS"/>
        </w:rPr>
        <w:t xml:space="preserve">je </w:t>
      </w:r>
      <w:r w:rsidRPr="0081082A">
        <w:rPr>
          <w:rFonts w:ascii="Times New Roman" w:hAnsi="Times New Roman" w:cs="Times New Roman"/>
          <w:bCs/>
          <w:sz w:val="24"/>
          <w:szCs w:val="24"/>
          <w:lang w:val="sr-Cyrl-RS"/>
        </w:rPr>
        <w:t xml:space="preserve">за сваки посебан циљ/меру/активност средњорочног плана потребно одредити одговорно лице у организационој јединици које је задужено за планирање, праћење и извештавање о остварењу циља и спровођењу мере или активности. </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Међутим, и поред наведених примера како делегирања, тако и приступа управљању учинком, концепт управљачке одговорности, који обухвата делегирање одговорности, јасне линије одговорности међу институцијама и мерење учинка на институционалн</w:t>
      </w:r>
      <w:r w:rsidR="007F15B5" w:rsidRPr="0081082A">
        <w:rPr>
          <w:rFonts w:ascii="Times New Roman" w:hAnsi="Times New Roman" w:cs="Times New Roman"/>
          <w:sz w:val="24"/>
          <w:szCs w:val="24"/>
          <w:lang w:val="sr-Cyrl-RS"/>
        </w:rPr>
        <w:t>o</w:t>
      </w:r>
      <w:r w:rsidRPr="0081082A">
        <w:rPr>
          <w:rFonts w:ascii="Times New Roman" w:hAnsi="Times New Roman" w:cs="Times New Roman"/>
          <w:sz w:val="24"/>
          <w:szCs w:val="24"/>
          <w:lang w:val="sr-Cyrl-RS"/>
        </w:rPr>
        <w:t xml:space="preserve">м нивоу, није довољно заживео у пракси услед чега је неопходно предузети нове активности које ће допринети успостављању концепта у наредном периоду.  </w:t>
      </w:r>
    </w:p>
    <w:p w:rsidR="001B6DE8" w:rsidRPr="0081082A" w:rsidRDefault="001B6DE8" w:rsidP="001B6DE8">
      <w:pPr>
        <w:spacing w:after="0" w:line="240" w:lineRule="auto"/>
        <w:ind w:firstLine="720"/>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На основу тестирања постојећег правног оквира</w:t>
      </w:r>
      <w:r w:rsidR="007F15B5"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посебно за аспекте делегирања и управљања учинком кроз пилот вежбу Твининг пројекта, утврђено је да</w:t>
      </w:r>
      <w:r w:rsidR="007F15B5"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иако правни оквир у Закону о јавним набавкама или Закону о буџетском систему омогућава пренос појединих овлашћења руководиоца корисника буџетских средстава на запослене унутар организације</w:t>
      </w:r>
      <w:r w:rsidR="007F15B5" w:rsidRPr="0081082A">
        <w:rPr>
          <w:rFonts w:ascii="Times New Roman" w:hAnsi="Times New Roman" w:cs="Times New Roman"/>
          <w:bCs/>
          <w:strike/>
          <w:sz w:val="24"/>
          <w:szCs w:val="24"/>
          <w:lang w:val="sr-Cyrl-RS"/>
        </w:rPr>
        <w:t>,</w:t>
      </w:r>
      <w:r w:rsidRPr="0081082A">
        <w:rPr>
          <w:rFonts w:ascii="Times New Roman" w:hAnsi="Times New Roman" w:cs="Times New Roman"/>
          <w:bCs/>
          <w:sz w:val="24"/>
          <w:szCs w:val="24"/>
          <w:lang w:val="sr-Cyrl-RS"/>
        </w:rPr>
        <w:t xml:space="preserve"> у министарствима не наилазимо често на случајеве да су ове функције делегиране нижем нивоу од државног секретара који је такође политички ниво. </w:t>
      </w:r>
    </w:p>
    <w:p w:rsidR="001B6DE8" w:rsidRPr="0081082A" w:rsidRDefault="001B6DE8" w:rsidP="001B6DE8">
      <w:pPr>
        <w:spacing w:after="0" w:line="240" w:lineRule="auto"/>
        <w:ind w:firstLine="720"/>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У контексту управљања учинком потребно је нагласити да велики број елемената који сведоче о његовом постојању и сада постоји у систему: дефинисане структуре организације и линије супервизије кроз систематизације, прати се и оцењује учин</w:t>
      </w:r>
      <w:r w:rsidR="007F15B5" w:rsidRPr="0081082A">
        <w:rPr>
          <w:rFonts w:ascii="Times New Roman" w:hAnsi="Times New Roman" w:cs="Times New Roman"/>
          <w:bCs/>
          <w:sz w:val="24"/>
          <w:szCs w:val="24"/>
          <w:lang w:val="sr-Cyrl-RS"/>
        </w:rPr>
        <w:t>ак</w:t>
      </w:r>
      <w:r w:rsidRPr="0081082A">
        <w:rPr>
          <w:rFonts w:ascii="Times New Roman" w:hAnsi="Times New Roman" w:cs="Times New Roman"/>
          <w:bCs/>
          <w:sz w:val="24"/>
          <w:szCs w:val="24"/>
          <w:lang w:val="sr-Cyrl-RS"/>
        </w:rPr>
        <w:t xml:space="preserve"> организационих јединица и појединачних запослених, формулишу се циљеви различитих нивоа кроз програмски буџет, документа јавних политика и интерне акте, управо се очекује увођење обавезе постојања тзв. Аналитичких јединица које ће</w:t>
      </w:r>
      <w:r w:rsidR="007F15B5"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између осталих задатака</w:t>
      </w:r>
      <w:r w:rsidR="007F15B5"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управо пратити учинак и остварење циљева свих нивоа у организацији</w:t>
      </w:r>
      <w:r w:rsidR="007F15B5" w:rsidRPr="0081082A">
        <w:rPr>
          <w:rFonts w:ascii="Times New Roman" w:hAnsi="Times New Roman" w:cs="Times New Roman"/>
          <w:bCs/>
          <w:sz w:val="24"/>
          <w:szCs w:val="24"/>
          <w:lang w:val="sr-Cyrl-RS"/>
        </w:rPr>
        <w:t xml:space="preserve">. Индикатори </w:t>
      </w:r>
      <w:r w:rsidRPr="0081082A">
        <w:rPr>
          <w:rFonts w:ascii="Times New Roman" w:hAnsi="Times New Roman" w:cs="Times New Roman"/>
          <w:bCs/>
          <w:sz w:val="24"/>
          <w:szCs w:val="24"/>
          <w:lang w:val="sr-Cyrl-RS"/>
        </w:rPr>
        <w:t>учинка су у систем државне управе ушли преко програмског буџета, ИПА система</w:t>
      </w:r>
      <w:r w:rsidR="006069E9"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као и система управљања јавним политикама. У вертикалном смислу</w:t>
      </w:r>
      <w:r w:rsidR="007F15B5"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међу инст</w:t>
      </w:r>
      <w:r w:rsidR="007F15B5" w:rsidRPr="0081082A">
        <w:rPr>
          <w:rFonts w:ascii="Times New Roman" w:hAnsi="Times New Roman" w:cs="Times New Roman"/>
          <w:bCs/>
          <w:sz w:val="24"/>
          <w:szCs w:val="24"/>
          <w:lang w:val="sr-Cyrl-RS"/>
        </w:rPr>
        <w:t>и</w:t>
      </w:r>
      <w:r w:rsidRPr="0081082A">
        <w:rPr>
          <w:rFonts w:ascii="Times New Roman" w:hAnsi="Times New Roman" w:cs="Times New Roman"/>
          <w:bCs/>
          <w:sz w:val="24"/>
          <w:szCs w:val="24"/>
          <w:lang w:val="sr-Cyrl-RS"/>
        </w:rPr>
        <w:t>туцијама</w:t>
      </w:r>
      <w:r w:rsidR="007F15B5"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надзор је предвиђен и прописан, увек постоји институција која је за њега задужена али у пракси је присутан доживљај да  су ове одредбе дате сувише опште и у примени су неуједначене. </w:t>
      </w:r>
    </w:p>
    <w:p w:rsidR="001B6DE8" w:rsidRPr="0081082A" w:rsidRDefault="001B6DE8" w:rsidP="001B6DE8">
      <w:pPr>
        <w:pStyle w:val="Heading3"/>
        <w:spacing w:before="100" w:line="240" w:lineRule="auto"/>
        <w:rPr>
          <w:lang w:val="sr-Cyrl-RS"/>
        </w:rPr>
      </w:pPr>
      <w:bookmarkStart w:id="28" w:name="_Toc69727771"/>
      <w:r w:rsidRPr="0081082A">
        <w:rPr>
          <w:lang w:val="sr-Cyrl-RS"/>
        </w:rPr>
        <w:t>Контролно окружење</w:t>
      </w:r>
      <w:bookmarkEnd w:id="28"/>
      <w:r w:rsidRPr="0081082A">
        <w:rPr>
          <w:lang w:val="sr-Cyrl-RS"/>
        </w:rPr>
        <w:t xml:space="preserve"> </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cs="Times New Roman"/>
          <w:sz w:val="24"/>
          <w:szCs w:val="24"/>
          <w:lang w:val="sr-Cyrl-RS"/>
        </w:rPr>
        <w:t xml:space="preserve">Заокружено контролно окружење у којем је јавни сектор одржив и оперативан постиже се постојањем широког правног оквира који регулише организацију државне управе и институције јавног сектора. Правним оквиром регулисано је делегирање </w:t>
      </w:r>
      <w:r w:rsidRPr="0081082A">
        <w:rPr>
          <w:rFonts w:ascii="Times New Roman" w:hAnsi="Times New Roman" w:cs="Times New Roman"/>
          <w:sz w:val="24"/>
          <w:szCs w:val="24"/>
          <w:lang w:val="sr-Cyrl-RS"/>
        </w:rPr>
        <w:lastRenderedPageBreak/>
        <w:t>надлежности, линије извештавања, етички стандарди и вредности, као и управљање људским ресурсима.</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Устав Републике Србије</w:t>
      </w:r>
      <w:r w:rsidRPr="0081082A">
        <w:rPr>
          <w:rFonts w:ascii="Times New Roman" w:hAnsi="Times New Roman"/>
          <w:sz w:val="24"/>
          <w:szCs w:val="24"/>
          <w:vertAlign w:val="superscript"/>
          <w:lang w:val="sr-Cyrl-RS"/>
        </w:rPr>
        <w:footnoteReference w:id="108"/>
      </w:r>
      <w:r w:rsidRPr="0081082A">
        <w:rPr>
          <w:rFonts w:ascii="Times New Roman" w:hAnsi="Times New Roman"/>
          <w:sz w:val="24"/>
          <w:szCs w:val="24"/>
          <w:lang w:val="sr-Cyrl-RS"/>
        </w:rPr>
        <w:t>, Закон о државној управи</w:t>
      </w:r>
      <w:r w:rsidRPr="0081082A">
        <w:rPr>
          <w:rFonts w:ascii="Times New Roman" w:hAnsi="Times New Roman"/>
          <w:sz w:val="24"/>
          <w:szCs w:val="24"/>
          <w:vertAlign w:val="superscript"/>
          <w:lang w:val="sr-Cyrl-RS"/>
        </w:rPr>
        <w:footnoteReference w:id="109"/>
      </w:r>
      <w:r w:rsidRPr="0081082A">
        <w:rPr>
          <w:rFonts w:ascii="Times New Roman" w:hAnsi="Times New Roman"/>
          <w:sz w:val="24"/>
          <w:szCs w:val="24"/>
          <w:lang w:val="sr-Cyrl-RS"/>
        </w:rPr>
        <w:t>, Закон о државним службеницима</w:t>
      </w:r>
      <w:r w:rsidRPr="0081082A">
        <w:rPr>
          <w:rFonts w:ascii="Times New Roman" w:hAnsi="Times New Roman"/>
          <w:sz w:val="24"/>
          <w:szCs w:val="24"/>
          <w:vertAlign w:val="superscript"/>
          <w:lang w:val="sr-Cyrl-RS"/>
        </w:rPr>
        <w:footnoteReference w:id="110"/>
      </w:r>
      <w:r w:rsidRPr="0081082A">
        <w:rPr>
          <w:rFonts w:ascii="Times New Roman" w:hAnsi="Times New Roman"/>
          <w:sz w:val="24"/>
          <w:szCs w:val="24"/>
          <w:lang w:val="sr-Cyrl-RS"/>
        </w:rPr>
        <w:t>, Кодекс понашања државних службеника и Закон о заштити узбуњивача,</w:t>
      </w:r>
      <w:r w:rsidRPr="0081082A">
        <w:rPr>
          <w:rFonts w:ascii="Times New Roman" w:hAnsi="Times New Roman"/>
          <w:sz w:val="24"/>
          <w:szCs w:val="24"/>
          <w:vertAlign w:val="superscript"/>
          <w:lang w:val="sr-Cyrl-RS"/>
        </w:rPr>
        <w:footnoteReference w:id="111"/>
      </w:r>
      <w:r w:rsidRPr="0081082A">
        <w:rPr>
          <w:rFonts w:ascii="Times New Roman" w:hAnsi="Times New Roman"/>
          <w:sz w:val="24"/>
          <w:szCs w:val="24"/>
          <w:lang w:val="sr-Cyrl-RS"/>
        </w:rPr>
        <w:t xml:space="preserve"> чине основни оквир који обезбеђује интегритет државе, државне управе и државних службеника, примењиве етичке вредности и детаљно прописује спречавање сукоба интереса, права и дужности повезане са откривањем и извештавањем о неправилностима и злоупотребе јавних ресурса. Поред тога, питања интегритета регулисана су Законом о спречавању корупције</w:t>
      </w:r>
      <w:r w:rsidRPr="0081082A">
        <w:rPr>
          <w:rFonts w:ascii="Times New Roman" w:hAnsi="Times New Roman"/>
          <w:sz w:val="24"/>
          <w:szCs w:val="24"/>
          <w:vertAlign w:val="superscript"/>
          <w:lang w:val="sr-Cyrl-RS"/>
        </w:rPr>
        <w:footnoteReference w:id="112"/>
      </w:r>
      <w:r w:rsidRPr="0081082A">
        <w:rPr>
          <w:rFonts w:ascii="Times New Roman" w:hAnsi="Times New Roman"/>
          <w:sz w:val="24"/>
          <w:szCs w:val="24"/>
          <w:lang w:val="sr-Cyrl-RS"/>
        </w:rPr>
        <w:t xml:space="preserve"> који дефинише одређена права и дужности</w:t>
      </w:r>
      <w:r w:rsidR="00F87F4D" w:rsidRPr="0081082A">
        <w:rPr>
          <w:rFonts w:ascii="Times New Roman" w:hAnsi="Times New Roman"/>
          <w:sz w:val="24"/>
          <w:szCs w:val="24"/>
          <w:lang w:val="sr-Cyrl-RS"/>
        </w:rPr>
        <w:t>,</w:t>
      </w:r>
      <w:r w:rsidRPr="0081082A">
        <w:rPr>
          <w:rFonts w:ascii="Times New Roman" w:hAnsi="Times New Roman"/>
          <w:sz w:val="24"/>
          <w:szCs w:val="24"/>
          <w:lang w:val="sr-Cyrl-RS"/>
        </w:rPr>
        <w:t xml:space="preserve"> укључујући и захтеве какав је припрема планова интегритета.</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У претходном периоду, као што је Стратегија реформе јавне управе имала за циљ да се ојача интегритет и етички стандарди запослених, као и да се смањи корупција јачањем механизма превенције, унапређен је правни оквир. Закон о државној управи измењен је са циљем</w:t>
      </w:r>
      <w:r w:rsidRPr="0081082A">
        <w:rPr>
          <w:lang w:val="sr-Cyrl-RS"/>
        </w:rPr>
        <w:t xml:space="preserve"> </w:t>
      </w:r>
      <w:r w:rsidRPr="0081082A">
        <w:rPr>
          <w:rFonts w:ascii="Times New Roman" w:hAnsi="Times New Roman"/>
          <w:sz w:val="24"/>
          <w:szCs w:val="24"/>
          <w:lang w:val="sr-Cyrl-RS"/>
        </w:rPr>
        <w:t xml:space="preserve">омогућавања учешћа заинтересоване јавности у процесу доношења одлука и креирању прописа. То је, између осталог било предвиђено и мером из Акционог плана за спровођење Националне стратегије </w:t>
      </w:r>
      <w:r w:rsidR="00AA7D81" w:rsidRPr="0081082A">
        <w:rPr>
          <w:rFonts w:ascii="Times New Roman" w:hAnsi="Times New Roman"/>
          <w:sz w:val="24"/>
          <w:szCs w:val="24"/>
          <w:lang w:val="sr-Cyrl-RS"/>
        </w:rPr>
        <w:t xml:space="preserve">за </w:t>
      </w:r>
      <w:r w:rsidRPr="0081082A">
        <w:rPr>
          <w:rFonts w:ascii="Times New Roman" w:hAnsi="Times New Roman"/>
          <w:sz w:val="24"/>
          <w:szCs w:val="24"/>
          <w:lang w:val="sr-Cyrl-RS"/>
        </w:rPr>
        <w:t>борбу против корупције</w:t>
      </w:r>
      <w:r w:rsidRPr="0081082A">
        <w:rPr>
          <w:rStyle w:val="FootnoteReference"/>
          <w:rFonts w:ascii="Times New Roman" w:hAnsi="Times New Roman"/>
          <w:sz w:val="24"/>
          <w:szCs w:val="24"/>
          <w:lang w:val="sr-Cyrl-RS"/>
        </w:rPr>
        <w:footnoteReference w:id="113"/>
      </w:r>
      <w:r w:rsidRPr="0081082A">
        <w:rPr>
          <w:rFonts w:ascii="Times New Roman" w:hAnsi="Times New Roman"/>
          <w:sz w:val="24"/>
          <w:szCs w:val="24"/>
          <w:lang w:val="sr-Cyrl-RS"/>
        </w:rPr>
        <w:t xml:space="preserve"> која је предвиђала успостављање механизама којима би се заинтересованим странама и јавности омогућило учешће у поступку доношења прописа на свим нивоима власти.</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Закон о државним службеницима, поред већ поменутих уведених компетенција, измењен је и полазећи од Поглавља 32 и документа „Управљачка одговорност у земљама Западног Балкана</w:t>
      </w:r>
      <w:r w:rsidR="007E728E" w:rsidRPr="0081082A">
        <w:rPr>
          <w:rFonts w:ascii="Times New Roman" w:hAnsi="Times New Roman"/>
          <w:sz w:val="24"/>
          <w:szCs w:val="24"/>
          <w:lang w:val="sr-Cyrl-RS"/>
        </w:rPr>
        <w:t>”</w:t>
      </w:r>
      <w:r w:rsidRPr="0081082A">
        <w:rPr>
          <w:rStyle w:val="FootnoteReference"/>
          <w:rFonts w:ascii="Times New Roman" w:hAnsi="Times New Roman"/>
          <w:sz w:val="24"/>
          <w:szCs w:val="24"/>
          <w:lang w:val="sr-Cyrl-RS"/>
        </w:rPr>
        <w:footnoteReference w:id="114"/>
      </w:r>
      <w:r w:rsidRPr="0081082A">
        <w:rPr>
          <w:rFonts w:ascii="Times New Roman" w:hAnsi="Times New Roman"/>
          <w:sz w:val="24"/>
          <w:szCs w:val="24"/>
          <w:lang w:val="sr-Cyrl-RS"/>
        </w:rPr>
        <w:t xml:space="preserve">, где је СИГМА јасно указала на потребу постављања линија одговорности у државном органу и спуштања одговорности са руководиоца органа на државне службенике на положају и руководиоце.  </w:t>
      </w:r>
    </w:p>
    <w:p w:rsidR="001B6DE8" w:rsidRPr="0081082A" w:rsidRDefault="001B6DE8" w:rsidP="001B6DE8">
      <w:pPr>
        <w:spacing w:after="0" w:line="240" w:lineRule="auto"/>
        <w:ind w:firstLine="720"/>
        <w:jc w:val="both"/>
        <w:rPr>
          <w:rFonts w:ascii="Times New Roman" w:hAnsi="Times New Roman" w:cs="Times New Roman"/>
          <w:sz w:val="24"/>
          <w:szCs w:val="24"/>
          <w:shd w:val="clear" w:color="auto" w:fill="FFFFFF"/>
          <w:lang w:val="sr-Cyrl-RS"/>
        </w:rPr>
      </w:pPr>
      <w:r w:rsidRPr="0081082A">
        <w:rPr>
          <w:rFonts w:ascii="Times New Roman" w:hAnsi="Times New Roman"/>
          <w:sz w:val="24"/>
          <w:szCs w:val="24"/>
          <w:lang w:val="sr-Cyrl-RS"/>
        </w:rPr>
        <w:t xml:space="preserve">У пракси су етички стандарди понекад појачани посебним законима и/или активностима у оквиру планских докумената, нпр. у оквиру посебног циља 2 овог програма, одредбама </w:t>
      </w:r>
      <w:r w:rsidRPr="0081082A">
        <w:rPr>
          <w:rFonts w:ascii="Times New Roman" w:eastAsia="Calibri" w:hAnsi="Times New Roman" w:cs="Times New Roman"/>
          <w:sz w:val="24"/>
          <w:szCs w:val="24"/>
          <w:shd w:val="clear" w:color="auto" w:fill="FFFFFF"/>
          <w:lang w:val="sr-Cyrl-RS"/>
        </w:rPr>
        <w:t>Царинског закона</w:t>
      </w:r>
      <w:r w:rsidRPr="0081082A">
        <w:rPr>
          <w:rStyle w:val="FootnoteReference"/>
          <w:rFonts w:ascii="Times New Roman" w:eastAsia="Calibri" w:hAnsi="Times New Roman" w:cs="Times New Roman"/>
          <w:sz w:val="24"/>
          <w:szCs w:val="24"/>
          <w:shd w:val="clear" w:color="auto" w:fill="FFFFFF"/>
          <w:lang w:val="sr-Cyrl-RS"/>
        </w:rPr>
        <w:footnoteReference w:id="115"/>
      </w:r>
      <w:r w:rsidRPr="0081082A">
        <w:rPr>
          <w:rFonts w:ascii="Times New Roman" w:eastAsia="Calibri" w:hAnsi="Times New Roman" w:cs="Times New Roman"/>
          <w:sz w:val="24"/>
          <w:szCs w:val="24"/>
          <w:shd w:val="clear" w:color="auto" w:fill="FFFFFF"/>
          <w:lang w:val="sr-Cyrl-RS"/>
        </w:rPr>
        <w:t xml:space="preserve"> и Закона о царинској служби</w:t>
      </w:r>
      <w:r w:rsidRPr="0081082A">
        <w:rPr>
          <w:rStyle w:val="FootnoteReference"/>
          <w:rFonts w:ascii="Times New Roman" w:eastAsia="Calibri" w:hAnsi="Times New Roman" w:cs="Times New Roman"/>
          <w:sz w:val="24"/>
          <w:szCs w:val="24"/>
          <w:shd w:val="clear" w:color="auto" w:fill="FFFFFF"/>
          <w:lang w:val="sr-Cyrl-RS"/>
        </w:rPr>
        <w:footnoteReference w:id="116"/>
      </w:r>
      <w:r w:rsidRPr="0081082A">
        <w:rPr>
          <w:rFonts w:ascii="Times New Roman" w:hAnsi="Times New Roman" w:cs="Times New Roman"/>
          <w:sz w:val="24"/>
          <w:szCs w:val="24"/>
          <w:shd w:val="clear" w:color="auto" w:fill="FFFFFF"/>
          <w:lang w:val="sr-Cyrl-RS"/>
        </w:rPr>
        <w:t xml:space="preserve"> додатно су створени услови за унапређење једног од циља функционисања Царинске службе, на начин да развој административних капацитета и промовисање политике за борбу против корупције помаже у подржавању професионалне, етичке и транспарентне Царинске службе.</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Поред државне управе, Стратегијом развоја правосуђа за период 2020–2025. године у области одговорности и транспарентности обухваћено</w:t>
      </w:r>
      <w:r w:rsidR="00AA7D81" w:rsidRPr="0081082A">
        <w:rPr>
          <w:rFonts w:ascii="Times New Roman" w:hAnsi="Times New Roman"/>
          <w:sz w:val="24"/>
          <w:szCs w:val="24"/>
          <w:lang w:val="sr-Cyrl-RS"/>
        </w:rPr>
        <w:t xml:space="preserve"> је</w:t>
      </w:r>
      <w:r w:rsidRPr="0081082A">
        <w:rPr>
          <w:rFonts w:ascii="Times New Roman" w:hAnsi="Times New Roman"/>
          <w:sz w:val="24"/>
          <w:szCs w:val="24"/>
          <w:lang w:val="sr-Cyrl-RS"/>
        </w:rPr>
        <w:t xml:space="preserve"> и питање јачања </w:t>
      </w:r>
      <w:r w:rsidRPr="0081082A">
        <w:rPr>
          <w:rFonts w:ascii="Times New Roman" w:hAnsi="Times New Roman"/>
          <w:sz w:val="24"/>
          <w:szCs w:val="24"/>
          <w:lang w:val="sr-Cyrl-RS"/>
        </w:rPr>
        <w:lastRenderedPageBreak/>
        <w:t>интегритета и етичких стандарда у јавној управи, коме је посвећен један од ЕУ/</w:t>
      </w:r>
      <w:r w:rsidRPr="0081082A">
        <w:rPr>
          <w:rFonts w:ascii="Times New Roman" w:hAnsi="Times New Roman"/>
          <w:i/>
          <w:iCs/>
          <w:sz w:val="24"/>
          <w:szCs w:val="24"/>
          <w:lang w:val="sr-Cyrl-RS"/>
        </w:rPr>
        <w:t xml:space="preserve">OECD </w:t>
      </w:r>
      <w:r w:rsidRPr="0081082A">
        <w:rPr>
          <w:rFonts w:ascii="Times New Roman" w:hAnsi="Times New Roman"/>
          <w:sz w:val="24"/>
          <w:szCs w:val="24"/>
          <w:lang w:val="sr-Cyrl-RS"/>
        </w:rPr>
        <w:t>принципа везаних за област јавне службе и управљање људским ресурсима</w:t>
      </w:r>
      <w:r w:rsidRPr="0081082A">
        <w:rPr>
          <w:rStyle w:val="FootnoteReference"/>
          <w:rFonts w:ascii="Times New Roman" w:hAnsi="Times New Roman"/>
          <w:sz w:val="24"/>
          <w:szCs w:val="24"/>
          <w:lang w:val="sr-Cyrl-RS"/>
        </w:rPr>
        <w:footnoteReference w:id="117"/>
      </w:r>
      <w:r w:rsidRPr="0081082A">
        <w:rPr>
          <w:rFonts w:ascii="Times New Roman" w:hAnsi="Times New Roman"/>
          <w:sz w:val="24"/>
          <w:szCs w:val="24"/>
          <w:lang w:val="sr-Cyrl-RS"/>
        </w:rPr>
        <w:t>.</w:t>
      </w:r>
    </w:p>
    <w:p w:rsidR="001B6DE8" w:rsidRPr="0081082A" w:rsidRDefault="001B6DE8" w:rsidP="001B6DE8">
      <w:pPr>
        <w:spacing w:after="0" w:line="240" w:lineRule="auto"/>
        <w:ind w:firstLine="720"/>
        <w:jc w:val="both"/>
        <w:rPr>
          <w:rFonts w:ascii="Times New Roman" w:hAnsi="Times New Roman"/>
          <w:b/>
          <w:sz w:val="24"/>
          <w:szCs w:val="24"/>
          <w:lang w:val="sr-Cyrl-RS"/>
        </w:rPr>
      </w:pPr>
      <w:r w:rsidRPr="0081082A">
        <w:rPr>
          <w:rFonts w:ascii="Times New Roman" w:hAnsi="Times New Roman"/>
          <w:sz w:val="24"/>
          <w:szCs w:val="24"/>
          <w:lang w:val="sr-Cyrl-RS"/>
        </w:rPr>
        <w:t xml:space="preserve">Стратегија реформе јавне управе имала је за циљ да ојача надзор у читавој државној управи унапређењем правног оквира и капацитета Агенције за спречавање корупције, Заштитника грађана, Повереника за информације од јавног значаја и заштиту података о личности и Повереника за заштиту равноправности, као и капацитета </w:t>
      </w:r>
      <w:r w:rsidR="00600253" w:rsidRPr="0081082A">
        <w:rPr>
          <w:rFonts w:ascii="Times New Roman" w:hAnsi="Times New Roman"/>
          <w:sz w:val="24"/>
          <w:lang w:val="sr-Cyrl-RS"/>
        </w:rPr>
        <w:t>ДРИ</w:t>
      </w:r>
      <w:r w:rsidRPr="0081082A">
        <w:rPr>
          <w:rFonts w:ascii="Times New Roman" w:hAnsi="Times New Roman"/>
          <w:sz w:val="24"/>
          <w:szCs w:val="24"/>
          <w:lang w:val="sr-Cyrl-RS"/>
        </w:rPr>
        <w:t>. Током 2019. године, промењен је правни оквир за Агенцију за борбу против корупције, која сада, као и закон</w:t>
      </w:r>
      <w:r w:rsidR="0058516A" w:rsidRPr="0081082A">
        <w:rPr>
          <w:rFonts w:ascii="Times New Roman" w:hAnsi="Times New Roman"/>
          <w:sz w:val="24"/>
          <w:szCs w:val="24"/>
          <w:lang w:val="sr-Cyrl-RS"/>
        </w:rPr>
        <w:t>,</w:t>
      </w:r>
      <w:r w:rsidRPr="0081082A">
        <w:rPr>
          <w:rFonts w:ascii="Times New Roman" w:hAnsi="Times New Roman"/>
          <w:sz w:val="24"/>
          <w:szCs w:val="24"/>
          <w:lang w:val="sr-Cyrl-RS"/>
        </w:rPr>
        <w:t xml:space="preserve"> функционише под новим називом – Агенција за спречавање корупције. Активности на измени Закона о слободном приступу информацијама од јавног значаја најављене су за 2021. годину. Поред повећања капацитета наведених независних органа, током 2019. и 2020. године, после дужег времена на пленарним седницама Народне скупштине, разматрани су њихови годишњи извештаји о раду и усвајани одговарајући закључци, који позивају извршну власт на поступање по датим препорукама од стране независних органа.</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Једна од препорука односи се на предузимање мера за успостављање адеква</w:t>
      </w:r>
      <w:r w:rsidR="0052394D" w:rsidRPr="0081082A">
        <w:rPr>
          <w:rFonts w:ascii="Times New Roman" w:hAnsi="Times New Roman"/>
          <w:sz w:val="24"/>
          <w:szCs w:val="24"/>
          <w:lang w:val="sr-Cyrl-RS"/>
        </w:rPr>
        <w:t>т</w:t>
      </w:r>
      <w:r w:rsidRPr="0081082A">
        <w:rPr>
          <w:rFonts w:ascii="Times New Roman" w:hAnsi="Times New Roman"/>
          <w:sz w:val="24"/>
          <w:szCs w:val="24"/>
          <w:lang w:val="sr-Cyrl-RS"/>
        </w:rPr>
        <w:t>ног система ИФКЈ, као што је и Закон о буџетском систему обавезао кориснике јавних средстава на успостављање система интерне контроле који обухвата праћење и оцену њихове ефикасности и ефективности.</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 xml:space="preserve">Прописи из области државне управе  прописују да државни органи врше надзор над радом и учинком осталих државних органа и имаоца јавних овлашћења у извршавању дужности које су им поверене. Унутрашњи надзор састоји се из надзора рада, инспекцијског надзора од стране управне инспекције и осталих облика надзора које регулишу посебни закони. </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И у овом делу, побољшан је правни оквир за спровођење делотворног надзора у јавном сектору</w:t>
      </w:r>
      <w:r w:rsidR="0052394D" w:rsidRPr="0081082A">
        <w:rPr>
          <w:rFonts w:ascii="Times New Roman" w:hAnsi="Times New Roman"/>
          <w:sz w:val="24"/>
          <w:szCs w:val="24"/>
          <w:lang w:val="sr-Cyrl-RS"/>
        </w:rPr>
        <w:t xml:space="preserve">, </w:t>
      </w:r>
      <w:r w:rsidRPr="0081082A">
        <w:rPr>
          <w:rFonts w:ascii="Times New Roman" w:hAnsi="Times New Roman"/>
          <w:sz w:val="24"/>
          <w:szCs w:val="24"/>
          <w:lang w:val="sr-Cyrl-RS"/>
        </w:rPr>
        <w:t xml:space="preserve"> </w:t>
      </w:r>
      <w:r w:rsidR="0052394D" w:rsidRPr="0081082A">
        <w:rPr>
          <w:rFonts w:ascii="Times New Roman" w:hAnsi="Times New Roman"/>
          <w:sz w:val="24"/>
          <w:szCs w:val="24"/>
          <w:lang w:val="sr-Cyrl-RS"/>
        </w:rPr>
        <w:t>п</w:t>
      </w:r>
      <w:r w:rsidRPr="0081082A">
        <w:rPr>
          <w:rFonts w:ascii="Times New Roman" w:hAnsi="Times New Roman"/>
          <w:sz w:val="24"/>
          <w:szCs w:val="24"/>
          <w:lang w:val="sr-Cyrl-RS"/>
        </w:rPr>
        <w:t>ри чему је веома важно истаћи координисан рад на изменама прописа, с обзиром да је Закон о инспекцијском надзору промењен, како би се усагласио са новим Законом о општем управном поступку</w:t>
      </w:r>
      <w:r w:rsidRPr="0081082A">
        <w:rPr>
          <w:rStyle w:val="FootnoteReference"/>
          <w:rFonts w:ascii="Times New Roman" w:hAnsi="Times New Roman"/>
          <w:sz w:val="24"/>
          <w:szCs w:val="24"/>
          <w:lang w:val="sr-Cyrl-RS"/>
        </w:rPr>
        <w:footnoteReference w:id="118"/>
      </w:r>
      <w:r w:rsidRPr="0081082A">
        <w:rPr>
          <w:rFonts w:ascii="Times New Roman" w:hAnsi="Times New Roman"/>
          <w:sz w:val="24"/>
          <w:szCs w:val="24"/>
          <w:lang w:val="sr-Cyrl-RS"/>
        </w:rPr>
        <w:t xml:space="preserve"> али и са изменама Закона о државној управи. Законом је</w:t>
      </w:r>
      <w:r w:rsidRPr="0081082A">
        <w:rPr>
          <w:rFonts w:ascii="Times New Roman" w:hAnsi="Times New Roman" w:cs="Times New Roman"/>
          <w:color w:val="000000"/>
          <w:sz w:val="24"/>
          <w:szCs w:val="24"/>
          <w:lang w:val="sr-Cyrl-RS"/>
        </w:rPr>
        <w:t xml:space="preserve"> прописано да план инспекцијског надзора, поред обавезних елемената који чине садржину годишњег плана рада органа државне управе, обавезно треба да садржи и циљеве које инспекција тежи да оствари у планираном периоду – исказане у мерљивим ефектима и начин за постизање постављених циљева, што је још један корак ка управљању учинком. </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Прописи који регулишу радне односе у јавном сектору, као што је већ поменуто, у претходном периоду надограђени су у правцу јачања управљачке одговорности. Посебно је потребно скренути пажњу да су у претходном периоду мењани и Закон о запосленима у аутономним покрајинама и jeдиницама локалне самоуправе</w:t>
      </w:r>
      <w:r w:rsidRPr="0081082A">
        <w:rPr>
          <w:rStyle w:val="FootnoteReference"/>
          <w:rFonts w:ascii="Times New Roman" w:hAnsi="Times New Roman"/>
          <w:sz w:val="24"/>
          <w:szCs w:val="24"/>
          <w:lang w:val="sr-Cyrl-RS"/>
        </w:rPr>
        <w:footnoteReference w:id="119"/>
      </w:r>
      <w:r w:rsidRPr="0081082A">
        <w:rPr>
          <w:rFonts w:ascii="Times New Roman" w:hAnsi="Times New Roman"/>
          <w:sz w:val="24"/>
          <w:szCs w:val="24"/>
          <w:lang w:val="sr-Cyrl-RS"/>
        </w:rPr>
        <w:t xml:space="preserve"> и Закон о запосленима у јавним службама</w:t>
      </w:r>
      <w:r w:rsidRPr="0081082A">
        <w:rPr>
          <w:rStyle w:val="FootnoteReference"/>
          <w:rFonts w:ascii="Times New Roman" w:hAnsi="Times New Roman"/>
          <w:sz w:val="24"/>
          <w:szCs w:val="24"/>
          <w:lang w:val="sr-Cyrl-RS"/>
        </w:rPr>
        <w:footnoteReference w:id="120"/>
      </w:r>
      <w:r w:rsidRPr="0081082A">
        <w:rPr>
          <w:rFonts w:ascii="Times New Roman" w:hAnsi="Times New Roman"/>
          <w:sz w:val="24"/>
          <w:szCs w:val="24"/>
          <w:lang w:val="sr-Cyrl-RS"/>
        </w:rPr>
        <w:t xml:space="preserve">, којима је потврђен нови приступ у управљању људским ресурсима у јавном сектору, који се заснива на компетенцијама. </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lastRenderedPageBreak/>
        <w:t>Прописи из области уређења и систематизације радних места у јавном сектору, који представљају основни оквир за утврђивање система интерне контроле на нивоу корисника јавних средстава</w:t>
      </w:r>
      <w:r w:rsidR="0052394D" w:rsidRPr="0081082A">
        <w:rPr>
          <w:rFonts w:ascii="Times New Roman" w:hAnsi="Times New Roman"/>
          <w:sz w:val="24"/>
          <w:szCs w:val="24"/>
          <w:lang w:val="sr-Cyrl-RS"/>
        </w:rPr>
        <w:t>,</w:t>
      </w:r>
      <w:r w:rsidRPr="0081082A">
        <w:rPr>
          <w:rFonts w:ascii="Times New Roman" w:hAnsi="Times New Roman"/>
          <w:sz w:val="24"/>
          <w:szCs w:val="24"/>
          <w:lang w:val="sr-Cyrl-RS"/>
        </w:rPr>
        <w:t xml:space="preserve"> повезани </w:t>
      </w:r>
      <w:r w:rsidR="0052394D" w:rsidRPr="0081082A">
        <w:rPr>
          <w:rFonts w:ascii="Times New Roman" w:hAnsi="Times New Roman"/>
          <w:sz w:val="24"/>
          <w:szCs w:val="24"/>
          <w:lang w:val="sr-Cyrl-RS"/>
        </w:rPr>
        <w:t xml:space="preserve">су </w:t>
      </w:r>
      <w:r w:rsidRPr="0081082A">
        <w:rPr>
          <w:rFonts w:ascii="Times New Roman" w:hAnsi="Times New Roman"/>
          <w:sz w:val="24"/>
          <w:szCs w:val="24"/>
          <w:lang w:val="sr-Cyrl-RS"/>
        </w:rPr>
        <w:t>са релевантним начелима „COSO</w:t>
      </w:r>
      <w:r w:rsidR="007E728E" w:rsidRPr="0081082A">
        <w:rPr>
          <w:rFonts w:ascii="Times New Roman" w:hAnsi="Times New Roman"/>
          <w:sz w:val="24"/>
          <w:szCs w:val="24"/>
          <w:lang w:val="sr-Cyrl-RS"/>
        </w:rPr>
        <w:t>”</w:t>
      </w:r>
      <w:r w:rsidRPr="0081082A">
        <w:rPr>
          <w:rFonts w:ascii="Times New Roman" w:hAnsi="Times New Roman"/>
          <w:sz w:val="24"/>
          <w:szCs w:val="24"/>
          <w:lang w:val="sr-Cyrl-RS"/>
        </w:rPr>
        <w:t xml:space="preserve"> оквира.</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Корисници јавних средстава припремају кадровски план у коме се дефинише потребан број радних места за сваку буџетску годину</w:t>
      </w:r>
      <w:r w:rsidR="0052394D" w:rsidRPr="0081082A">
        <w:rPr>
          <w:rFonts w:ascii="Times New Roman" w:hAnsi="Times New Roman"/>
          <w:sz w:val="24"/>
          <w:szCs w:val="24"/>
          <w:lang w:val="sr-Cyrl-RS"/>
        </w:rPr>
        <w:t>,</w:t>
      </w:r>
      <w:r w:rsidRPr="0081082A">
        <w:rPr>
          <w:rFonts w:ascii="Times New Roman" w:hAnsi="Times New Roman"/>
          <w:sz w:val="24"/>
          <w:szCs w:val="24"/>
          <w:lang w:val="sr-Cyrl-RS"/>
        </w:rPr>
        <w:t xml:space="preserve"> у зависности од средстава која су им на располагању. Критеријуми и компетенције за попуњавање радних места које се проверавају у изборном поступку</w:t>
      </w:r>
      <w:r w:rsidR="0052394D" w:rsidRPr="0081082A">
        <w:rPr>
          <w:rFonts w:ascii="Times New Roman" w:hAnsi="Times New Roman"/>
          <w:sz w:val="24"/>
          <w:szCs w:val="24"/>
          <w:lang w:val="sr-Cyrl-RS"/>
        </w:rPr>
        <w:t>,</w:t>
      </w:r>
      <w:r w:rsidRPr="0081082A">
        <w:rPr>
          <w:rFonts w:ascii="Times New Roman" w:hAnsi="Times New Roman"/>
          <w:sz w:val="24"/>
          <w:szCs w:val="24"/>
          <w:lang w:val="sr-Cyrl-RS"/>
        </w:rPr>
        <w:t xml:space="preserve"> и начин њихове провере</w:t>
      </w:r>
      <w:r w:rsidR="0052394D" w:rsidRPr="0081082A">
        <w:rPr>
          <w:rFonts w:ascii="Times New Roman" w:hAnsi="Times New Roman"/>
          <w:sz w:val="24"/>
          <w:szCs w:val="24"/>
          <w:lang w:val="sr-Cyrl-RS"/>
        </w:rPr>
        <w:t>,</w:t>
      </w:r>
      <w:r w:rsidRPr="0081082A">
        <w:rPr>
          <w:rFonts w:ascii="Times New Roman" w:hAnsi="Times New Roman"/>
          <w:sz w:val="24"/>
          <w:szCs w:val="24"/>
          <w:lang w:val="sr-Cyrl-RS"/>
        </w:rPr>
        <w:t xml:space="preserve"> прописани су Уредбом о интерном и јавном конкурсу за попуњавање радних места у државним органима</w:t>
      </w:r>
      <w:r w:rsidRPr="0081082A">
        <w:rPr>
          <w:rStyle w:val="FootnoteReference"/>
          <w:rFonts w:ascii="Times New Roman" w:hAnsi="Times New Roman"/>
          <w:sz w:val="24"/>
          <w:szCs w:val="24"/>
          <w:lang w:val="sr-Cyrl-RS"/>
        </w:rPr>
        <w:footnoteReference w:id="121"/>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С о</w:t>
      </w:r>
      <w:r w:rsidR="00D73219">
        <w:rPr>
          <w:rFonts w:ascii="Times New Roman" w:hAnsi="Times New Roman"/>
          <w:sz w:val="24"/>
          <w:szCs w:val="24"/>
          <w:lang w:val="sr-Cyrl-RS"/>
        </w:rPr>
        <w:t>бз</w:t>
      </w:r>
      <w:r w:rsidRPr="0081082A">
        <w:rPr>
          <w:rFonts w:ascii="Times New Roman" w:hAnsi="Times New Roman"/>
          <w:sz w:val="24"/>
          <w:szCs w:val="24"/>
          <w:lang w:val="sr-Cyrl-RS"/>
        </w:rPr>
        <w:t>иром на препознату потребу систематског решења задржавања кадрова, на основу допуна Закона о државним службеницима, Служба за управљање кадров</w:t>
      </w:r>
      <w:r w:rsidR="0052394D" w:rsidRPr="0081082A">
        <w:rPr>
          <w:rFonts w:ascii="Times New Roman" w:hAnsi="Times New Roman"/>
          <w:sz w:val="24"/>
          <w:szCs w:val="24"/>
          <w:lang w:val="sr-Cyrl-RS"/>
        </w:rPr>
        <w:t>има</w:t>
      </w:r>
      <w:r w:rsidRPr="0081082A">
        <w:rPr>
          <w:rFonts w:ascii="Times New Roman" w:hAnsi="Times New Roman"/>
          <w:sz w:val="24"/>
          <w:szCs w:val="24"/>
          <w:lang w:val="sr-Cyrl-RS"/>
        </w:rPr>
        <w:t xml:space="preserve"> утврдила је Упутство о методологији за праћење и анализирање стања у вези са одливом кадрова и његовим утицајем на рад органа државне управе</w:t>
      </w:r>
      <w:r w:rsidR="0052394D" w:rsidRPr="0081082A">
        <w:rPr>
          <w:rFonts w:ascii="Times New Roman" w:hAnsi="Times New Roman"/>
          <w:sz w:val="24"/>
          <w:szCs w:val="24"/>
          <w:lang w:val="sr-Cyrl-RS"/>
        </w:rPr>
        <w:t>,</w:t>
      </w:r>
      <w:r w:rsidRPr="0081082A">
        <w:rPr>
          <w:rStyle w:val="FootnoteReference"/>
          <w:rFonts w:ascii="Times New Roman" w:hAnsi="Times New Roman"/>
          <w:sz w:val="24"/>
          <w:szCs w:val="24"/>
          <w:lang w:val="sr-Cyrl-RS"/>
        </w:rPr>
        <w:footnoteReference w:id="122"/>
      </w:r>
      <w:r w:rsidRPr="0081082A">
        <w:rPr>
          <w:rFonts w:ascii="Times New Roman" w:hAnsi="Times New Roman"/>
          <w:sz w:val="24"/>
          <w:szCs w:val="24"/>
          <w:lang w:val="sr-Cyrl-RS"/>
        </w:rPr>
        <w:t xml:space="preserve"> како би израђивала извештај о уоченом стању</w:t>
      </w:r>
      <w:r w:rsidR="0052394D" w:rsidRPr="0081082A">
        <w:rPr>
          <w:rFonts w:ascii="Times New Roman" w:hAnsi="Times New Roman"/>
          <w:sz w:val="24"/>
          <w:szCs w:val="24"/>
          <w:lang w:val="sr-Cyrl-RS"/>
        </w:rPr>
        <w:t>,</w:t>
      </w:r>
      <w:r w:rsidRPr="0081082A">
        <w:rPr>
          <w:rFonts w:ascii="Times New Roman" w:hAnsi="Times New Roman"/>
          <w:sz w:val="24"/>
          <w:szCs w:val="24"/>
          <w:lang w:val="sr-Cyrl-RS"/>
        </w:rPr>
        <w:t xml:space="preserve"> уз предлог мера које би допринеле ублажав</w:t>
      </w:r>
      <w:r w:rsidR="00D2650C">
        <w:rPr>
          <w:rFonts w:ascii="Times New Roman" w:hAnsi="Times New Roman"/>
          <w:sz w:val="24"/>
          <w:szCs w:val="24"/>
          <w:lang w:val="sr-Cyrl-RS"/>
        </w:rPr>
        <w:t>а</w:t>
      </w:r>
      <w:r w:rsidRPr="0081082A">
        <w:rPr>
          <w:rFonts w:ascii="Times New Roman" w:hAnsi="Times New Roman"/>
          <w:sz w:val="24"/>
          <w:szCs w:val="24"/>
          <w:lang w:val="sr-Cyrl-RS"/>
        </w:rPr>
        <w:t xml:space="preserve">њу или отклањању последица у раду насталих услед одлива кадрова. </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Као што је Акционим планом за спровођење Стратегије реформе јавне управе у Републици Србији за период 2015–2017 планирано</w:t>
      </w:r>
      <w:r w:rsidRPr="0081082A">
        <w:rPr>
          <w:rStyle w:val="FootnoteReference"/>
          <w:rFonts w:ascii="Times New Roman" w:hAnsi="Times New Roman" w:cs="Times New Roman"/>
          <w:sz w:val="24"/>
          <w:szCs w:val="24"/>
          <w:lang w:val="sr-Cyrl-RS"/>
        </w:rPr>
        <w:footnoteReference w:id="123"/>
      </w:r>
      <w:r w:rsidRPr="0081082A">
        <w:rPr>
          <w:rFonts w:ascii="Times New Roman" w:hAnsi="Times New Roman" w:cs="Times New Roman"/>
          <w:sz w:val="24"/>
          <w:szCs w:val="24"/>
          <w:lang w:val="sr-Cyrl-RS"/>
        </w:rPr>
        <w:t>, основана је централна национална институција за стручно усавршавање запослених у јавној управи, Законом о  Националној ак</w:t>
      </w:r>
      <w:r w:rsidR="007B6ECE">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демији за јавну управу</w:t>
      </w:r>
      <w:r w:rsidRPr="0081082A">
        <w:rPr>
          <w:rStyle w:val="FootnoteReference"/>
          <w:rFonts w:ascii="Times New Roman" w:hAnsi="Times New Roman" w:cs="Times New Roman"/>
          <w:sz w:val="24"/>
          <w:szCs w:val="24"/>
          <w:lang w:val="sr-Cyrl-RS"/>
        </w:rPr>
        <w:footnoteReference w:id="124"/>
      </w:r>
      <w:r w:rsidRPr="0081082A">
        <w:rPr>
          <w:rFonts w:ascii="Times New Roman" w:hAnsi="Times New Roman" w:cs="Times New Roman"/>
          <w:sz w:val="24"/>
          <w:szCs w:val="24"/>
          <w:lang w:val="sr-Cyrl-RS"/>
        </w:rPr>
        <w:t xml:space="preserve">. Оснивањем НАЈУ </w:t>
      </w:r>
      <w:r w:rsidRPr="0081082A">
        <w:rPr>
          <w:rFonts w:ascii="Times New Roman" w:hAnsi="Times New Roman"/>
          <w:sz w:val="24"/>
          <w:szCs w:val="24"/>
          <w:lang w:val="sr-Cyrl-RS"/>
        </w:rPr>
        <w:t>обезбеђена је свеобухватност и одрживост активности стручног усавршавања, стандардизација процеса и очекиваних резултата, евалуација свих аспеката тог процеса, као и већа усклађеност активности у систему стручног усавршавања. НАЈУ, у складу са Законом о државним службеницима, сваке године доноси општи програм обуке, програм обуке руководилаца и посебне програме обуке.</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Програми за професионално обучавање руководилаца у јавном сектору имају позитиван утицај на развој и побољшање вештина у руковођењу</w:t>
      </w:r>
      <w:r w:rsidRPr="0081082A">
        <w:rPr>
          <w:rFonts w:ascii="Times New Roman" w:hAnsi="Times New Roman"/>
          <w:color w:val="FF0000"/>
          <w:sz w:val="24"/>
          <w:szCs w:val="24"/>
          <w:lang w:val="sr-Cyrl-RS"/>
        </w:rPr>
        <w:t xml:space="preserve"> </w:t>
      </w:r>
      <w:r w:rsidRPr="0081082A">
        <w:rPr>
          <w:rFonts w:ascii="Times New Roman" w:hAnsi="Times New Roman"/>
          <w:sz w:val="24"/>
          <w:szCs w:val="24"/>
          <w:lang w:val="sr-Cyrl-RS"/>
        </w:rPr>
        <w:t xml:space="preserve">оперативних руководилаца. Међутим, и даље је потребно улагати напоре у изградњу одрживе и стабилне управљачке структуре у државној управи. </w:t>
      </w:r>
      <w:r w:rsidRPr="0081082A">
        <w:rPr>
          <w:rFonts w:ascii="Times New Roman" w:hAnsi="Times New Roman"/>
          <w:sz w:val="24"/>
          <w:szCs w:val="24"/>
          <w:lang w:val="sr-Cyrl-RS"/>
        </w:rPr>
        <w:tab/>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Јасна линија одговорности међу институцијама</w:t>
      </w:r>
      <w:r w:rsidR="0052394D" w:rsidRPr="0081082A">
        <w:rPr>
          <w:rFonts w:ascii="Times New Roman" w:hAnsi="Times New Roman"/>
          <w:sz w:val="24"/>
          <w:szCs w:val="24"/>
          <w:lang w:val="sr-Cyrl-RS"/>
        </w:rPr>
        <w:t>,</w:t>
      </w:r>
      <w:r w:rsidRPr="0081082A">
        <w:rPr>
          <w:rFonts w:ascii="Times New Roman" w:hAnsi="Times New Roman"/>
          <w:sz w:val="24"/>
          <w:szCs w:val="24"/>
          <w:lang w:val="sr-Cyrl-RS"/>
        </w:rPr>
        <w:t xml:space="preserve"> као трећим стубом управљачке одговорности</w:t>
      </w:r>
      <w:r w:rsidR="0052394D" w:rsidRPr="0081082A">
        <w:rPr>
          <w:rFonts w:ascii="Times New Roman" w:hAnsi="Times New Roman"/>
          <w:sz w:val="24"/>
          <w:szCs w:val="24"/>
          <w:lang w:val="sr-Cyrl-RS"/>
        </w:rPr>
        <w:t>,</w:t>
      </w:r>
      <w:r w:rsidRPr="0081082A">
        <w:rPr>
          <w:rFonts w:ascii="Times New Roman" w:hAnsi="Times New Roman"/>
          <w:sz w:val="24"/>
          <w:szCs w:val="24"/>
          <w:lang w:val="sr-Cyrl-RS"/>
        </w:rPr>
        <w:t xml:space="preserve"> требала је да се унапреди кроз спровођење мере - Организационо и функционално реструктурирање државне управе.</w:t>
      </w:r>
      <w:r w:rsidRPr="0081082A">
        <w:rPr>
          <w:rStyle w:val="FootnoteReference"/>
          <w:rFonts w:ascii="Times New Roman" w:hAnsi="Times New Roman"/>
          <w:sz w:val="24"/>
          <w:szCs w:val="24"/>
          <w:lang w:val="sr-Cyrl-RS"/>
        </w:rPr>
        <w:footnoteReference w:id="125"/>
      </w:r>
      <w:r w:rsidRPr="0081082A">
        <w:rPr>
          <w:rFonts w:ascii="Times New Roman" w:hAnsi="Times New Roman"/>
          <w:sz w:val="24"/>
          <w:szCs w:val="24"/>
          <w:lang w:val="sr-Cyrl-RS"/>
        </w:rPr>
        <w:t xml:space="preserve"> У вези са тим</w:t>
      </w:r>
      <w:r w:rsidR="0052394D" w:rsidRPr="0081082A">
        <w:rPr>
          <w:rFonts w:ascii="Times New Roman" w:hAnsi="Times New Roman"/>
          <w:sz w:val="24"/>
          <w:szCs w:val="24"/>
          <w:lang w:val="sr-Cyrl-RS"/>
        </w:rPr>
        <w:t>, у</w:t>
      </w:r>
      <w:r w:rsidRPr="0081082A">
        <w:rPr>
          <w:rFonts w:ascii="Times New Roman" w:hAnsi="Times New Roman"/>
          <w:sz w:val="24"/>
          <w:szCs w:val="24"/>
          <w:lang w:val="sr-Cyrl-RS"/>
        </w:rPr>
        <w:t xml:space="preserve"> оквиру пројекта „Реструктурирање и оптимизација јавне управе у РС</w:t>
      </w:r>
      <w:r w:rsidR="007E728E" w:rsidRPr="0081082A">
        <w:rPr>
          <w:rFonts w:ascii="Times New Roman" w:hAnsi="Times New Roman"/>
          <w:sz w:val="24"/>
          <w:szCs w:val="24"/>
          <w:lang w:val="sr-Cyrl-RS"/>
        </w:rPr>
        <w:t>”</w:t>
      </w:r>
      <w:r w:rsidRPr="0081082A">
        <w:rPr>
          <w:rFonts w:ascii="Times New Roman" w:hAnsi="Times New Roman"/>
          <w:sz w:val="24"/>
          <w:szCs w:val="24"/>
          <w:lang w:val="sr-Cyrl-RS"/>
        </w:rPr>
        <w:t>, урађене су четири функционалне анализе које је спровела Светска банка</w:t>
      </w:r>
      <w:r w:rsidR="0052394D" w:rsidRPr="0081082A">
        <w:rPr>
          <w:rFonts w:ascii="Times New Roman" w:hAnsi="Times New Roman"/>
          <w:sz w:val="24"/>
          <w:szCs w:val="24"/>
          <w:lang w:val="sr-Cyrl-RS"/>
        </w:rPr>
        <w:t>,</w:t>
      </w:r>
      <w:r w:rsidRPr="0081082A">
        <w:rPr>
          <w:rFonts w:ascii="Times New Roman" w:hAnsi="Times New Roman"/>
          <w:sz w:val="24"/>
          <w:szCs w:val="24"/>
          <w:lang w:val="sr-Cyrl-RS"/>
        </w:rPr>
        <w:t xml:space="preserve"> од којих је једна и хоризонтална функционална анализа „Државна управа плус</w:t>
      </w:r>
      <w:r w:rsidR="007E728E" w:rsidRPr="0081082A">
        <w:rPr>
          <w:rFonts w:ascii="Times New Roman" w:hAnsi="Times New Roman"/>
          <w:sz w:val="24"/>
          <w:szCs w:val="24"/>
          <w:lang w:val="sr-Cyrl-RS"/>
        </w:rPr>
        <w:t>”</w:t>
      </w:r>
      <w:r w:rsidRPr="0081082A">
        <w:rPr>
          <w:rFonts w:ascii="Times New Roman" w:hAnsi="Times New Roman"/>
          <w:sz w:val="24"/>
          <w:szCs w:val="24"/>
          <w:lang w:val="sr-Cyrl-RS"/>
        </w:rPr>
        <w:t xml:space="preserve"> (ХФА). Детаљније навођење ових активности саставни </w:t>
      </w:r>
      <w:r w:rsidR="0052394D" w:rsidRPr="0081082A">
        <w:rPr>
          <w:rFonts w:ascii="Times New Roman" w:hAnsi="Times New Roman"/>
          <w:sz w:val="24"/>
          <w:szCs w:val="24"/>
          <w:lang w:val="sr-Cyrl-RS"/>
        </w:rPr>
        <w:t xml:space="preserve">је </w:t>
      </w:r>
      <w:r w:rsidRPr="0081082A">
        <w:rPr>
          <w:rFonts w:ascii="Times New Roman" w:hAnsi="Times New Roman"/>
          <w:sz w:val="24"/>
          <w:szCs w:val="24"/>
          <w:lang w:val="sr-Cyrl-RS"/>
        </w:rPr>
        <w:t>део нове Стратегије реформе јавне управе</w:t>
      </w:r>
      <w:r w:rsidRPr="0081082A" w:rsidDel="00C4234D">
        <w:rPr>
          <w:rFonts w:ascii="Times New Roman" w:hAnsi="Times New Roman"/>
          <w:sz w:val="24"/>
          <w:szCs w:val="24"/>
          <w:lang w:val="sr-Cyrl-RS"/>
        </w:rPr>
        <w:t xml:space="preserve"> </w:t>
      </w:r>
      <w:r w:rsidRPr="0081082A">
        <w:rPr>
          <w:rFonts w:ascii="Times New Roman" w:hAnsi="Times New Roman"/>
          <w:sz w:val="24"/>
          <w:szCs w:val="24"/>
          <w:lang w:val="sr-Cyrl-RS"/>
        </w:rPr>
        <w:t xml:space="preserve"> 2021-2030.</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 xml:space="preserve">Основни оквир се допуњује применом прописа који регулишу управљање средствима ЕУ у Србији. Уредба </w:t>
      </w:r>
      <w:r w:rsidR="0052394D" w:rsidRPr="0081082A">
        <w:rPr>
          <w:rFonts w:ascii="Times New Roman" w:hAnsi="Times New Roman"/>
          <w:sz w:val="24"/>
          <w:szCs w:val="24"/>
          <w:lang w:val="sr-Cyrl-RS"/>
        </w:rPr>
        <w:t>о</w:t>
      </w:r>
      <w:r w:rsidRPr="0081082A">
        <w:rPr>
          <w:rFonts w:ascii="Times New Roman" w:hAnsi="Times New Roman"/>
          <w:sz w:val="24"/>
          <w:szCs w:val="24"/>
          <w:lang w:val="sr-Cyrl-RS"/>
        </w:rPr>
        <w:t xml:space="preserve"> управљању програмима претприступне помоћи ЕУ у оквиру компоненте I Инструмента претприступне помоћи (ИПА) </w:t>
      </w:r>
      <w:r w:rsidR="0052394D" w:rsidRPr="0081082A">
        <w:rPr>
          <w:rFonts w:ascii="Times New Roman" w:hAnsi="Times New Roman"/>
          <w:sz w:val="24"/>
          <w:szCs w:val="24"/>
          <w:lang w:val="sr-Cyrl-RS"/>
        </w:rPr>
        <w:t>-</w:t>
      </w:r>
      <w:r w:rsidRPr="0081082A">
        <w:rPr>
          <w:rFonts w:ascii="Times New Roman" w:hAnsi="Times New Roman"/>
          <w:sz w:val="24"/>
          <w:szCs w:val="24"/>
          <w:lang w:val="sr-Cyrl-RS"/>
        </w:rPr>
        <w:t xml:space="preserve"> Помоћ у транзицији и изградња институција за период 2007-2013</w:t>
      </w:r>
      <w:r w:rsidRPr="0081082A">
        <w:rPr>
          <w:rFonts w:ascii="Times New Roman" w:eastAsia="Times New Roman" w:hAnsi="Times New Roman"/>
          <w:sz w:val="24"/>
          <w:szCs w:val="24"/>
          <w:vertAlign w:val="superscript"/>
          <w:lang w:val="sr-Cyrl-RS" w:eastAsia="en-GB"/>
        </w:rPr>
        <w:footnoteReference w:id="126"/>
      </w:r>
      <w:r w:rsidRPr="0081082A">
        <w:rPr>
          <w:rFonts w:ascii="Times New Roman" w:eastAsia="Times New Roman" w:hAnsi="Times New Roman"/>
          <w:sz w:val="24"/>
          <w:szCs w:val="24"/>
          <w:lang w:val="sr-Cyrl-RS" w:eastAsia="en-GB"/>
        </w:rPr>
        <w:t xml:space="preserve">, Одлука о одређивању </w:t>
      </w:r>
      <w:r w:rsidRPr="0081082A">
        <w:rPr>
          <w:rFonts w:ascii="Times New Roman" w:eastAsia="Times New Roman" w:hAnsi="Times New Roman"/>
          <w:sz w:val="24"/>
          <w:szCs w:val="24"/>
          <w:lang w:val="sr-Cyrl-RS" w:eastAsia="en-GB"/>
        </w:rPr>
        <w:lastRenderedPageBreak/>
        <w:t>одговорних лица и тела у систему за управљање програмима претприступне помоћи ЕУ за период 2007-2013</w:t>
      </w:r>
      <w:r w:rsidRPr="0081082A">
        <w:rPr>
          <w:rFonts w:ascii="Times New Roman" w:eastAsia="Times New Roman" w:hAnsi="Times New Roman"/>
          <w:sz w:val="24"/>
          <w:szCs w:val="24"/>
          <w:vertAlign w:val="superscript"/>
          <w:lang w:val="sr-Cyrl-RS" w:eastAsia="en-GB"/>
        </w:rPr>
        <w:footnoteReference w:id="127"/>
      </w:r>
      <w:r w:rsidRPr="0081082A">
        <w:rPr>
          <w:rFonts w:ascii="Times New Roman" w:eastAsia="Times New Roman" w:hAnsi="Times New Roman"/>
          <w:sz w:val="24"/>
          <w:szCs w:val="24"/>
          <w:lang w:val="sr-Cyrl-RS" w:eastAsia="en-GB"/>
        </w:rPr>
        <w:t>, Уредба о управљању програмима претприступне помоћи ЕУ у оквиру Инструмента претприступне помоћи (ИПА II) 2014-2020</w:t>
      </w:r>
      <w:r w:rsidRPr="0081082A">
        <w:rPr>
          <w:rFonts w:ascii="Times New Roman" w:eastAsia="Times New Roman" w:hAnsi="Times New Roman"/>
          <w:sz w:val="24"/>
          <w:szCs w:val="24"/>
          <w:vertAlign w:val="superscript"/>
          <w:lang w:val="sr-Cyrl-RS" w:eastAsia="en-GB"/>
        </w:rPr>
        <w:footnoteReference w:id="128"/>
      </w:r>
      <w:r w:rsidRPr="0081082A">
        <w:rPr>
          <w:rFonts w:ascii="Times New Roman" w:eastAsia="Times New Roman" w:hAnsi="Times New Roman"/>
          <w:sz w:val="24"/>
          <w:szCs w:val="24"/>
          <w:lang w:val="sr-Cyrl-RS" w:eastAsia="en-GB"/>
        </w:rPr>
        <w:t>, и Одлука о одређивању лица и тела за управљање програмима претприступне помоћи ЕУ у оквиру Инструмента претприступне помоћи (ИПА II) за период 2014-2020</w:t>
      </w:r>
      <w:r w:rsidRPr="0081082A">
        <w:rPr>
          <w:rFonts w:ascii="Times New Roman" w:eastAsia="Times New Roman" w:hAnsi="Times New Roman"/>
          <w:sz w:val="24"/>
          <w:szCs w:val="24"/>
          <w:vertAlign w:val="superscript"/>
          <w:lang w:val="sr-Cyrl-RS" w:eastAsia="en-GB"/>
        </w:rPr>
        <w:footnoteReference w:id="129"/>
      </w:r>
      <w:r w:rsidRPr="0081082A">
        <w:rPr>
          <w:rFonts w:ascii="Times New Roman" w:eastAsia="Times New Roman" w:hAnsi="Times New Roman"/>
          <w:sz w:val="24"/>
          <w:szCs w:val="24"/>
          <w:lang w:val="sr-Cyrl-RS" w:eastAsia="en-GB"/>
        </w:rPr>
        <w:t xml:space="preserve">, утврђују структуру, линије извештавања, овлашћења и надлежности свих актера у државној управи </w:t>
      </w:r>
      <w:r w:rsidR="00534963" w:rsidRPr="0081082A">
        <w:rPr>
          <w:rFonts w:ascii="Times New Roman" w:hAnsi="Times New Roman" w:cs="Times New Roman"/>
          <w:bCs/>
          <w:sz w:val="24"/>
          <w:szCs w:val="24"/>
          <w:lang w:val="sr-Cyrl-RS"/>
        </w:rPr>
        <w:t>Републике Србије</w:t>
      </w:r>
      <w:r w:rsidRPr="0081082A">
        <w:rPr>
          <w:rFonts w:ascii="Times New Roman" w:eastAsia="Times New Roman" w:hAnsi="Times New Roman"/>
          <w:sz w:val="24"/>
          <w:szCs w:val="24"/>
          <w:lang w:val="sr-Cyrl-RS" w:eastAsia="en-GB"/>
        </w:rPr>
        <w:t xml:space="preserve"> који учествују у управљању претприступним програмима помоћи ЕУ.</w:t>
      </w:r>
      <w:r w:rsidRPr="0081082A">
        <w:rPr>
          <w:rFonts w:ascii="Times New Roman" w:hAnsi="Times New Roman"/>
          <w:sz w:val="24"/>
          <w:szCs w:val="24"/>
          <w:lang w:val="sr-Cyrl-RS"/>
        </w:rPr>
        <w:t xml:space="preserve"> </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eastAsia="Times New Roman" w:hAnsi="Times New Roman"/>
          <w:sz w:val="24"/>
          <w:szCs w:val="24"/>
          <w:lang w:val="sr-Cyrl-RS" w:eastAsia="en-GB"/>
        </w:rPr>
        <w:tab/>
        <w:t>Уредба о одређивању тела за ревизију система за управљање претприступним програмима помоћи ЕУ у оквиру Инструмента претприступне помоћи додатно дефинише улогу и надлежности ревизорског тела које ће вршити ревизију фондова ЕУ</w:t>
      </w:r>
      <w:r w:rsidRPr="0081082A">
        <w:rPr>
          <w:rFonts w:ascii="Times New Roman" w:eastAsia="Times New Roman" w:hAnsi="Times New Roman"/>
          <w:sz w:val="24"/>
          <w:szCs w:val="24"/>
          <w:vertAlign w:val="superscript"/>
          <w:lang w:val="sr-Cyrl-RS" w:eastAsia="en-GB"/>
        </w:rPr>
        <w:footnoteReference w:id="130"/>
      </w:r>
      <w:r w:rsidRPr="0081082A">
        <w:rPr>
          <w:rFonts w:ascii="Times New Roman" w:eastAsia="Times New Roman" w:hAnsi="Times New Roman"/>
          <w:sz w:val="24"/>
          <w:szCs w:val="24"/>
          <w:lang w:val="sr-Cyrl-RS" w:eastAsia="en-GB"/>
        </w:rPr>
        <w:t>.</w:t>
      </w:r>
    </w:p>
    <w:p w:rsidR="001B6DE8" w:rsidRPr="0081082A" w:rsidRDefault="001B6DE8" w:rsidP="001B6DE8">
      <w:pPr>
        <w:spacing w:after="0" w:line="240" w:lineRule="auto"/>
        <w:jc w:val="both"/>
        <w:rPr>
          <w:rFonts w:ascii="Times New Roman" w:eastAsia="Times New Roman" w:hAnsi="Times New Roman"/>
          <w:sz w:val="24"/>
          <w:szCs w:val="24"/>
          <w:lang w:val="sr-Cyrl-RS" w:eastAsia="sr-Latn-RS"/>
        </w:rPr>
      </w:pPr>
      <w:r w:rsidRPr="0081082A">
        <w:rPr>
          <w:rFonts w:ascii="Times New Roman" w:hAnsi="Times New Roman"/>
          <w:sz w:val="24"/>
          <w:szCs w:val="24"/>
          <w:lang w:val="sr-Cyrl-RS"/>
        </w:rPr>
        <w:tab/>
        <w:t xml:space="preserve"> </w:t>
      </w:r>
      <w:r w:rsidRPr="0081082A">
        <w:rPr>
          <w:rFonts w:ascii="Times New Roman" w:eastAsia="Times New Roman" w:hAnsi="Times New Roman"/>
          <w:sz w:val="24"/>
          <w:szCs w:val="24"/>
          <w:lang w:val="sr-Cyrl-RS" w:eastAsia="sr-Latn-RS"/>
        </w:rPr>
        <w:t>У складу са препорукама из извештаја о Србији, као што из наведеног може да се закључи</w:t>
      </w:r>
      <w:r w:rsidR="0052394D" w:rsidRPr="0081082A">
        <w:rPr>
          <w:rFonts w:ascii="Times New Roman" w:eastAsia="Times New Roman" w:hAnsi="Times New Roman"/>
          <w:sz w:val="24"/>
          <w:szCs w:val="24"/>
          <w:lang w:val="sr-Cyrl-RS" w:eastAsia="sr-Latn-RS"/>
        </w:rPr>
        <w:t xml:space="preserve">, </w:t>
      </w:r>
      <w:r w:rsidRPr="0081082A">
        <w:rPr>
          <w:rFonts w:ascii="Times New Roman" w:eastAsia="Times New Roman" w:hAnsi="Times New Roman"/>
          <w:sz w:val="24"/>
          <w:szCs w:val="24"/>
          <w:lang w:val="sr-Cyrl-RS" w:eastAsia="sr-Latn-RS"/>
        </w:rPr>
        <w:t xml:space="preserve"> мењани су прописи и предузимале су се активности како би се обезбедила здрава основа за будуће управљање структурним инструментима</w:t>
      </w:r>
      <w:r w:rsidRPr="0081082A">
        <w:rPr>
          <w:rFonts w:ascii="Times New Roman" w:hAnsi="Times New Roman"/>
          <w:lang w:val="sr-Cyrl-RS"/>
        </w:rPr>
        <w:t xml:space="preserve"> </w:t>
      </w:r>
      <w:r w:rsidRPr="0081082A">
        <w:rPr>
          <w:rFonts w:ascii="Times New Roman" w:eastAsia="Times New Roman" w:hAnsi="Times New Roman"/>
          <w:sz w:val="24"/>
          <w:szCs w:val="24"/>
          <w:lang w:val="sr-Cyrl-RS" w:eastAsia="sr-Latn-RS"/>
        </w:rPr>
        <w:t xml:space="preserve">ЕУ. </w:t>
      </w:r>
    </w:p>
    <w:p w:rsidR="001B6DE8" w:rsidRPr="0081082A" w:rsidRDefault="001B6DE8" w:rsidP="001B6DE8">
      <w:pPr>
        <w:spacing w:after="0" w:line="240" w:lineRule="auto"/>
        <w:jc w:val="both"/>
        <w:rPr>
          <w:rFonts w:ascii="Times New Roman" w:eastAsia="Times New Roman" w:hAnsi="Times New Roman"/>
          <w:sz w:val="24"/>
          <w:szCs w:val="24"/>
          <w:lang w:val="sr-Cyrl-RS" w:eastAsia="sr-Latn-RS"/>
        </w:rPr>
      </w:pPr>
      <w:r w:rsidRPr="0081082A">
        <w:rPr>
          <w:rFonts w:ascii="Times New Roman" w:eastAsia="Times New Roman" w:hAnsi="Times New Roman"/>
          <w:sz w:val="24"/>
          <w:szCs w:val="24"/>
          <w:lang w:val="sr-Cyrl-RS" w:eastAsia="sr-Latn-RS"/>
        </w:rPr>
        <w:tab/>
        <w:t>За унапређење успостављања поузданог контролног окружења</w:t>
      </w:r>
      <w:r w:rsidR="0052394D" w:rsidRPr="0081082A">
        <w:rPr>
          <w:rFonts w:ascii="Times New Roman" w:eastAsia="Times New Roman" w:hAnsi="Times New Roman"/>
          <w:sz w:val="24"/>
          <w:szCs w:val="24"/>
          <w:lang w:val="sr-Cyrl-RS" w:eastAsia="sr-Latn-RS"/>
        </w:rPr>
        <w:t>,</w:t>
      </w:r>
      <w:r w:rsidRPr="0081082A">
        <w:rPr>
          <w:rFonts w:ascii="Times New Roman" w:eastAsia="Times New Roman" w:hAnsi="Times New Roman"/>
          <w:sz w:val="24"/>
          <w:szCs w:val="24"/>
          <w:lang w:val="sr-Cyrl-RS" w:eastAsia="sr-Latn-RS"/>
        </w:rPr>
        <w:t xml:space="preserve"> предузимаће се активности и у наредном периоду, како би се гарантовало постојање оптималног оквира који ће омогућити корисницима јавних средстава да извршавају своје одобрене буџете</w:t>
      </w:r>
      <w:r w:rsidR="0052394D" w:rsidRPr="0081082A">
        <w:rPr>
          <w:rFonts w:ascii="Times New Roman" w:eastAsia="Times New Roman" w:hAnsi="Times New Roman"/>
          <w:sz w:val="24"/>
          <w:szCs w:val="24"/>
          <w:lang w:val="sr-Cyrl-RS" w:eastAsia="sr-Latn-RS"/>
        </w:rPr>
        <w:t>,</w:t>
      </w:r>
      <w:r w:rsidRPr="0081082A">
        <w:rPr>
          <w:rFonts w:ascii="Times New Roman" w:eastAsia="Times New Roman" w:hAnsi="Times New Roman"/>
          <w:sz w:val="24"/>
          <w:szCs w:val="24"/>
          <w:lang w:val="sr-Cyrl-RS" w:eastAsia="sr-Latn-RS"/>
        </w:rPr>
        <w:t xml:space="preserve"> и остала средства која су им додељена</w:t>
      </w:r>
      <w:r w:rsidR="0052394D" w:rsidRPr="0081082A">
        <w:rPr>
          <w:rFonts w:ascii="Times New Roman" w:eastAsia="Times New Roman" w:hAnsi="Times New Roman"/>
          <w:sz w:val="24"/>
          <w:szCs w:val="24"/>
          <w:lang w:val="sr-Cyrl-RS" w:eastAsia="sr-Latn-RS"/>
        </w:rPr>
        <w:t>,</w:t>
      </w:r>
      <w:r w:rsidRPr="0081082A">
        <w:rPr>
          <w:rFonts w:ascii="Times New Roman" w:eastAsia="Times New Roman" w:hAnsi="Times New Roman"/>
          <w:sz w:val="24"/>
          <w:szCs w:val="24"/>
          <w:lang w:val="sr-Cyrl-RS" w:eastAsia="sr-Latn-RS"/>
        </w:rPr>
        <w:t xml:space="preserve"> на ефикасан и ефективан начин и у складу са принципима поузданог финансијског управљања.</w:t>
      </w:r>
    </w:p>
    <w:p w:rsidR="001B6DE8" w:rsidRPr="0081082A" w:rsidRDefault="001B6DE8" w:rsidP="001B6DE8">
      <w:pPr>
        <w:pStyle w:val="Heading3"/>
        <w:spacing w:before="100" w:line="240" w:lineRule="auto"/>
        <w:rPr>
          <w:rFonts w:eastAsia="Times New Roman"/>
          <w:lang w:val="sr-Cyrl-RS"/>
        </w:rPr>
      </w:pPr>
      <w:bookmarkStart w:id="29" w:name="_Toc69727772"/>
      <w:r w:rsidRPr="0081082A">
        <w:rPr>
          <w:rFonts w:eastAsia="Times New Roman"/>
          <w:lang w:val="sr-Cyrl-RS"/>
        </w:rPr>
        <w:t>Процена ризика</w:t>
      </w:r>
      <w:bookmarkEnd w:id="29"/>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Закон о буџетском систему обавезује кориснике јавних средстава да успоставе систем финансијског управљања и контроле који, између осталог, обухвата управљање ризиком. Правилник ФУК дефинише управљање ризиком као одређени обим активности које се реализују у циљу откривања, процене и контроле могућих догађаја и ситуација које могу да имају негативан утицај на остваривање циљева корисника јавних средстава, уз задатак да се обезбеди разумно уверавање да ће</w:t>
      </w:r>
      <w:r w:rsidRPr="0081082A">
        <w:rPr>
          <w:rFonts w:ascii="Times New Roman" w:hAnsi="Times New Roman"/>
          <w:color w:val="FF0000"/>
          <w:sz w:val="24"/>
          <w:szCs w:val="24"/>
          <w:lang w:val="sr-Cyrl-RS"/>
        </w:rPr>
        <w:t xml:space="preserve"> </w:t>
      </w:r>
      <w:r w:rsidRPr="0081082A">
        <w:rPr>
          <w:rFonts w:ascii="Times New Roman" w:hAnsi="Times New Roman"/>
          <w:sz w:val="24"/>
          <w:szCs w:val="24"/>
          <w:lang w:val="sr-Cyrl-RS"/>
        </w:rPr>
        <w:t>циљеви</w:t>
      </w:r>
      <w:r w:rsidRPr="0081082A">
        <w:rPr>
          <w:rFonts w:ascii="Times New Roman" w:hAnsi="Times New Roman"/>
          <w:color w:val="FF0000"/>
          <w:sz w:val="24"/>
          <w:szCs w:val="24"/>
          <w:lang w:val="sr-Cyrl-RS"/>
        </w:rPr>
        <w:t xml:space="preserve"> </w:t>
      </w:r>
      <w:r w:rsidRPr="0081082A">
        <w:rPr>
          <w:rFonts w:ascii="Times New Roman" w:hAnsi="Times New Roman"/>
          <w:sz w:val="24"/>
          <w:szCs w:val="24"/>
          <w:lang w:val="sr-Cyrl-RS"/>
        </w:rPr>
        <w:t>организације</w:t>
      </w:r>
      <w:r w:rsidRPr="0081082A">
        <w:rPr>
          <w:rFonts w:ascii="Times New Roman" w:hAnsi="Times New Roman"/>
          <w:color w:val="FF0000"/>
          <w:sz w:val="24"/>
          <w:szCs w:val="24"/>
          <w:lang w:val="sr-Cyrl-RS"/>
        </w:rPr>
        <w:t xml:space="preserve"> </w:t>
      </w:r>
      <w:r w:rsidRPr="0081082A">
        <w:rPr>
          <w:rFonts w:ascii="Times New Roman" w:hAnsi="Times New Roman"/>
          <w:sz w:val="24"/>
          <w:szCs w:val="24"/>
          <w:lang w:val="sr-Cyrl-RS"/>
        </w:rPr>
        <w:t>бити остварени.</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sz w:val="24"/>
          <w:szCs w:val="24"/>
          <w:lang w:val="sr-Cyrl-RS"/>
        </w:rPr>
        <w:t xml:space="preserve">Процес упрaвљaња ризицимa трeбa пoсмaтрaти кao један од кључних дeлова сваког систeмa финaнсиjског управљања и кoнтрoле. </w:t>
      </w:r>
      <w:r w:rsidR="007E03DE" w:rsidRPr="0081082A">
        <w:rPr>
          <w:rFonts w:ascii="Times New Roman" w:hAnsi="Times New Roman"/>
          <w:sz w:val="24"/>
          <w:szCs w:val="24"/>
          <w:lang w:val="sr-Cyrl-RS"/>
        </w:rPr>
        <w:t>Р</w:t>
      </w:r>
      <w:r w:rsidRPr="0081082A">
        <w:rPr>
          <w:rFonts w:ascii="Times New Roman" w:hAnsi="Times New Roman"/>
          <w:sz w:val="24"/>
          <w:szCs w:val="24"/>
          <w:lang w:val="sr-Cyrl-RS"/>
        </w:rPr>
        <w:t>азлог</w:t>
      </w:r>
      <w:r w:rsidR="007E03DE" w:rsidRPr="0081082A">
        <w:rPr>
          <w:rFonts w:ascii="Times New Roman" w:hAnsi="Times New Roman"/>
          <w:sz w:val="24"/>
          <w:szCs w:val="24"/>
          <w:lang w:val="sr-Cyrl-RS"/>
        </w:rPr>
        <w:t xml:space="preserve"> је јер</w:t>
      </w:r>
      <w:r w:rsidRPr="0081082A">
        <w:rPr>
          <w:rFonts w:ascii="Times New Roman" w:hAnsi="Times New Roman"/>
          <w:sz w:val="24"/>
          <w:szCs w:val="24"/>
          <w:lang w:val="sr-Cyrl-RS"/>
        </w:rPr>
        <w:t xml:space="preserve"> </w:t>
      </w:r>
      <w:r w:rsidRPr="0081082A">
        <w:rPr>
          <w:rFonts w:ascii="Times New Roman" w:hAnsi="Times New Roman" w:cs="Times New Roman"/>
          <w:iCs/>
          <w:sz w:val="24"/>
          <w:szCs w:val="24"/>
          <w:lang w:val="sr-Cyrl-RS"/>
        </w:rPr>
        <w:t xml:space="preserve">адeквaтни систeм финaнсиjскoг упрaвљaњa и кoнтрoлe </w:t>
      </w:r>
      <w:r w:rsidRPr="0081082A">
        <w:rPr>
          <w:rFonts w:ascii="Times New Roman" w:hAnsi="Times New Roman" w:cs="Times New Roman"/>
          <w:sz w:val="24"/>
          <w:szCs w:val="24"/>
          <w:lang w:val="sr-Cyrl-RS"/>
        </w:rPr>
        <w:t>обезбеђујe, у рaзумнoj мeри, управо увeрeнoст дa пoстojи eфeктивнo упрaвљaњe ризицимa. Управљање ризицима обухвата принципе који значе да је институција утврдила циљеве, анализирала ризике као основ за одлучивање о начину управљања ризицима, процени</w:t>
      </w:r>
      <w:r w:rsidR="009F67EB">
        <w:rPr>
          <w:rFonts w:ascii="Times New Roman" w:hAnsi="Times New Roman" w:cs="Times New Roman"/>
          <w:sz w:val="24"/>
          <w:szCs w:val="24"/>
          <w:lang w:val="sr-Cyrl-RS"/>
        </w:rPr>
        <w:t>ла ризике од могуће преваре и и</w:t>
      </w:r>
      <w:r w:rsidRPr="0081082A">
        <w:rPr>
          <w:rFonts w:ascii="Times New Roman" w:hAnsi="Times New Roman" w:cs="Times New Roman"/>
          <w:sz w:val="24"/>
          <w:szCs w:val="24"/>
          <w:lang w:val="sr-Cyrl-RS"/>
        </w:rPr>
        <w:t>де</w:t>
      </w:r>
      <w:r w:rsidR="009F67EB">
        <w:rPr>
          <w:rFonts w:ascii="Times New Roman" w:hAnsi="Times New Roman" w:cs="Times New Roman"/>
          <w:sz w:val="24"/>
          <w:szCs w:val="24"/>
          <w:lang w:val="sr-Cyrl-RS"/>
        </w:rPr>
        <w:t>н</w:t>
      </w:r>
      <w:r w:rsidRPr="0081082A">
        <w:rPr>
          <w:rFonts w:ascii="Times New Roman" w:hAnsi="Times New Roman" w:cs="Times New Roman"/>
          <w:sz w:val="24"/>
          <w:szCs w:val="24"/>
          <w:lang w:val="sr-Cyrl-RS"/>
        </w:rPr>
        <w:t>тификовала и анализирала промене од значаја за систем интерних контрола. Према подацима из Консолидованог годишњег извештаја за 2019. годину</w:t>
      </w:r>
      <w:r w:rsidR="007E03D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процеси идентификације ризика повезаних са кључним пословним процесима, као и утврђивања ризика за остваривање конкретних циљева</w:t>
      </w:r>
      <w:r w:rsidR="007E03D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нису успостављени у задовољавајућем обиму.</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cs="Times New Roman"/>
          <w:sz w:val="24"/>
          <w:szCs w:val="24"/>
          <w:lang w:val="sr-Cyrl-RS"/>
        </w:rPr>
        <w:lastRenderedPageBreak/>
        <w:t>У циљу бољег разумевања и примене, ЦЈХ је израдила Смернице за управљање ризицима</w:t>
      </w:r>
      <w:r w:rsidRPr="0081082A">
        <w:rPr>
          <w:rStyle w:val="FootnoteReference"/>
          <w:rFonts w:ascii="Times New Roman" w:hAnsi="Times New Roman" w:cs="Times New Roman"/>
          <w:sz w:val="24"/>
          <w:szCs w:val="24"/>
          <w:lang w:val="sr-Cyrl-RS"/>
        </w:rPr>
        <w:footnoteReference w:id="131"/>
      </w:r>
      <w:r w:rsidRPr="0081082A">
        <w:rPr>
          <w:rFonts w:ascii="Times New Roman" w:hAnsi="Times New Roman" w:cs="Times New Roman"/>
          <w:sz w:val="24"/>
          <w:szCs w:val="24"/>
          <w:lang w:val="sr-Cyrl-RS"/>
        </w:rPr>
        <w:t xml:space="preserve"> и Модел стратегије управљањ</w:t>
      </w:r>
      <w:r w:rsidR="007E03DE"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 xml:space="preserve"> ризицима</w:t>
      </w:r>
      <w:r w:rsidRPr="0081082A">
        <w:rPr>
          <w:rStyle w:val="FootnoteReference"/>
          <w:rFonts w:ascii="Times New Roman" w:hAnsi="Times New Roman" w:cs="Times New Roman"/>
          <w:sz w:val="24"/>
          <w:szCs w:val="24"/>
          <w:lang w:val="sr-Cyrl-RS"/>
        </w:rPr>
        <w:footnoteReference w:id="132"/>
      </w:r>
      <w:r w:rsidRPr="0081082A">
        <w:rPr>
          <w:rFonts w:ascii="Times New Roman" w:hAnsi="Times New Roman" w:cs="Times New Roman"/>
          <w:sz w:val="24"/>
          <w:szCs w:val="24"/>
          <w:lang w:val="sr-Cyrl-RS"/>
        </w:rPr>
        <w:t xml:space="preserve">. </w:t>
      </w:r>
      <w:r w:rsidRPr="0081082A">
        <w:rPr>
          <w:rFonts w:ascii="Times New Roman" w:hAnsi="Times New Roman"/>
          <w:sz w:val="24"/>
          <w:szCs w:val="24"/>
          <w:lang w:val="sr-Cyrl-RS"/>
        </w:rPr>
        <w:t>Модел стратегије управљања ризицима користиће руководиоцима корисника јавних средстава, који имају обавезу да усвоје стратегију управљања ризиком коју треба ажурирати сваке три године и прилагоде је свакој већој промени контролног окружења.</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 xml:space="preserve"> Контрола којом се ризик смањује на прихватљив ниво мора бити анализирана и ажурирана најмање једном годишње. Управљање ризицима подразумева увођење одговарајуће контроле за ублажавање ризика, а у складу са међународним стандардима интерне контроле.</w:t>
      </w:r>
    </w:p>
    <w:p w:rsidR="001B6DE8" w:rsidRPr="0081082A" w:rsidRDefault="001B6DE8" w:rsidP="001B6DE8">
      <w:pPr>
        <w:spacing w:after="0" w:line="240" w:lineRule="auto"/>
        <w:ind w:firstLine="720"/>
        <w:jc w:val="both"/>
        <w:rPr>
          <w:rFonts w:ascii="Times New Roman" w:eastAsia="Calibri" w:hAnsi="Times New Roman" w:cs="Times New Roman"/>
          <w:iCs/>
          <w:sz w:val="24"/>
          <w:szCs w:val="24"/>
          <w:shd w:val="clear" w:color="auto" w:fill="FFFFFF"/>
          <w:lang w:val="sr-Cyrl-RS"/>
        </w:rPr>
      </w:pPr>
      <w:r w:rsidRPr="0081082A">
        <w:rPr>
          <w:rFonts w:ascii="Times New Roman" w:eastAsia="Calibri" w:hAnsi="Times New Roman" w:cs="Times New Roman"/>
          <w:iCs/>
          <w:sz w:val="24"/>
          <w:szCs w:val="24"/>
          <w:shd w:val="clear" w:color="auto" w:fill="FFFFFF"/>
          <w:lang w:val="sr-Cyrl-RS"/>
        </w:rPr>
        <w:t>Унапређење управљања ризиком у односу на циљеве саме организације омогућено је Законом о планском систему</w:t>
      </w:r>
      <w:r w:rsidR="002A61BC" w:rsidRPr="0081082A">
        <w:rPr>
          <w:rFonts w:ascii="Times New Roman" w:eastAsia="Calibri" w:hAnsi="Times New Roman" w:cs="Times New Roman"/>
          <w:iCs/>
          <w:sz w:val="24"/>
          <w:szCs w:val="24"/>
          <w:shd w:val="clear" w:color="auto" w:fill="FFFFFF"/>
          <w:lang w:val="sr-Cyrl-RS"/>
        </w:rPr>
        <w:t xml:space="preserve"> </w:t>
      </w:r>
      <w:r w:rsidR="002A61BC" w:rsidRPr="0081082A">
        <w:rPr>
          <w:rFonts w:ascii="Times New Roman" w:hAnsi="Times New Roman" w:cs="Times New Roman"/>
          <w:sz w:val="24"/>
          <w:szCs w:val="24"/>
          <w:lang w:val="sr-Cyrl-RS"/>
        </w:rPr>
        <w:t>Републике Србије</w:t>
      </w:r>
      <w:r w:rsidR="007E03DE" w:rsidRPr="0081082A">
        <w:rPr>
          <w:rFonts w:ascii="Times New Roman" w:eastAsia="Calibri" w:hAnsi="Times New Roman" w:cs="Times New Roman"/>
          <w:iCs/>
          <w:sz w:val="24"/>
          <w:szCs w:val="24"/>
          <w:shd w:val="clear" w:color="auto" w:fill="FFFFFF"/>
          <w:lang w:val="sr-Cyrl-RS"/>
        </w:rPr>
        <w:t>, прописивањем</w:t>
      </w:r>
      <w:r w:rsidRPr="0081082A">
        <w:rPr>
          <w:rFonts w:ascii="Times New Roman" w:eastAsia="Calibri" w:hAnsi="Times New Roman" w:cs="Times New Roman"/>
          <w:iCs/>
          <w:sz w:val="24"/>
          <w:szCs w:val="24"/>
          <w:shd w:val="clear" w:color="auto" w:fill="FFFFFF"/>
          <w:lang w:val="sr-Cyrl-RS"/>
        </w:rPr>
        <w:t xml:space="preserve"> обавезе да средњорочни план мора да садржи ризике и предуслове за остварење мера, ако постоје, као и да се </w:t>
      </w:r>
      <w:r w:rsidRPr="0081082A">
        <w:rPr>
          <w:rFonts w:ascii="Times New Roman" w:eastAsia="Calibri" w:hAnsi="Times New Roman" w:cs="Times New Roman"/>
          <w:i/>
          <w:sz w:val="24"/>
          <w:szCs w:val="24"/>
          <w:shd w:val="clear" w:color="auto" w:fill="FFFFFF"/>
          <w:lang w:val="sr-Cyrl-RS"/>
        </w:rPr>
        <w:t>Ex-ante</w:t>
      </w:r>
      <w:r w:rsidRPr="0081082A">
        <w:rPr>
          <w:rFonts w:ascii="Times New Roman" w:eastAsia="Calibri" w:hAnsi="Times New Roman" w:cs="Times New Roman"/>
          <w:iCs/>
          <w:sz w:val="24"/>
          <w:szCs w:val="24"/>
          <w:shd w:val="clear" w:color="auto" w:fill="FFFFFF"/>
          <w:lang w:val="sr-Cyrl-RS"/>
        </w:rPr>
        <w:t xml:space="preserve"> анализа ефеката састоји и од корака анализе ризика</w:t>
      </w:r>
      <w:r w:rsidRPr="0081082A">
        <w:rPr>
          <w:rStyle w:val="FootnoteReference"/>
          <w:rFonts w:ascii="Times New Roman" w:eastAsia="Calibri" w:hAnsi="Times New Roman" w:cs="Times New Roman"/>
          <w:iCs/>
          <w:sz w:val="24"/>
          <w:szCs w:val="24"/>
          <w:shd w:val="clear" w:color="auto" w:fill="FFFFFF"/>
          <w:lang w:val="sr-Cyrl-RS"/>
        </w:rPr>
        <w:footnoteReference w:id="133"/>
      </w:r>
      <w:r w:rsidRPr="0081082A">
        <w:rPr>
          <w:rFonts w:ascii="Times New Roman" w:eastAsia="Calibri" w:hAnsi="Times New Roman" w:cs="Times New Roman"/>
          <w:iCs/>
          <w:sz w:val="24"/>
          <w:szCs w:val="24"/>
          <w:shd w:val="clear" w:color="auto" w:fill="FFFFFF"/>
          <w:lang w:val="sr-Cyrl-RS"/>
        </w:rPr>
        <w:t xml:space="preserve"> за спровођење одређених опција јавне политике и идентификовање потенцијалних ризика у спровођењу јавне политике. Овај програм, као и Стратегиј</w:t>
      </w:r>
      <w:r w:rsidR="00F46464" w:rsidRPr="0081082A">
        <w:rPr>
          <w:rFonts w:ascii="Times New Roman" w:eastAsia="Calibri" w:hAnsi="Times New Roman" w:cs="Times New Roman"/>
          <w:iCs/>
          <w:sz w:val="24"/>
          <w:szCs w:val="24"/>
          <w:shd w:val="clear" w:color="auto" w:fill="FFFFFF"/>
          <w:lang w:val="sr-Cyrl-RS"/>
        </w:rPr>
        <w:t>а</w:t>
      </w:r>
      <w:r w:rsidRPr="0081082A">
        <w:rPr>
          <w:rFonts w:ascii="Times New Roman" w:eastAsia="Calibri" w:hAnsi="Times New Roman" w:cs="Times New Roman"/>
          <w:iCs/>
          <w:sz w:val="24"/>
          <w:szCs w:val="24"/>
          <w:shd w:val="clear" w:color="auto" w:fill="FFFFFF"/>
          <w:lang w:val="sr-Cyrl-RS"/>
        </w:rPr>
        <w:t xml:space="preserve"> реформе јавне управе 2021-2030</w:t>
      </w:r>
      <w:r w:rsidR="00F46464" w:rsidRPr="0081082A">
        <w:rPr>
          <w:rFonts w:ascii="Times New Roman" w:eastAsia="Calibri" w:hAnsi="Times New Roman" w:cs="Times New Roman"/>
          <w:iCs/>
          <w:sz w:val="24"/>
          <w:szCs w:val="24"/>
          <w:shd w:val="clear" w:color="auto" w:fill="FFFFFF"/>
          <w:lang w:val="sr-Cyrl-RS"/>
        </w:rPr>
        <w:t>,</w:t>
      </w:r>
      <w:r w:rsidRPr="0081082A">
        <w:rPr>
          <w:rFonts w:ascii="Times New Roman" w:eastAsia="Calibri" w:hAnsi="Times New Roman" w:cs="Times New Roman"/>
          <w:iCs/>
          <w:sz w:val="24"/>
          <w:szCs w:val="24"/>
          <w:shd w:val="clear" w:color="auto" w:fill="FFFFFF"/>
          <w:lang w:val="sr-Cyrl-RS"/>
        </w:rPr>
        <w:t xml:space="preserve"> садрже посебан одељак анализе, односно управљања ризицима.</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Корисници јавних средстава у пракси процењују разне врсте ризика којима је изложена њихова институција</w:t>
      </w:r>
      <w:r w:rsidR="00F46464" w:rsidRPr="0081082A">
        <w:rPr>
          <w:rFonts w:ascii="Times New Roman" w:hAnsi="Times New Roman"/>
          <w:sz w:val="24"/>
          <w:szCs w:val="24"/>
          <w:lang w:val="sr-Cyrl-RS"/>
        </w:rPr>
        <w:t xml:space="preserve">, </w:t>
      </w:r>
      <w:r w:rsidRPr="0081082A">
        <w:rPr>
          <w:rFonts w:ascii="Times New Roman" w:hAnsi="Times New Roman"/>
          <w:sz w:val="24"/>
          <w:szCs w:val="24"/>
          <w:lang w:val="sr-Cyrl-RS"/>
        </w:rPr>
        <w:t xml:space="preserve">више се усредсређујући на процену ризика који су повезани са усклађеношћу рада и закона, а </w:t>
      </w:r>
      <w:r w:rsidR="00F46464" w:rsidRPr="0081082A">
        <w:rPr>
          <w:rFonts w:ascii="Times New Roman" w:hAnsi="Times New Roman"/>
          <w:sz w:val="24"/>
          <w:szCs w:val="24"/>
          <w:lang w:val="sr-Cyrl-RS"/>
        </w:rPr>
        <w:t xml:space="preserve">мање </w:t>
      </w:r>
      <w:r w:rsidRPr="0081082A">
        <w:rPr>
          <w:rFonts w:ascii="Times New Roman" w:hAnsi="Times New Roman"/>
          <w:sz w:val="24"/>
          <w:szCs w:val="24"/>
          <w:lang w:val="sr-Cyrl-RS"/>
        </w:rPr>
        <w:t>на ризике који утичу на њихове резултате рада.</w:t>
      </w:r>
    </w:p>
    <w:p w:rsidR="00F46464"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Као позитиван приступ управљања ризицима</w:t>
      </w:r>
      <w:r w:rsidR="00F46464" w:rsidRPr="0081082A">
        <w:rPr>
          <w:rFonts w:ascii="Times New Roman" w:hAnsi="Times New Roman"/>
          <w:sz w:val="24"/>
          <w:szCs w:val="24"/>
          <w:lang w:val="sr-Cyrl-RS"/>
        </w:rPr>
        <w:t>,</w:t>
      </w:r>
      <w:r w:rsidRPr="0081082A">
        <w:rPr>
          <w:rFonts w:ascii="Times New Roman" w:hAnsi="Times New Roman"/>
          <w:sz w:val="24"/>
          <w:szCs w:val="24"/>
          <w:lang w:val="sr-Cyrl-RS"/>
        </w:rPr>
        <w:t xml:space="preserve"> Министарство финансија</w:t>
      </w:r>
      <w:r w:rsidR="00F46464" w:rsidRPr="0081082A">
        <w:rPr>
          <w:rFonts w:ascii="Times New Roman" w:hAnsi="Times New Roman"/>
          <w:sz w:val="24"/>
          <w:szCs w:val="24"/>
          <w:lang w:val="sr-Cyrl-RS"/>
        </w:rPr>
        <w:t>,</w:t>
      </w:r>
      <w:r w:rsidRPr="0081082A">
        <w:rPr>
          <w:rFonts w:ascii="Times New Roman" w:hAnsi="Times New Roman"/>
          <w:sz w:val="24"/>
          <w:szCs w:val="24"/>
          <w:lang w:val="sr-Cyrl-RS"/>
        </w:rPr>
        <w:t xml:space="preserve"> са управама у саставу</w:t>
      </w:r>
      <w:r w:rsidR="00F46464" w:rsidRPr="0081082A">
        <w:rPr>
          <w:rFonts w:ascii="Times New Roman" w:hAnsi="Times New Roman"/>
          <w:sz w:val="24"/>
          <w:szCs w:val="24"/>
          <w:lang w:val="sr-Cyrl-RS"/>
        </w:rPr>
        <w:t>,</w:t>
      </w:r>
      <w:r w:rsidRPr="0081082A">
        <w:rPr>
          <w:rFonts w:ascii="Times New Roman" w:hAnsi="Times New Roman"/>
          <w:sz w:val="24"/>
          <w:szCs w:val="24"/>
          <w:lang w:val="sr-Cyrl-RS"/>
        </w:rPr>
        <w:t xml:space="preserve"> покренуло </w:t>
      </w:r>
      <w:r w:rsidR="00F46464" w:rsidRPr="0081082A">
        <w:rPr>
          <w:rFonts w:ascii="Times New Roman" w:hAnsi="Times New Roman"/>
          <w:sz w:val="24"/>
          <w:szCs w:val="24"/>
          <w:lang w:val="sr-Cyrl-RS"/>
        </w:rPr>
        <w:t xml:space="preserve">је </w:t>
      </w:r>
      <w:r w:rsidRPr="0081082A">
        <w:rPr>
          <w:rFonts w:ascii="Times New Roman" w:hAnsi="Times New Roman"/>
          <w:sz w:val="24"/>
          <w:szCs w:val="24"/>
          <w:lang w:val="sr-Cyrl-RS"/>
        </w:rPr>
        <w:t>одређене активности</w:t>
      </w:r>
      <w:r w:rsidR="00F46464" w:rsidRPr="0081082A">
        <w:rPr>
          <w:rFonts w:ascii="Times New Roman" w:hAnsi="Times New Roman"/>
          <w:sz w:val="24"/>
          <w:szCs w:val="24"/>
          <w:lang w:val="sr-Cyrl-RS"/>
        </w:rPr>
        <w:t xml:space="preserve">. </w:t>
      </w:r>
    </w:p>
    <w:p w:rsidR="001B6DE8" w:rsidRPr="0081082A" w:rsidRDefault="001B6DE8" w:rsidP="00F46464">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sz w:val="24"/>
          <w:szCs w:val="24"/>
          <w:lang w:val="sr-Cyrl-RS"/>
        </w:rPr>
        <w:t xml:space="preserve">Као што је наведено у Посебном циљу 2 овог програма, </w:t>
      </w:r>
      <w:r w:rsidR="00600253" w:rsidRPr="0081082A">
        <w:rPr>
          <w:rFonts w:ascii="Times New Roman" w:hAnsi="Times New Roman"/>
          <w:sz w:val="24"/>
          <w:szCs w:val="24"/>
          <w:lang w:val="sr-Cyrl-RS"/>
        </w:rPr>
        <w:t>ПУРС</w:t>
      </w:r>
      <w:r w:rsidRPr="0081082A">
        <w:rPr>
          <w:rFonts w:ascii="Times New Roman" w:hAnsi="Times New Roman"/>
          <w:sz w:val="24"/>
          <w:szCs w:val="24"/>
          <w:lang w:val="sr-Cyrl-RS"/>
        </w:rPr>
        <w:t xml:space="preserve"> је усвојила </w:t>
      </w:r>
      <w:r w:rsidRPr="0081082A">
        <w:rPr>
          <w:rFonts w:ascii="Times New Roman" w:hAnsi="Times New Roman" w:cs="Times New Roman"/>
          <w:sz w:val="24"/>
          <w:szCs w:val="24"/>
          <w:lang w:val="sr-Cyrl-RS"/>
        </w:rPr>
        <w:t xml:space="preserve">План за поштовање пореских прописа који је заснован на моделу </w:t>
      </w:r>
      <w:r w:rsidRPr="0081082A">
        <w:rPr>
          <w:rFonts w:ascii="Times New Roman" w:hAnsi="Times New Roman"/>
          <w:color w:val="000000"/>
          <w:sz w:val="24"/>
          <w:lang w:val="sr-Cyrl-RS"/>
        </w:rPr>
        <w:t xml:space="preserve">управљања ризицима </w:t>
      </w:r>
      <w:r w:rsidRPr="0081082A">
        <w:rPr>
          <w:rFonts w:ascii="Times New Roman" w:hAnsi="Times New Roman" w:cs="Times New Roman"/>
          <w:i/>
          <w:color w:val="000000"/>
          <w:sz w:val="24"/>
          <w:szCs w:val="24"/>
          <w:lang w:val="sr-Cyrl-RS"/>
        </w:rPr>
        <w:t>OECD</w:t>
      </w:r>
      <w:r w:rsidRPr="0081082A">
        <w:rPr>
          <w:rFonts w:ascii="Times New Roman" w:hAnsi="Times New Roman"/>
          <w:color w:val="000000"/>
          <w:sz w:val="24"/>
          <w:lang w:val="sr-Cyrl-RS"/>
        </w:rPr>
        <w:t xml:space="preserve"> у вези са поштовањем прописа</w:t>
      </w:r>
      <w:r w:rsidRPr="0081082A">
        <w:rPr>
          <w:rFonts w:ascii="Times New Roman" w:hAnsi="Times New Roman" w:cs="Times New Roman"/>
          <w:color w:val="000000"/>
          <w:sz w:val="24"/>
          <w:szCs w:val="24"/>
          <w:lang w:val="sr-Cyrl-RS"/>
        </w:rPr>
        <w:t xml:space="preserve">, којим је промовисано добровољно поштовање прописа и управљање ризиком на бази интегрисаног приступа. </w:t>
      </w:r>
      <w:r w:rsidR="00600253" w:rsidRPr="0081082A">
        <w:rPr>
          <w:rFonts w:ascii="Times New Roman" w:hAnsi="Times New Roman"/>
          <w:sz w:val="24"/>
          <w:szCs w:val="24"/>
          <w:lang w:val="sr-Cyrl-RS"/>
        </w:rPr>
        <w:t>ПУРС</w:t>
      </w:r>
      <w:r w:rsidRPr="0081082A">
        <w:rPr>
          <w:rFonts w:ascii="Times New Roman" w:hAnsi="Times New Roman" w:cs="Times New Roman"/>
          <w:color w:val="000000"/>
          <w:sz w:val="24"/>
          <w:szCs w:val="24"/>
          <w:lang w:val="sr-Cyrl-RS"/>
        </w:rPr>
        <w:t xml:space="preserve"> основала је </w:t>
      </w:r>
      <w:r w:rsidR="00F46464" w:rsidRPr="0081082A">
        <w:rPr>
          <w:rFonts w:ascii="Times New Roman" w:hAnsi="Times New Roman" w:cs="Times New Roman"/>
          <w:color w:val="000000"/>
          <w:sz w:val="24"/>
          <w:szCs w:val="24"/>
          <w:lang w:val="sr-Cyrl-RS"/>
        </w:rPr>
        <w:t>С</w:t>
      </w:r>
      <w:r w:rsidRPr="0081082A">
        <w:rPr>
          <w:rFonts w:ascii="Times New Roman" w:hAnsi="Times New Roman" w:cs="Times New Roman"/>
          <w:color w:val="000000"/>
          <w:sz w:val="24"/>
          <w:szCs w:val="24"/>
          <w:lang w:val="sr-Cyrl-RS"/>
        </w:rPr>
        <w:t>ектор за стратешки ризик и услуге пореских обвезника.</w:t>
      </w:r>
      <w:r w:rsidR="0099210F" w:rsidRPr="0081082A">
        <w:rPr>
          <w:lang w:val="sr-Cyrl-RS"/>
        </w:rPr>
        <w:t xml:space="preserve"> </w:t>
      </w:r>
      <w:r w:rsidR="0099210F" w:rsidRPr="0081082A">
        <w:rPr>
          <w:rFonts w:ascii="Times New Roman" w:hAnsi="Times New Roman" w:cs="Times New Roman"/>
          <w:color w:val="000000"/>
          <w:sz w:val="24"/>
          <w:szCs w:val="24"/>
          <w:lang w:val="sr-Cyrl-RS"/>
        </w:rPr>
        <w:t>Формиране су две засебне организационе јединице - Одељење за стратешке ризике и Сектор за пружање услуга пореским обвезницима и едукацију</w:t>
      </w:r>
      <w:r w:rsidRPr="0081082A">
        <w:rPr>
          <w:rFonts w:ascii="Times New Roman" w:hAnsi="Times New Roman" w:cs="Times New Roman"/>
          <w:color w:val="000000"/>
          <w:sz w:val="24"/>
          <w:szCs w:val="24"/>
          <w:lang w:val="sr-Cyrl-RS"/>
        </w:rPr>
        <w:t xml:space="preserve"> Управа царин</w:t>
      </w:r>
      <w:r w:rsidR="00F46464" w:rsidRPr="0081082A">
        <w:rPr>
          <w:rFonts w:ascii="Times New Roman" w:hAnsi="Times New Roman" w:cs="Times New Roman"/>
          <w:color w:val="000000"/>
          <w:sz w:val="24"/>
          <w:szCs w:val="24"/>
          <w:lang w:val="sr-Cyrl-RS"/>
        </w:rPr>
        <w:t>а</w:t>
      </w:r>
      <w:r w:rsidRPr="0081082A">
        <w:rPr>
          <w:rFonts w:ascii="Times New Roman" w:hAnsi="Times New Roman" w:cs="Times New Roman"/>
          <w:color w:val="000000"/>
          <w:sz w:val="24"/>
          <w:szCs w:val="24"/>
          <w:lang w:val="sr-Cyrl-RS"/>
        </w:rPr>
        <w:t xml:space="preserve"> унапредила је управљање ризицима </w:t>
      </w:r>
      <w:r w:rsidRPr="0081082A">
        <w:rPr>
          <w:rFonts w:ascii="Times New Roman" w:eastAsia="Calibri" w:hAnsi="Times New Roman" w:cs="Times New Roman"/>
          <w:sz w:val="24"/>
          <w:szCs w:val="24"/>
          <w:shd w:val="clear" w:color="auto" w:fill="FFFFFF"/>
          <w:lang w:val="sr-Cyrl-RS"/>
        </w:rPr>
        <w:t xml:space="preserve">уз коришћење апликације за аутоматску евалуацију ризика и оријентацију </w:t>
      </w:r>
      <w:r w:rsidRPr="0081082A">
        <w:rPr>
          <w:rFonts w:ascii="Times New Roman" w:hAnsi="Times New Roman"/>
          <w:sz w:val="24"/>
          <w:shd w:val="clear" w:color="auto" w:fill="FFFFFF"/>
          <w:lang w:val="sr-Cyrl-RS"/>
        </w:rPr>
        <w:t xml:space="preserve">контрола </w:t>
      </w:r>
      <w:r w:rsidRPr="0081082A">
        <w:rPr>
          <w:rFonts w:ascii="Times New Roman" w:hAnsi="Times New Roman"/>
          <w:i/>
          <w:sz w:val="24"/>
          <w:shd w:val="clear" w:color="auto" w:fill="FFFFFF"/>
          <w:lang w:val="sr-Cyrl-RS"/>
        </w:rPr>
        <w:t xml:space="preserve">ERIAN </w:t>
      </w:r>
      <w:r w:rsidRPr="0081082A">
        <w:rPr>
          <w:rFonts w:ascii="Times New Roman" w:hAnsi="Times New Roman"/>
          <w:sz w:val="24"/>
          <w:shd w:val="clear" w:color="auto" w:fill="FFFFFF"/>
          <w:lang w:val="sr-Cyrl-RS"/>
        </w:rPr>
        <w:t>и успостављањем</w:t>
      </w:r>
      <w:r w:rsidRPr="0081082A">
        <w:rPr>
          <w:rFonts w:ascii="Times New Roman" w:hAnsi="Times New Roman"/>
          <w:i/>
          <w:sz w:val="24"/>
          <w:shd w:val="clear" w:color="auto" w:fill="FFFFFF"/>
          <w:lang w:val="sr-Cyrl-RS"/>
        </w:rPr>
        <w:t xml:space="preserve"> </w:t>
      </w:r>
      <w:r w:rsidRPr="0081082A">
        <w:rPr>
          <w:rFonts w:ascii="Times New Roman" w:eastAsia="Calibri" w:hAnsi="Times New Roman" w:cs="Times New Roman"/>
          <w:iCs/>
          <w:sz w:val="24"/>
          <w:szCs w:val="24"/>
          <w:shd w:val="clear" w:color="auto" w:fill="FFFFFF"/>
          <w:lang w:val="sr-Cyrl-RS"/>
        </w:rPr>
        <w:t>Регистра оперативних ризика Управе царина. Уједно, у процесу је израд</w:t>
      </w:r>
      <w:r w:rsidR="00F46464" w:rsidRPr="0081082A">
        <w:rPr>
          <w:rFonts w:ascii="Times New Roman" w:eastAsia="Calibri" w:hAnsi="Times New Roman" w:cs="Times New Roman"/>
          <w:iCs/>
          <w:sz w:val="24"/>
          <w:szCs w:val="24"/>
          <w:shd w:val="clear" w:color="auto" w:fill="FFFFFF"/>
          <w:lang w:val="sr-Cyrl-RS"/>
        </w:rPr>
        <w:t>а</w:t>
      </w:r>
      <w:r w:rsidRPr="0081082A">
        <w:rPr>
          <w:rFonts w:ascii="Times New Roman" w:eastAsia="Calibri" w:hAnsi="Times New Roman" w:cs="Times New Roman"/>
          <w:iCs/>
          <w:sz w:val="24"/>
          <w:szCs w:val="24"/>
          <w:shd w:val="clear" w:color="auto" w:fill="FFFFFF"/>
          <w:lang w:val="sr-Cyrl-RS"/>
        </w:rPr>
        <w:t xml:space="preserve"> Нацрта стратегије за управљање ризицима, као и Регистра стратешких ризика, а предви</w:t>
      </w:r>
      <w:r w:rsidR="00F46464" w:rsidRPr="0081082A">
        <w:rPr>
          <w:rFonts w:ascii="Times New Roman" w:eastAsia="Calibri" w:hAnsi="Times New Roman" w:cs="Times New Roman"/>
          <w:iCs/>
          <w:sz w:val="24"/>
          <w:szCs w:val="24"/>
          <w:shd w:val="clear" w:color="auto" w:fill="FFFFFF"/>
          <w:lang w:val="sr-Cyrl-RS"/>
        </w:rPr>
        <w:t>ђена</w:t>
      </w:r>
      <w:r w:rsidRPr="0081082A">
        <w:rPr>
          <w:rFonts w:ascii="Times New Roman" w:eastAsia="Calibri" w:hAnsi="Times New Roman" w:cs="Times New Roman"/>
          <w:iCs/>
          <w:sz w:val="24"/>
          <w:szCs w:val="24"/>
          <w:shd w:val="clear" w:color="auto" w:fill="FFFFFF"/>
          <w:lang w:val="sr-Cyrl-RS"/>
        </w:rPr>
        <w:t xml:space="preserve"> је </w:t>
      </w:r>
      <w:r w:rsidR="00F46464" w:rsidRPr="0081082A">
        <w:rPr>
          <w:rFonts w:ascii="Times New Roman" w:eastAsia="Calibri" w:hAnsi="Times New Roman" w:cs="Times New Roman"/>
          <w:iCs/>
          <w:sz w:val="24"/>
          <w:szCs w:val="24"/>
          <w:shd w:val="clear" w:color="auto" w:fill="FFFFFF"/>
          <w:lang w:val="sr-Cyrl-RS"/>
        </w:rPr>
        <w:t xml:space="preserve">и </w:t>
      </w:r>
      <w:r w:rsidRPr="0081082A">
        <w:rPr>
          <w:rFonts w:ascii="Times New Roman" w:eastAsia="Calibri" w:hAnsi="Times New Roman" w:cs="Times New Roman"/>
          <w:iCs/>
          <w:sz w:val="24"/>
          <w:szCs w:val="24"/>
          <w:shd w:val="clear" w:color="auto" w:fill="FFFFFF"/>
          <w:lang w:val="sr-Cyrl-RS"/>
        </w:rPr>
        <w:t>анализа ризика на корупцију правног оквира царинског система. Управа за јавни дуг спровела је</w:t>
      </w:r>
      <w:r w:rsidRPr="0081082A">
        <w:rPr>
          <w:rFonts w:ascii="Times New Roman" w:hAnsi="Times New Roman" w:cs="Times New Roman"/>
          <w:sz w:val="24"/>
          <w:szCs w:val="24"/>
          <w:lang w:val="sr-Cyrl-RS"/>
        </w:rPr>
        <w:t xml:space="preserve"> почетне кораке за увођење нове методологије за праћење ризика.</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сврху ефикасног механизма</w:t>
      </w:r>
      <w:r w:rsidR="0020683C" w:rsidRPr="0081082A">
        <w:rPr>
          <w:rFonts w:ascii="Times New Roman" w:hAnsi="Times New Roman" w:cs="Times New Roman"/>
          <w:sz w:val="24"/>
          <w:szCs w:val="24"/>
          <w:lang w:val="sr-Cyrl-RS"/>
        </w:rPr>
        <w:t xml:space="preserve"> за</w:t>
      </w:r>
      <w:r w:rsidRPr="0081082A">
        <w:rPr>
          <w:rFonts w:ascii="Times New Roman" w:hAnsi="Times New Roman" w:cs="Times New Roman"/>
          <w:sz w:val="24"/>
          <w:szCs w:val="24"/>
          <w:lang w:val="sr-Cyrl-RS"/>
        </w:rPr>
        <w:t xml:space="preserve"> управљање фискалним ризицима, Министарство финансија образовало је 2019. године Сектор за праћење фискалних ризика. У складу са Законом о буџетском систему</w:t>
      </w:r>
      <w:r w:rsidR="0020683C"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фискални ризици саставни су део Фискалне стратегије. Фискални ризици представљају изложеност јавних финансија </w:t>
      </w:r>
      <w:r w:rsidRPr="0081082A">
        <w:rPr>
          <w:rFonts w:ascii="Times New Roman" w:hAnsi="Times New Roman" w:cs="Times New Roman"/>
          <w:sz w:val="24"/>
          <w:szCs w:val="24"/>
          <w:lang w:val="sr-Cyrl-RS"/>
        </w:rPr>
        <w:lastRenderedPageBreak/>
        <w:t>одређеним околностима које могу проузроковати одступања од пројектованог фискалног оквира, а чему је Република Србија у претходним периодима била изложена. Сектор за праћење фискалних ризика је дефинисао обухват праћења фискалних ризика у односу на 1) пословање јавних предузећа и друштава које обављају делатност од општег интереса, као и пословање банака у већинском државном власништву, односно ниво предвиђених и реализованих гаранција и субвенција јавним предузећима, 2) остале пословне ризике који обухватају анализу ризик</w:t>
      </w:r>
      <w:r w:rsidR="0020683C"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 xml:space="preserve"> од последица елементарних непогода и њиховим финансијским ефектима у односу на републички буџет и буџете ЈЛС, буџете ЈЛС, судске спорове, јавно-приватна партнерства, итд. Развијени су модели за анализу и праћење фискалних ризика јавних предузећа. У сарадњи са представницима међународних институција, у току је израда методологије и правног оквира за Групу за пра</w:t>
      </w:r>
      <w:r w:rsidR="0020683C" w:rsidRPr="0081082A">
        <w:rPr>
          <w:rFonts w:ascii="Times New Roman" w:hAnsi="Times New Roman" w:cs="Times New Roman"/>
          <w:sz w:val="24"/>
          <w:szCs w:val="24"/>
          <w:lang w:val="sr-Cyrl-RS"/>
        </w:rPr>
        <w:t>ћ</w:t>
      </w:r>
      <w:r w:rsidRPr="0081082A">
        <w:rPr>
          <w:rFonts w:ascii="Times New Roman" w:hAnsi="Times New Roman" w:cs="Times New Roman"/>
          <w:sz w:val="24"/>
          <w:szCs w:val="24"/>
          <w:lang w:val="sr-Cyrl-RS"/>
        </w:rPr>
        <w:t>ење фискалних ризика у односу на пословање јавних предузећа и друштава кој</w:t>
      </w:r>
      <w:r w:rsidR="0020683C" w:rsidRPr="0081082A">
        <w:rPr>
          <w:rFonts w:ascii="Times New Roman" w:hAnsi="Times New Roman" w:cs="Times New Roman"/>
          <w:sz w:val="24"/>
          <w:szCs w:val="24"/>
          <w:lang w:val="sr-Cyrl-RS"/>
        </w:rPr>
        <w:t>а</w:t>
      </w:r>
      <w:r w:rsidRPr="0081082A">
        <w:rPr>
          <w:rFonts w:ascii="Times New Roman" w:hAnsi="Times New Roman" w:cs="Times New Roman"/>
          <w:sz w:val="24"/>
          <w:szCs w:val="24"/>
          <w:lang w:val="sr-Cyrl-RS"/>
        </w:rPr>
        <w:t xml:space="preserve"> обављају делатност од општег интереса, односно Групе за праћење осталих пословних ризика, које ће ближе дефинисати процесе квантификације и ублажавања ризика из делокруга поменутих Група у надлежности Сектора за праћење фискалних ризика. </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Спречавање превара, односно сузбијање превара</w:t>
      </w:r>
      <w:r w:rsidR="00F04604" w:rsidRPr="0081082A">
        <w:rPr>
          <w:rFonts w:ascii="Times New Roman" w:hAnsi="Times New Roman"/>
          <w:sz w:val="24"/>
          <w:szCs w:val="24"/>
          <w:lang w:val="sr-Cyrl-RS"/>
        </w:rPr>
        <w:t>,</w:t>
      </w:r>
      <w:r w:rsidRPr="0081082A">
        <w:rPr>
          <w:rFonts w:ascii="Times New Roman" w:hAnsi="Times New Roman"/>
          <w:sz w:val="24"/>
          <w:szCs w:val="24"/>
          <w:lang w:val="sr-Cyrl-RS"/>
        </w:rPr>
        <w:t xml:space="preserve"> представља саставни део процеса управљања ризицима</w:t>
      </w:r>
      <w:r w:rsidR="00F04604" w:rsidRPr="0081082A">
        <w:rPr>
          <w:rFonts w:ascii="Times New Roman" w:hAnsi="Times New Roman"/>
          <w:sz w:val="24"/>
          <w:szCs w:val="24"/>
          <w:lang w:val="sr-Cyrl-RS"/>
        </w:rPr>
        <w:t>,</w:t>
      </w:r>
      <w:r w:rsidRPr="0081082A">
        <w:rPr>
          <w:rFonts w:ascii="Times New Roman" w:hAnsi="Times New Roman"/>
          <w:sz w:val="24"/>
          <w:szCs w:val="24"/>
          <w:lang w:val="sr-Cyrl-RS"/>
        </w:rPr>
        <w:t xml:space="preserve"> </w:t>
      </w:r>
      <w:r w:rsidR="00F04604" w:rsidRPr="0081082A">
        <w:rPr>
          <w:rFonts w:ascii="Times New Roman" w:hAnsi="Times New Roman"/>
          <w:sz w:val="24"/>
          <w:szCs w:val="24"/>
          <w:lang w:val="sr-Cyrl-RS"/>
        </w:rPr>
        <w:t>н</w:t>
      </w:r>
      <w:r w:rsidRPr="0081082A">
        <w:rPr>
          <w:rFonts w:ascii="Times New Roman" w:hAnsi="Times New Roman"/>
          <w:sz w:val="24"/>
          <w:szCs w:val="24"/>
          <w:lang w:val="sr-Cyrl-RS"/>
        </w:rPr>
        <w:t xml:space="preserve">а основу релевантних смерница и сугестија Европске канцеларије за борбу против превара (енг. </w:t>
      </w:r>
      <w:r w:rsidRPr="0081082A">
        <w:rPr>
          <w:rFonts w:ascii="Times New Roman" w:hAnsi="Times New Roman"/>
          <w:i/>
          <w:iCs/>
          <w:sz w:val="24"/>
          <w:szCs w:val="24"/>
          <w:lang w:val="sr-Cyrl-RS"/>
        </w:rPr>
        <w:t>European Anti-Fraud Office - OLAF</w:t>
      </w:r>
      <w:r w:rsidRPr="0081082A">
        <w:rPr>
          <w:rFonts w:ascii="Times New Roman" w:hAnsi="Times New Roman"/>
          <w:sz w:val="24"/>
          <w:szCs w:val="24"/>
          <w:lang w:val="sr-Cyrl-RS"/>
        </w:rPr>
        <w:t>), а које су првенствено усмерене ка процени ризика од превара код управљања фондовима ЕУ.</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Мере које су везане за процену ризика од превара у погледу управљања фондовима ЕУ, у циљу максималне заштите финансијских интереса ЕУ</w:t>
      </w:r>
      <w:r w:rsidR="0078208A" w:rsidRPr="0081082A">
        <w:rPr>
          <w:rFonts w:ascii="Times New Roman" w:hAnsi="Times New Roman"/>
          <w:sz w:val="24"/>
          <w:szCs w:val="24"/>
          <w:lang w:val="sr-Cyrl-RS"/>
        </w:rPr>
        <w:t>,</w:t>
      </w:r>
      <w:r w:rsidRPr="0081082A">
        <w:rPr>
          <w:rFonts w:ascii="Times New Roman" w:hAnsi="Times New Roman"/>
          <w:sz w:val="24"/>
          <w:szCs w:val="24"/>
          <w:lang w:val="sr-Cyrl-RS"/>
        </w:rPr>
        <w:t xml:space="preserve"> извршаване су у складу са  </w:t>
      </w:r>
      <w:r w:rsidR="00F641AE" w:rsidRPr="0081082A">
        <w:rPr>
          <w:rFonts w:ascii="Times New Roman" w:hAnsi="Times New Roman"/>
          <w:sz w:val="24"/>
          <w:szCs w:val="24"/>
          <w:lang w:val="sr-Cyrl-RS"/>
        </w:rPr>
        <w:t xml:space="preserve">АФКОС </w:t>
      </w:r>
      <w:r w:rsidRPr="0081082A">
        <w:rPr>
          <w:rFonts w:ascii="Times New Roman" w:hAnsi="Times New Roman"/>
          <w:sz w:val="24"/>
          <w:szCs w:val="24"/>
          <w:lang w:val="sr-Cyrl-RS"/>
        </w:rPr>
        <w:t>Стратегијом</w:t>
      </w:r>
      <w:r w:rsidRPr="0081082A">
        <w:rPr>
          <w:rStyle w:val="FootnoteReference"/>
          <w:rFonts w:ascii="Times New Roman" w:hAnsi="Times New Roman"/>
          <w:sz w:val="24"/>
          <w:szCs w:val="24"/>
          <w:lang w:val="sr-Cyrl-RS"/>
        </w:rPr>
        <w:footnoteReference w:id="134"/>
      </w:r>
      <w:r w:rsidRPr="0081082A">
        <w:rPr>
          <w:rFonts w:ascii="Times New Roman" w:hAnsi="Times New Roman"/>
          <w:sz w:val="24"/>
          <w:szCs w:val="24"/>
          <w:lang w:val="sr-Cyrl-RS"/>
        </w:rPr>
        <w:t>. У складу са Законом о буџетском систему, годишњи извештај о активностима спроведеним на сузбијању неправилности и превара</w:t>
      </w:r>
      <w:r w:rsidRPr="0081082A">
        <w:rPr>
          <w:rStyle w:val="FootnoteReference"/>
          <w:rFonts w:ascii="Times New Roman" w:hAnsi="Times New Roman"/>
          <w:sz w:val="24"/>
          <w:szCs w:val="24"/>
          <w:lang w:val="sr-Cyrl-RS"/>
        </w:rPr>
        <w:footnoteReference w:id="135"/>
      </w:r>
      <w:r w:rsidRPr="0081082A">
        <w:rPr>
          <w:rFonts w:ascii="Times New Roman" w:hAnsi="Times New Roman"/>
          <w:sz w:val="24"/>
          <w:szCs w:val="24"/>
          <w:lang w:val="sr-Cyrl-RS"/>
        </w:rPr>
        <w:t xml:space="preserve"> усвајала је Влада и достављала Народној скупштини.</w:t>
      </w:r>
    </w:p>
    <w:p w:rsidR="001B6DE8" w:rsidRPr="0081082A" w:rsidRDefault="001B6DE8" w:rsidP="001B6DE8">
      <w:pPr>
        <w:pStyle w:val="Heading3"/>
        <w:spacing w:before="100" w:line="240" w:lineRule="auto"/>
        <w:rPr>
          <w:rFonts w:eastAsia="Times New Roman"/>
          <w:lang w:val="sr-Cyrl-RS"/>
        </w:rPr>
      </w:pPr>
      <w:bookmarkStart w:id="30" w:name="_Toc69727773"/>
      <w:r w:rsidRPr="0081082A">
        <w:rPr>
          <w:rFonts w:eastAsia="Times New Roman"/>
          <w:lang w:val="sr-Cyrl-RS"/>
        </w:rPr>
        <w:t>Активности контроле</w:t>
      </w:r>
      <w:bookmarkEnd w:id="30"/>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Контролне активности су мере, политике и процедуре успостављене кроз политике које обезбеђују спровођење директива, упутст</w:t>
      </w:r>
      <w:r w:rsidR="005B1158" w:rsidRPr="0081082A">
        <w:rPr>
          <w:rFonts w:ascii="Times New Roman" w:hAnsi="Times New Roman"/>
          <w:sz w:val="24"/>
          <w:szCs w:val="24"/>
          <w:lang w:val="sr-Cyrl-RS"/>
        </w:rPr>
        <w:t>а</w:t>
      </w:r>
      <w:r w:rsidRPr="0081082A">
        <w:rPr>
          <w:rFonts w:ascii="Times New Roman" w:hAnsi="Times New Roman"/>
          <w:sz w:val="24"/>
          <w:szCs w:val="24"/>
          <w:lang w:val="sr-Cyrl-RS"/>
        </w:rPr>
        <w:t xml:space="preserve">ва или инструкција руководства и предузимају се ради смањења ризика који угрожавају остваривање циљева. </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Елементи који усмеравају извршење буџета Републике Србије, регулисани су Законом о буџетском систему и Правилником о систему извршења буџета Републике Србије. Закон о буџетском систему регулише јасан оквир одговорности и предвиђа раздвајање дужности у комбинацији са поделом надлежности. Извршење буџета врши се путем информационог система за извршење буџета (ИСИБ). Остали информациони системи који садрже податке релевантне за извршење буџета укључују РИНО (регистар измирења новчаних обавеза) и ЦРФ (централни регистар фактура). Правилником о систему извршења буџета уређене су фазе процеса извршења буџета, као и одговорности релевантних актера у спровођењу контрола. Путем система за праћење обавеза додатно је уведена контролна активност за обезбеђење средст</w:t>
      </w:r>
      <w:r w:rsidR="005B1158" w:rsidRPr="0081082A">
        <w:rPr>
          <w:rFonts w:ascii="Times New Roman" w:hAnsi="Times New Roman"/>
          <w:sz w:val="24"/>
          <w:szCs w:val="24"/>
          <w:lang w:val="sr-Cyrl-RS"/>
        </w:rPr>
        <w:t>а</w:t>
      </w:r>
      <w:r w:rsidRPr="0081082A">
        <w:rPr>
          <w:rFonts w:ascii="Times New Roman" w:hAnsi="Times New Roman"/>
          <w:sz w:val="24"/>
          <w:szCs w:val="24"/>
          <w:lang w:val="sr-Cyrl-RS"/>
        </w:rPr>
        <w:t xml:space="preserve">ва за измирење обавеза или да обавезе могу да угрозе финансијску стабилност. На основу Закона о роковима измирења новчаних обавеза у комерцијалним трансакцијама успостављен је информациони систем ЦРФ у циљу евидентирања, праћења и </w:t>
      </w:r>
      <w:r w:rsidRPr="0081082A">
        <w:rPr>
          <w:rFonts w:ascii="Times New Roman" w:hAnsi="Times New Roman"/>
          <w:sz w:val="24"/>
          <w:szCs w:val="24"/>
          <w:lang w:val="sr-Cyrl-RS"/>
        </w:rPr>
        <w:lastRenderedPageBreak/>
        <w:t>извештавања о неизмиреним обавезама, док је информациони систем РИНО уведен у циљу праћења рокова за измирење новчаних обавеза. Највећи изазов у овој области је успостављање адекватних структура ИТ кроз јачање капацитета Управе за трезор и буџетских корисника. Повезивањем ова два система са ИСИБ омогућиће се и евидентирање преузетих, неизмирених обавеза, а што омогућава да финансијски извештаји садрже и податке о њима.</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Додатно у циљу финансијске контроле извршења буџета ЈЛС усвојен је Правилник о систему извршења буџета јединица локалне самоуправе. Уједно, изменама Правилника о начину и поступку обављања платног промета у оквиру консолидованог рачуна трезора омогућено је надгледање трошкова према програмској структури буџета</w:t>
      </w:r>
      <w:r w:rsidRPr="0081082A" w:rsidDel="00BD035B">
        <w:rPr>
          <w:rFonts w:ascii="Times New Roman" w:hAnsi="Times New Roman"/>
          <w:sz w:val="24"/>
          <w:szCs w:val="24"/>
          <w:lang w:val="sr-Cyrl-RS"/>
        </w:rPr>
        <w:t xml:space="preserve"> </w:t>
      </w:r>
      <w:r w:rsidRPr="0081082A">
        <w:rPr>
          <w:rFonts w:ascii="Times New Roman" w:hAnsi="Times New Roman"/>
          <w:sz w:val="24"/>
          <w:szCs w:val="24"/>
          <w:lang w:val="sr-Cyrl-RS"/>
        </w:rPr>
        <w:t>локалне власти.</w:t>
      </w:r>
    </w:p>
    <w:p w:rsidR="001B6DE8" w:rsidRPr="0081082A" w:rsidRDefault="001B6DE8" w:rsidP="001B6DE8">
      <w:pPr>
        <w:spacing w:after="0" w:line="240" w:lineRule="auto"/>
        <w:ind w:firstLine="720"/>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На сличан начин контролне активности директно из области јавних набавки проистичу из Закона о јавним набавкама и одговарајућим подзаконским актима. </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У претходном периоду усвојен</w:t>
      </w:r>
      <w:r w:rsidR="005B1158" w:rsidRPr="0081082A">
        <w:rPr>
          <w:rFonts w:ascii="Times New Roman" w:hAnsi="Times New Roman"/>
          <w:sz w:val="24"/>
          <w:szCs w:val="24"/>
          <w:lang w:val="sr-Cyrl-RS"/>
        </w:rPr>
        <w:t>и</w:t>
      </w:r>
      <w:r w:rsidRPr="0081082A">
        <w:rPr>
          <w:rFonts w:ascii="Times New Roman" w:hAnsi="Times New Roman"/>
          <w:sz w:val="24"/>
          <w:szCs w:val="24"/>
          <w:lang w:val="sr-Cyrl-RS"/>
        </w:rPr>
        <w:t xml:space="preserve"> </w:t>
      </w:r>
      <w:r w:rsidR="005B1158" w:rsidRPr="0081082A">
        <w:rPr>
          <w:rFonts w:ascii="Times New Roman" w:hAnsi="Times New Roman"/>
          <w:sz w:val="24"/>
          <w:szCs w:val="24"/>
          <w:lang w:val="sr-Cyrl-RS"/>
        </w:rPr>
        <w:t xml:space="preserve">су </w:t>
      </w:r>
      <w:r w:rsidRPr="0081082A">
        <w:rPr>
          <w:rFonts w:ascii="Times New Roman" w:hAnsi="Times New Roman"/>
          <w:sz w:val="24"/>
          <w:szCs w:val="24"/>
          <w:lang w:val="sr-Cyrl-RS"/>
        </w:rPr>
        <w:t>Закон о електронској управи</w:t>
      </w:r>
      <w:r w:rsidRPr="0081082A">
        <w:rPr>
          <w:rStyle w:val="FootnoteReference"/>
          <w:rFonts w:ascii="Times New Roman" w:hAnsi="Times New Roman"/>
          <w:sz w:val="24"/>
          <w:szCs w:val="24"/>
          <w:lang w:val="sr-Cyrl-RS"/>
        </w:rPr>
        <w:footnoteReference w:id="136"/>
      </w:r>
      <w:r w:rsidRPr="0081082A">
        <w:rPr>
          <w:rFonts w:ascii="Times New Roman" w:hAnsi="Times New Roman"/>
          <w:sz w:val="24"/>
          <w:szCs w:val="24"/>
          <w:lang w:val="sr-Cyrl-RS"/>
        </w:rPr>
        <w:t xml:space="preserve"> и Закон о информационој безбедности</w:t>
      </w:r>
      <w:r w:rsidRPr="0081082A">
        <w:rPr>
          <w:rStyle w:val="FootnoteReference"/>
          <w:rFonts w:ascii="Times New Roman" w:hAnsi="Times New Roman"/>
          <w:sz w:val="24"/>
          <w:szCs w:val="24"/>
          <w:lang w:val="sr-Cyrl-RS"/>
        </w:rPr>
        <w:footnoteReference w:id="137"/>
      </w:r>
      <w:r w:rsidRPr="0081082A">
        <w:rPr>
          <w:rFonts w:ascii="Times New Roman" w:hAnsi="Times New Roman"/>
          <w:sz w:val="24"/>
          <w:szCs w:val="24"/>
          <w:lang w:val="sr-Cyrl-RS"/>
        </w:rPr>
        <w:t>. О дигитализацији и развој</w:t>
      </w:r>
      <w:r w:rsidR="005B1158" w:rsidRPr="0081082A">
        <w:rPr>
          <w:rFonts w:ascii="Times New Roman" w:hAnsi="Times New Roman"/>
          <w:sz w:val="24"/>
          <w:szCs w:val="24"/>
          <w:lang w:val="sr-Cyrl-RS"/>
        </w:rPr>
        <w:t>у</w:t>
      </w:r>
      <w:r w:rsidRPr="0081082A">
        <w:rPr>
          <w:rFonts w:ascii="Times New Roman" w:hAnsi="Times New Roman"/>
          <w:sz w:val="24"/>
          <w:szCs w:val="24"/>
          <w:lang w:val="sr-Cyrl-RS"/>
        </w:rPr>
        <w:t xml:space="preserve"> електронске управе</w:t>
      </w:r>
      <w:r w:rsidR="005B1158" w:rsidRPr="0081082A">
        <w:rPr>
          <w:rFonts w:ascii="Times New Roman" w:hAnsi="Times New Roman"/>
          <w:sz w:val="24"/>
          <w:szCs w:val="24"/>
          <w:lang w:val="sr-Cyrl-RS"/>
        </w:rPr>
        <w:t>,</w:t>
      </w:r>
      <w:r w:rsidRPr="0081082A">
        <w:rPr>
          <w:rFonts w:ascii="Times New Roman" w:hAnsi="Times New Roman"/>
          <w:sz w:val="24"/>
          <w:szCs w:val="24"/>
          <w:lang w:val="sr-Cyrl-RS"/>
        </w:rPr>
        <w:t xml:space="preserve"> где су остварени значајни резултати померањем фокуса од управе као регулатора ка управи као сервису оријентисаном ка грађанима, детаљнији приказ дат је у Стратегији реформе јавне управе.</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 xml:space="preserve">Финансијска контрола представља саставни део укупних активности контроле и као таква од суштинске </w:t>
      </w:r>
      <w:r w:rsidR="005B1158" w:rsidRPr="0081082A">
        <w:rPr>
          <w:rFonts w:ascii="Times New Roman" w:hAnsi="Times New Roman"/>
          <w:sz w:val="24"/>
          <w:szCs w:val="24"/>
          <w:lang w:val="sr-Cyrl-RS"/>
        </w:rPr>
        <w:t xml:space="preserve">је </w:t>
      </w:r>
      <w:r w:rsidRPr="0081082A">
        <w:rPr>
          <w:rFonts w:ascii="Times New Roman" w:hAnsi="Times New Roman"/>
          <w:sz w:val="24"/>
          <w:szCs w:val="24"/>
          <w:lang w:val="sr-Cyrl-RS"/>
        </w:rPr>
        <w:t>важности за обезбеђење ефикасних и ефективних процеса рада.</w:t>
      </w:r>
      <w:r w:rsidRPr="0081082A">
        <w:rPr>
          <w:rFonts w:ascii="Times New Roman" w:hAnsi="Times New Roman"/>
          <w:color w:val="FF0000"/>
          <w:sz w:val="24"/>
          <w:szCs w:val="24"/>
          <w:lang w:val="sr-Cyrl-RS"/>
        </w:rPr>
        <w:t xml:space="preserve"> </w:t>
      </w:r>
      <w:r w:rsidRPr="0081082A">
        <w:rPr>
          <w:rFonts w:ascii="Times New Roman" w:hAnsi="Times New Roman"/>
          <w:sz w:val="24"/>
          <w:szCs w:val="24"/>
          <w:lang w:val="sr-Cyrl-RS"/>
        </w:rPr>
        <w:t>Потребно је уложити додатне напоре у дефинисање конкретних активности контроле за ублажавање ризика и њихово укључивање у редовне процесе рада.</w:t>
      </w:r>
    </w:p>
    <w:p w:rsidR="001B6DE8" w:rsidRPr="0081082A" w:rsidRDefault="001B6DE8" w:rsidP="001B6DE8">
      <w:pPr>
        <w:spacing w:after="0" w:line="240" w:lineRule="auto"/>
        <w:jc w:val="both"/>
        <w:rPr>
          <w:rFonts w:ascii="Times New Roman" w:eastAsia="Times New Roman" w:hAnsi="Times New Roman"/>
          <w:bCs/>
          <w:sz w:val="24"/>
          <w:szCs w:val="24"/>
          <w:lang w:val="sr-Cyrl-RS"/>
        </w:rPr>
      </w:pPr>
      <w:r w:rsidRPr="0081082A">
        <w:rPr>
          <w:rFonts w:ascii="Times New Roman" w:eastAsia="Times New Roman" w:hAnsi="Times New Roman"/>
          <w:bCs/>
          <w:sz w:val="24"/>
          <w:szCs w:val="24"/>
          <w:lang w:val="sr-Cyrl-RS"/>
        </w:rPr>
        <w:tab/>
        <w:t>Активности контроле су у порасту, али и поред тога мора се вршити преусмеравање корисника јавних средстава са ризика по усклађеност ка оперативним ризицима, на основу смерница ЦХЈ.</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Циљ јавне управе је прелазак на е-владу и е-управу, те је у програму реформе државне управе уведена и посебна група активности која се реализује у циљу развоја и унапређења електронске управе у целом јавном сектору и истовремено садржи нове и напредније технике контроле које ће се увести широм јавног сектора у складу са циљевима Стратегије развоја електронске управе.</w:t>
      </w:r>
      <w:r w:rsidRPr="0081082A">
        <w:rPr>
          <w:rFonts w:ascii="Times New Roman" w:hAnsi="Times New Roman"/>
          <w:sz w:val="24"/>
          <w:szCs w:val="24"/>
          <w:vertAlign w:val="superscript"/>
          <w:lang w:val="sr-Cyrl-RS"/>
        </w:rPr>
        <w:footnoteReference w:id="138"/>
      </w:r>
    </w:p>
    <w:p w:rsidR="001B6DE8" w:rsidRPr="0081082A" w:rsidRDefault="001B6DE8" w:rsidP="001B6DE8">
      <w:pPr>
        <w:pStyle w:val="Heading3"/>
        <w:spacing w:before="100" w:line="240" w:lineRule="auto"/>
        <w:rPr>
          <w:rFonts w:eastAsia="Times New Roman"/>
          <w:lang w:val="sr-Cyrl-RS"/>
        </w:rPr>
      </w:pPr>
      <w:bookmarkStart w:id="31" w:name="_Toc69727774"/>
      <w:r w:rsidRPr="0081082A">
        <w:rPr>
          <w:rFonts w:eastAsia="Times New Roman"/>
          <w:lang w:val="sr-Cyrl-RS"/>
        </w:rPr>
        <w:t>Информисање и комуникација</w:t>
      </w:r>
      <w:bookmarkEnd w:id="31"/>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 xml:space="preserve">Корисници јавних средстава сачињавају извештаје за интерну и екстерну употребу који су саставни део система интерне контроле. Извештаји о стању управљања људским ресурсима, извештаји о постигнутим циљевима, итд, редовно се припремају у различитим временским оквирима, зарад потребе руководеће структуре. Ти извештаји садрже информације о управљању системима интерне контроле али у већини случајева нису издвојене у посебним извештајима о интерним контролама. </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 xml:space="preserve">У складу са својим потребама, руководиоци корисника јавних средстава организују и уређују интерно извештавање на нивоу институција. Приручник ФУК даје </w:t>
      </w:r>
      <w:r w:rsidRPr="0081082A">
        <w:rPr>
          <w:rFonts w:ascii="Times New Roman" w:hAnsi="Times New Roman"/>
          <w:sz w:val="24"/>
          <w:szCs w:val="24"/>
          <w:lang w:val="sr-Cyrl-RS"/>
        </w:rPr>
        <w:lastRenderedPageBreak/>
        <w:t>смернице корисницима јавних средстава да формирају Радну групу за финансијско управљање и контролу</w:t>
      </w:r>
      <w:r w:rsidRPr="0081082A">
        <w:rPr>
          <w:rFonts w:ascii="Times New Roman" w:hAnsi="Times New Roman"/>
          <w:lang w:val="sr-Cyrl-RS"/>
        </w:rPr>
        <w:t xml:space="preserve"> </w:t>
      </w:r>
      <w:r w:rsidRPr="0081082A">
        <w:rPr>
          <w:rFonts w:ascii="Times New Roman" w:hAnsi="Times New Roman"/>
          <w:sz w:val="24"/>
          <w:szCs w:val="24"/>
          <w:lang w:val="sr-Cyrl-RS"/>
        </w:rPr>
        <w:t>у оквиру управљања редовним активностима интерне контроле.</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Најчешћи метод координације размене информација у оквиру корисника јавних средстава јесу редовни састанци организовани између вишег руководства и средњег руководства институција (такозвани колегијуми). Руководиоци корисника јавних средстава их у већини случајева редовно организују да би се пратило спровођење плана рада институције и да би се решавали тренутни проблеми, као и за планирање рада институције у периоду између два састанка. Током ових састанака разговара се и о питањима интерне контроле, али не нужно на један доследан и систематичан начин, и углавном се односе на питања која су везана за запослене, праћење расхода, и слична питања. Генерално, обим питања интерне контроле о којима се дискутује на овим састанцима је директно сразмеран нивоу развоја и стања свести који се односи на користи и значај финансијског управљања и контроле унутар институције.</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 xml:space="preserve">ЦЈХ ће и даље пружати подршку руководиоцима корисника јавних средстава да би боље разумели све користи од потпуно функционалног система финансијског управљања и контроле, који је као такав успостављен да би помогао управљању институцијом. У том смислу, ЦЈХ ће и поред едукације руководилаца корисника јавних средстава о формалним и законским захтевима који се односне на финансијско управљање и контролу и интерну ревизију, појашњавати на који начин се алати за финансијско управљање и контролу могу користити за прикупљање, обраду и саопштавање информација о управљању системом интерне контроле, а све у циљу унапређења пословања и општег функционисања и ефективности институција којима управљају. </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Повећање степена транспарентности и видљивости рада корисника јавних средстава биће решено мерама које су садржане у Акционом плану за спровођење реформе јавне управе.</w:t>
      </w:r>
    </w:p>
    <w:p w:rsidR="001B6DE8" w:rsidRPr="0081082A" w:rsidRDefault="001B6DE8" w:rsidP="001B6DE8">
      <w:pPr>
        <w:spacing w:after="0" w:line="240" w:lineRule="auto"/>
        <w:jc w:val="both"/>
        <w:rPr>
          <w:rFonts w:ascii="Times New Roman" w:hAnsi="Times New Roman" w:cs="Times New Roman"/>
          <w:sz w:val="24"/>
          <w:szCs w:val="24"/>
          <w:lang w:val="sr-Cyrl-RS"/>
        </w:rPr>
      </w:pPr>
      <w:r w:rsidRPr="0081082A">
        <w:rPr>
          <w:rFonts w:ascii="Times New Roman" w:hAnsi="Times New Roman"/>
          <w:sz w:val="24"/>
          <w:szCs w:val="24"/>
          <w:lang w:val="sr-Cyrl-RS"/>
        </w:rPr>
        <w:tab/>
        <w:t>Као што је у посебном циљу 1 овог ПРУЈФ наведено, напредак у процесу буџетирања постигнут је захваљујући, између осталог</w:t>
      </w:r>
      <w:r w:rsidR="008841F0" w:rsidRPr="0081082A">
        <w:rPr>
          <w:rFonts w:ascii="Times New Roman" w:hAnsi="Times New Roman"/>
          <w:sz w:val="24"/>
          <w:szCs w:val="24"/>
          <w:lang w:val="sr-Cyrl-RS"/>
        </w:rPr>
        <w:t>,</w:t>
      </w:r>
      <w:r w:rsidRPr="0081082A">
        <w:rPr>
          <w:rFonts w:ascii="Times New Roman" w:hAnsi="Times New Roman"/>
          <w:sz w:val="24"/>
          <w:szCs w:val="24"/>
          <w:lang w:val="sr-Cyrl-RS"/>
        </w:rPr>
        <w:t xml:space="preserve"> </w:t>
      </w:r>
      <w:r w:rsidRPr="0081082A">
        <w:rPr>
          <w:rFonts w:ascii="Times New Roman" w:hAnsi="Times New Roman" w:cs="Times New Roman"/>
          <w:sz w:val="24"/>
          <w:szCs w:val="24"/>
          <w:lang w:val="sr-Cyrl-RS"/>
        </w:rPr>
        <w:t>изградњом информационих система - БИС са модулима за праћење и извештавање о учинку програма. Истовремено, Законом о планском систему</w:t>
      </w:r>
      <w:r w:rsidR="002A61BC" w:rsidRPr="0081082A">
        <w:rPr>
          <w:rFonts w:ascii="Times New Roman" w:hAnsi="Times New Roman" w:cs="Times New Roman"/>
          <w:sz w:val="24"/>
          <w:szCs w:val="24"/>
          <w:lang w:val="sr-Cyrl-RS"/>
        </w:rPr>
        <w:t xml:space="preserve"> Републике Србије</w:t>
      </w:r>
      <w:r w:rsidRPr="0081082A">
        <w:rPr>
          <w:rFonts w:ascii="Times New Roman" w:hAnsi="Times New Roman" w:cs="Times New Roman"/>
          <w:sz w:val="24"/>
          <w:szCs w:val="24"/>
          <w:lang w:val="sr-Cyrl-RS"/>
        </w:rPr>
        <w:t>, уведен је Јединствен информациони систем за планирање, праћење, спровођење и координацију јавних политика. Тренутно се повезивање докумената јавних политика са буџетом остварује путем дељења датотека између информационих система БИС и ЈИС, у који се уносе акциони и средњорочни планови. И један и други систем садрже информације о показатељима, циљевима и индикаторима за праћење остварења циљева.</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складу са Законом о буџетском систему</w:t>
      </w:r>
      <w:r w:rsidR="008841F0"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извештај о учинку програма доставља се за период од шест месеци, приликом предлагања финансијског плана и за период од годину дана, приликом предлагања приоритетних области финансирања. Извештаји о учинку програма за буџет </w:t>
      </w:r>
      <w:r w:rsidR="00F641AE" w:rsidRPr="0081082A">
        <w:rPr>
          <w:rFonts w:ascii="Times New Roman" w:hAnsi="Times New Roman" w:cs="Times New Roman"/>
          <w:sz w:val="24"/>
          <w:szCs w:val="24"/>
          <w:lang w:val="sr-Cyrl-RS"/>
        </w:rPr>
        <w:t>Републике Србије</w:t>
      </w:r>
      <w:r w:rsidRPr="0081082A">
        <w:rPr>
          <w:rFonts w:ascii="Times New Roman" w:hAnsi="Times New Roman" w:cs="Times New Roman"/>
          <w:sz w:val="24"/>
          <w:szCs w:val="24"/>
          <w:lang w:val="sr-Cyrl-RS"/>
        </w:rPr>
        <w:t xml:space="preserve"> нису јавно доступни. Са друге стране, извештавање о резултатима спровођења докумената јавних политика прописано је Законом о планском систему</w:t>
      </w:r>
      <w:r w:rsidR="002A61BC" w:rsidRPr="0081082A">
        <w:rPr>
          <w:rFonts w:ascii="Times New Roman" w:hAnsi="Times New Roman" w:cs="Times New Roman"/>
          <w:sz w:val="24"/>
          <w:szCs w:val="24"/>
          <w:lang w:val="sr-Cyrl-RS"/>
        </w:rPr>
        <w:t xml:space="preserve"> Републике Србије</w:t>
      </w:r>
      <w:r w:rsidRPr="0081082A">
        <w:rPr>
          <w:rFonts w:ascii="Times New Roman" w:hAnsi="Times New Roman" w:cs="Times New Roman"/>
          <w:sz w:val="24"/>
          <w:szCs w:val="24"/>
          <w:lang w:val="sr-Cyrl-RS"/>
        </w:rPr>
        <w:t>. Извештавање о спровођењу акционог плана врши се најкасније у року од 120 дана по истеку сваке календарске године</w:t>
      </w:r>
      <w:r w:rsidR="008841F0"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од дана усвајања. Сви извештаји се објављују преко ЈИС.</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Захваљујући наведеним информационим системима, поред финансијских података</w:t>
      </w:r>
      <w:r w:rsidR="008841F0"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јавности ће бити доступни и подаци о учинку.</w:t>
      </w:r>
    </w:p>
    <w:p w:rsidR="001B6DE8" w:rsidRPr="0081082A" w:rsidRDefault="001B6DE8" w:rsidP="001B6DE8">
      <w:pPr>
        <w:pStyle w:val="Heading3"/>
        <w:spacing w:before="100" w:line="240" w:lineRule="auto"/>
        <w:rPr>
          <w:rFonts w:eastAsia="Times New Roman"/>
          <w:lang w:val="sr-Cyrl-RS"/>
        </w:rPr>
      </w:pPr>
      <w:bookmarkStart w:id="32" w:name="_Toc69727775"/>
      <w:r w:rsidRPr="0081082A">
        <w:rPr>
          <w:rFonts w:eastAsia="Times New Roman"/>
          <w:lang w:val="sr-Cyrl-RS"/>
        </w:rPr>
        <w:t>Активности праћења</w:t>
      </w:r>
      <w:bookmarkEnd w:id="32"/>
      <w:r w:rsidRPr="0081082A">
        <w:rPr>
          <w:rFonts w:eastAsia="Times New Roman"/>
          <w:lang w:val="sr-Cyrl-RS"/>
        </w:rPr>
        <w:t xml:space="preserve"> </w:t>
      </w:r>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lastRenderedPageBreak/>
        <w:tab/>
        <w:t>Повезаност стратешког планирања са средствима буџета омогућена је путем праћења спровођења докумената јавних политика, првенств</w:t>
      </w:r>
      <w:r w:rsidR="00A673E2" w:rsidRPr="0081082A">
        <w:rPr>
          <w:rFonts w:ascii="Times New Roman" w:hAnsi="Times New Roman"/>
          <w:szCs w:val="24"/>
          <w:lang w:val="sr-Cyrl-RS"/>
        </w:rPr>
        <w:t>е</w:t>
      </w:r>
      <w:r w:rsidRPr="0081082A">
        <w:rPr>
          <w:rFonts w:ascii="Times New Roman" w:hAnsi="Times New Roman"/>
          <w:szCs w:val="24"/>
          <w:lang w:val="sr-Cyrl-RS"/>
        </w:rPr>
        <w:t>но акционих, односно средњорочних планова и праћења извештаја о учинку програма. Праћење спровођења програма усмерено је на редовно прикупљање података о оствареним вредностима показатеља за мерење учинака у циљу унапређења ефективности и ефикасности јавне потрошње, као и квалитета јавних услуга. Истовремено, Извештај о резултатима спровођења документа јавне политике садржи информације о учинцима јавне политике и информације о томе да ли су активности из акционог плана реализоване на начин и у року предвиђеним документом јавне политике и ако нису шта је разлог за то. Информације о учинцима садрже показатеље на нивоу општег циља, посебног циља, на нивоу мере и активности уколико садржи показатељ. С обзиром да се средњорочни планови израђују на основу докумен</w:t>
      </w:r>
      <w:r w:rsidR="00A673E2" w:rsidRPr="0081082A">
        <w:rPr>
          <w:rFonts w:ascii="Times New Roman" w:hAnsi="Times New Roman"/>
          <w:szCs w:val="24"/>
          <w:lang w:val="sr-Cyrl-RS"/>
        </w:rPr>
        <w:t>а</w:t>
      </w:r>
      <w:r w:rsidRPr="0081082A">
        <w:rPr>
          <w:rFonts w:ascii="Times New Roman" w:hAnsi="Times New Roman"/>
          <w:szCs w:val="24"/>
          <w:lang w:val="sr-Cyrl-RS"/>
        </w:rPr>
        <w:t>та јавних политика, обједињују их и представљају везу са средњорочним оквиром расхода, показатељи из докумен</w:t>
      </w:r>
      <w:r w:rsidR="00A673E2" w:rsidRPr="0081082A">
        <w:rPr>
          <w:rFonts w:ascii="Times New Roman" w:hAnsi="Times New Roman"/>
          <w:szCs w:val="24"/>
          <w:lang w:val="sr-Cyrl-RS"/>
        </w:rPr>
        <w:t>а</w:t>
      </w:r>
      <w:r w:rsidRPr="0081082A">
        <w:rPr>
          <w:rFonts w:ascii="Times New Roman" w:hAnsi="Times New Roman"/>
          <w:szCs w:val="24"/>
          <w:lang w:val="sr-Cyrl-RS"/>
        </w:rPr>
        <w:t>та јавних политика преносе се у средњорочне планове. Праћење учинка програма и спровођења докумената јавних политика треба да дају одговор да ли су постигнути резултати, исходи и ефекти, односно да ли је постигнуто жељено стање. Уколико није, праћење даје одговор на разлоге, односно узроке и помаже руководиоцу да промени одлуке.</w:t>
      </w:r>
    </w:p>
    <w:p w:rsidR="001B6DE8" w:rsidRPr="0081082A" w:rsidRDefault="001B6DE8" w:rsidP="001B6DE8">
      <w:pPr>
        <w:spacing w:after="0" w:line="240" w:lineRule="auto"/>
        <w:ind w:right="4" w:firstLine="720"/>
        <w:jc w:val="both"/>
        <w:rPr>
          <w:rFonts w:ascii="Times New Roman" w:eastAsia="Times New Roman" w:hAnsi="Times New Roman" w:cs="Times New Roman"/>
          <w:sz w:val="24"/>
          <w:szCs w:val="24"/>
          <w:lang w:val="sr-Cyrl-RS"/>
        </w:rPr>
      </w:pPr>
      <w:r w:rsidRPr="0081082A">
        <w:rPr>
          <w:rFonts w:ascii="Times New Roman" w:eastAsia="Times New Roman" w:hAnsi="Times New Roman" w:cs="Times New Roman"/>
          <w:sz w:val="24"/>
          <w:szCs w:val="24"/>
          <w:lang w:val="sr-Cyrl-RS"/>
        </w:rPr>
        <w:t>Уредбом о методологији за израду средњорочних планова</w:t>
      </w:r>
      <w:r w:rsidRPr="0081082A">
        <w:rPr>
          <w:rStyle w:val="FootnoteReference"/>
          <w:rFonts w:ascii="Times New Roman" w:eastAsia="Times New Roman" w:hAnsi="Times New Roman" w:cs="Times New Roman"/>
          <w:sz w:val="24"/>
          <w:szCs w:val="24"/>
          <w:lang w:val="sr-Cyrl-RS"/>
        </w:rPr>
        <w:footnoteReference w:id="139"/>
      </w:r>
      <w:r w:rsidRPr="0081082A">
        <w:rPr>
          <w:rFonts w:ascii="Times New Roman" w:eastAsia="Times New Roman" w:hAnsi="Times New Roman" w:cs="Times New Roman"/>
          <w:sz w:val="24"/>
          <w:szCs w:val="24"/>
          <w:lang w:val="sr-Cyrl-RS"/>
        </w:rPr>
        <w:t xml:space="preserve"> прописано је да обвезници средњорочног планирања до 15. марта текуће године израђују годишњи извештај о спровођењу средњорочног плана и годишњи извештај о учинку програмског буџета за претходну фискалну годину.</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Годишње извештавање ка ЦЈХ је она обавезна прилика када КЈС обављају самопроцену својих система ФУК. На основу прикупљених извештаја од КЈС о систему ФУК и раду ИР ЦЈХ и МФ за Владу припремају Консолидовани годишњи извештај о стању ИФКЈ за сваку годину. Садржај и облик консолидованог годишњег извештаја о стању система ИФКЈ је унапређен у складу са препорукама </w:t>
      </w:r>
      <w:r w:rsidR="007F054D" w:rsidRPr="0081082A">
        <w:rPr>
          <w:rFonts w:ascii="Times New Roman" w:hAnsi="Times New Roman" w:cs="Times New Roman"/>
          <w:sz w:val="24"/>
          <w:szCs w:val="21"/>
          <w:lang w:val="sr-Cyrl-RS"/>
        </w:rPr>
        <w:t>ЕК</w:t>
      </w:r>
      <w:r w:rsidR="007F054D"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 сарадњи са СИГМА консултантима, аналитички приступ, садржај и облик Консолидованог годишњег извештаја о стању ИФКЈ у јавном сектору у 2019. години значајно је измењен и унапређен у погледу структуре, статистике и извршених анализа. Дате препоруке су више системске и мање оријентисане ка ЦЈХ. Припремљена су засебна поглавља о перспективи ДРИ и буџетске инспекције, као део КГИ којим се даје преглед како </w:t>
      </w:r>
      <w:r w:rsidR="0054280F" w:rsidRPr="0081082A">
        <w:rPr>
          <w:rFonts w:ascii="Times New Roman" w:hAnsi="Times New Roman" w:cs="Times New Roman"/>
          <w:i/>
          <w:iCs/>
          <w:sz w:val="24"/>
          <w:szCs w:val="24"/>
          <w:lang w:val="sr-Cyrl-RS"/>
        </w:rPr>
        <w:t>COSO</w:t>
      </w:r>
      <w:r w:rsidR="0054280F"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функционише у пракси, односно екстерна провера ФУК система, и која су уврштена као редован део извештаја. ДРИ је у 2020. години извршила ревизије сврсисходности</w:t>
      </w:r>
      <w:r w:rsidR="0054280F"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Ефикасност успостављања интерне финансијске контроле у министарствима, и Ефикасност успостављања интерне финансијске контроле у здравственим установама у чијим извештајима су наведене препоруке за унапређење рада ЦЈХ, које се односе и на израду КГИ.</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Од извештавања за 2020. годину почиње редовно достављање </w:t>
      </w:r>
      <w:r w:rsidR="0054280F" w:rsidRPr="0081082A">
        <w:rPr>
          <w:rFonts w:ascii="Times New Roman" w:hAnsi="Times New Roman" w:cs="Times New Roman"/>
          <w:sz w:val="24"/>
          <w:szCs w:val="24"/>
          <w:lang w:val="sr-Cyrl-RS"/>
        </w:rPr>
        <w:t xml:space="preserve">извештаja </w:t>
      </w:r>
      <w:r w:rsidRPr="0081082A">
        <w:rPr>
          <w:rFonts w:ascii="Times New Roman" w:hAnsi="Times New Roman" w:cs="Times New Roman"/>
          <w:sz w:val="24"/>
          <w:szCs w:val="24"/>
          <w:lang w:val="sr-Cyrl-RS"/>
        </w:rPr>
        <w:t>о неправилностима ка ЦЈХ</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достављање потписаних Изјава о интерним контролама.</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Акценат се такође ставља на праћење препорука годишњег Извештаја ЕК о Србији, уочене системске слабости и препоруке за побољшање ИФКЈ које је дала ЦЈХ, резултате остварења циљева из Стратегије ИФКЈ, док се посебна пажња посвећује резултатима сагледавања квалитета рада интерне ревизије и интерне контроле. </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lastRenderedPageBreak/>
        <w:t xml:space="preserve">Извештај је у 2019. </w:t>
      </w:r>
      <w:r w:rsidR="003506FA" w:rsidRPr="0081082A">
        <w:rPr>
          <w:rFonts w:ascii="Times New Roman" w:hAnsi="Times New Roman" w:cs="Times New Roman"/>
          <w:sz w:val="24"/>
          <w:szCs w:val="24"/>
          <w:lang w:val="sr-Cyrl-RS"/>
        </w:rPr>
        <w:t xml:space="preserve">години </w:t>
      </w:r>
      <w:r w:rsidRPr="0081082A">
        <w:rPr>
          <w:rFonts w:ascii="Times New Roman" w:hAnsi="Times New Roman" w:cs="Times New Roman"/>
          <w:sz w:val="24"/>
          <w:szCs w:val="24"/>
          <w:lang w:val="sr-Cyrl-RS"/>
        </w:rPr>
        <w:t>додатно унапређен</w:t>
      </w:r>
      <w:r w:rsidR="003506FA"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пре свега целовитим приступом </w:t>
      </w:r>
      <w:r w:rsidR="003506FA" w:rsidRPr="0081082A">
        <w:rPr>
          <w:rFonts w:ascii="Times New Roman" w:hAnsi="Times New Roman" w:cs="Times New Roman"/>
          <w:i/>
          <w:iCs/>
          <w:sz w:val="24"/>
          <w:szCs w:val="24"/>
          <w:lang w:val="sr-Cyrl-RS"/>
        </w:rPr>
        <w:t>COSO</w:t>
      </w:r>
      <w:r w:rsidR="003506FA" w:rsidRPr="0081082A" w:rsidDel="003506F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оквиру</w:t>
      </w:r>
      <w:r w:rsidR="003506FA"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и усаглашен је са организацијом по принципима, а пажња је посвећена дубљем сагледавању интерне ревизије. Упитник за самооцењивање је унапређен и у потпуности усаглашен са новим </w:t>
      </w:r>
      <w:r w:rsidR="003506FA" w:rsidRPr="0081082A">
        <w:rPr>
          <w:rFonts w:ascii="Times New Roman" w:hAnsi="Times New Roman" w:cs="Times New Roman"/>
          <w:i/>
          <w:iCs/>
          <w:sz w:val="24"/>
          <w:szCs w:val="24"/>
          <w:lang w:val="sr-Cyrl-RS"/>
        </w:rPr>
        <w:t>COSO</w:t>
      </w:r>
      <w:r w:rsidRPr="0081082A">
        <w:rPr>
          <w:rFonts w:ascii="Times New Roman" w:hAnsi="Times New Roman" w:cs="Times New Roman"/>
          <w:sz w:val="24"/>
          <w:szCs w:val="24"/>
          <w:lang w:val="sr-Cyrl-RS"/>
        </w:rPr>
        <w:t xml:space="preserve"> оквиром 2013, а могућност да своје извештаје доставе и електронским путем је искористила половина свих КЈС који су доставили своје годишње извештаје.</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КЈС су први пут достављали ЦЈХ консолидоване годишње извештаје за 2019. годину преко нове апликациј</w:t>
      </w:r>
      <w:r w:rsidR="003506FA" w:rsidRPr="0081082A">
        <w:rPr>
          <w:rFonts w:ascii="Times New Roman" w:hAnsi="Times New Roman" w:cs="Times New Roman"/>
          <w:sz w:val="24"/>
          <w:szCs w:val="24"/>
          <w:lang w:val="sr-Cyrl-RS"/>
        </w:rPr>
        <w:t>е</w:t>
      </w:r>
      <w:r w:rsidRPr="0081082A">
        <w:rPr>
          <w:rFonts w:ascii="Times New Roman" w:hAnsi="Times New Roman" w:cs="Times New Roman"/>
          <w:sz w:val="24"/>
          <w:szCs w:val="24"/>
          <w:lang w:val="sr-Cyrl-RS"/>
        </w:rPr>
        <w:t xml:space="preserve"> за електронско извештавање, чиме је уз аутоматизацију процеса остварена бржа обрада података и унапређена тачност извештавања. На унапређењу електронског извештавања ЦЈХ ће радити заједно са КЈС и у наредном периоду, што треба да допринесе ефикаснијој анализи стања и унапређењу система ИФКЈ.</w:t>
      </w:r>
    </w:p>
    <w:p w:rsidR="001B6DE8" w:rsidRPr="0081082A" w:rsidRDefault="001B6DE8" w:rsidP="001B6DE8">
      <w:pPr>
        <w:spacing w:after="0" w:line="240" w:lineRule="auto"/>
        <w:ind w:firstLine="708"/>
        <w:jc w:val="both"/>
        <w:rPr>
          <w:rFonts w:ascii="Times New Roman" w:hAnsi="Times New Roman"/>
          <w:sz w:val="24"/>
          <w:szCs w:val="24"/>
          <w:lang w:val="sr-Cyrl-RS"/>
        </w:rPr>
      </w:pPr>
      <w:r w:rsidRPr="0081082A">
        <w:rPr>
          <w:rFonts w:ascii="Times New Roman" w:hAnsi="Times New Roman" w:cs="Times New Roman"/>
          <w:sz w:val="24"/>
          <w:szCs w:val="24"/>
          <w:lang w:val="sr-Cyrl-RS"/>
        </w:rPr>
        <w:t xml:space="preserve">Да су сви нивои  власти посвећени потпуном и адекватном успостављању ИФКЈ говори и чињеница да је Влада пружила снажну подршку увођењу и јачању система ИФКЈ, тако што </w:t>
      </w:r>
      <w:r w:rsidR="00954CFC" w:rsidRPr="0081082A">
        <w:rPr>
          <w:rFonts w:ascii="Times New Roman" w:hAnsi="Times New Roman" w:cs="Times New Roman"/>
          <w:sz w:val="24"/>
          <w:szCs w:val="24"/>
          <w:lang w:val="sr-Cyrl-RS"/>
        </w:rPr>
        <w:t xml:space="preserve">су </w:t>
      </w:r>
      <w:r w:rsidRPr="0081082A">
        <w:rPr>
          <w:rFonts w:ascii="Times New Roman" w:hAnsi="Times New Roman" w:cs="Times New Roman"/>
          <w:sz w:val="24"/>
          <w:szCs w:val="24"/>
          <w:lang w:val="sr-Cyrl-RS"/>
        </w:rPr>
        <w:t>први пут од КГИ за 2018. годину министарства</w:t>
      </w:r>
      <w:r w:rsidR="00954CFC"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Високи савет судства и Државно веће тужилаца су добили обавезу за поступање према препорукама из консолидованог годишњег извештаја</w:t>
      </w:r>
      <w:r w:rsidR="00954CFC" w:rsidRPr="0081082A">
        <w:rPr>
          <w:rFonts w:ascii="Times New Roman" w:hAnsi="Times New Roman" w:cs="Times New Roman"/>
          <w:sz w:val="24"/>
          <w:szCs w:val="24"/>
          <w:lang w:val="sr-Cyrl-RS"/>
        </w:rPr>
        <w:t xml:space="preserve">. </w:t>
      </w:r>
    </w:p>
    <w:p w:rsidR="001B6DE8" w:rsidRPr="0081082A" w:rsidRDefault="001B6DE8" w:rsidP="001B6DE8">
      <w:pPr>
        <w:spacing w:after="0" w:line="240" w:lineRule="auto"/>
        <w:ind w:right="4" w:firstLine="708"/>
        <w:jc w:val="both"/>
        <w:rPr>
          <w:rFonts w:ascii="Times New Roman" w:hAnsi="Times New Roman"/>
          <w:sz w:val="24"/>
          <w:szCs w:val="24"/>
          <w:lang w:val="sr-Cyrl-RS"/>
        </w:rPr>
      </w:pPr>
      <w:r w:rsidRPr="0081082A">
        <w:rPr>
          <w:rFonts w:ascii="Times New Roman" w:hAnsi="Times New Roman"/>
          <w:sz w:val="24"/>
          <w:szCs w:val="24"/>
          <w:lang w:val="sr-Cyrl-RS"/>
        </w:rPr>
        <w:t>Интерна ревизија представља активност која пружа независно и објективно уверавање, као и савете руководству</w:t>
      </w:r>
      <w:r w:rsidR="00020C31" w:rsidRPr="0081082A">
        <w:rPr>
          <w:rFonts w:ascii="Times New Roman" w:hAnsi="Times New Roman"/>
          <w:sz w:val="24"/>
          <w:szCs w:val="24"/>
          <w:lang w:val="sr-Cyrl-RS"/>
        </w:rPr>
        <w:t>,</w:t>
      </w:r>
      <w:r w:rsidRPr="0081082A">
        <w:rPr>
          <w:rFonts w:ascii="Times New Roman" w:hAnsi="Times New Roman"/>
          <w:sz w:val="24"/>
          <w:szCs w:val="24"/>
          <w:lang w:val="sr-Cyrl-RS"/>
        </w:rPr>
        <w:t xml:space="preserve"> у циљу унапређења резултата организације при постизању сопствених циљева кроз систематичну евалуацију и оцењивање система интерне контроле које је успоставило руководство корисника јавних средстава.</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Закон о буџетском систему прописује да су корисници јавних средстава обавезни да успоставе функцију интерне ревизије, док су захтеви и начини за успостављање организационе структуре и за примену стандарда прописани Правилником ИР.</w:t>
      </w:r>
    </w:p>
    <w:p w:rsidR="001B6DE8" w:rsidRPr="0081082A" w:rsidRDefault="001B6DE8" w:rsidP="001B6DE8">
      <w:pPr>
        <w:spacing w:after="0" w:line="240" w:lineRule="auto"/>
        <w:ind w:right="4"/>
        <w:jc w:val="both"/>
        <w:rPr>
          <w:rFonts w:ascii="Times New Roman" w:eastAsia="Times New Roman" w:hAnsi="Times New Roman"/>
          <w:sz w:val="24"/>
          <w:szCs w:val="24"/>
          <w:lang w:val="sr-Cyrl-RS"/>
        </w:rPr>
      </w:pPr>
      <w:r w:rsidRPr="0081082A">
        <w:rPr>
          <w:rFonts w:ascii="Times New Roman" w:hAnsi="Times New Roman"/>
          <w:sz w:val="24"/>
          <w:szCs w:val="24"/>
          <w:lang w:val="sr-Cyrl-RS"/>
        </w:rPr>
        <w:tab/>
        <w:t>Правилник ИР прописује да корисник јавних средстава може да успостави функцију интерне ревизије кроз организовање посебне функционално независне организационе јединице, што је обавезно за сва министарства и кориснике јавних средстава</w:t>
      </w:r>
      <w:r w:rsidRPr="0081082A">
        <w:rPr>
          <w:rFonts w:ascii="Times New Roman" w:eastAsia="Times New Roman" w:hAnsi="Times New Roman"/>
          <w:sz w:val="24"/>
          <w:szCs w:val="24"/>
          <w:lang w:val="sr-Cyrl-RS"/>
        </w:rPr>
        <w:t xml:space="preserve"> који имају више од 250 запослених; кроз организовање заједничке јединице за интерну ревизију на предлог два или више корисника јавних средстава; кроз обављање интерне ревизије од стране јединице интерне ревизије другог корисника јавних средстава, на основу споразума; и у изузетним околностима, уколико није могуће да се успостави јединица за интерну ревизију, онда функцију интерне ревизије може такође да врши интерни ревизор који је запослен код тог корисника јавних средстава.</w:t>
      </w:r>
    </w:p>
    <w:p w:rsidR="001B6DE8" w:rsidRPr="0081082A" w:rsidRDefault="001B6DE8" w:rsidP="001B6DE8">
      <w:pPr>
        <w:spacing w:after="0" w:line="240" w:lineRule="auto"/>
        <w:ind w:right="4"/>
        <w:jc w:val="both"/>
        <w:rPr>
          <w:rFonts w:ascii="Times New Roman" w:eastAsia="Times New Roman" w:hAnsi="Times New Roman"/>
          <w:sz w:val="24"/>
          <w:szCs w:val="24"/>
          <w:lang w:val="sr-Cyrl-RS"/>
        </w:rPr>
      </w:pPr>
      <w:r w:rsidRPr="0081082A">
        <w:rPr>
          <w:rFonts w:ascii="Times New Roman" w:eastAsia="Times New Roman" w:hAnsi="Times New Roman"/>
          <w:sz w:val="24"/>
          <w:szCs w:val="24"/>
          <w:lang w:val="sr-Cyrl-RS"/>
        </w:rPr>
        <w:tab/>
        <w:t>Послове интерне ревизије код индиректних буџетских корисника који нису успоставили функцију интерне ревизије ни на један од горе описаних начина врши надлежна јединица за интерну ревизију надлежног директног буџетског корисника, у складу са њеним планом рада.</w:t>
      </w:r>
    </w:p>
    <w:p w:rsidR="001B6DE8" w:rsidRPr="0081082A" w:rsidRDefault="001B6DE8" w:rsidP="001B6DE8">
      <w:pPr>
        <w:spacing w:after="0" w:line="240" w:lineRule="auto"/>
        <w:jc w:val="both"/>
        <w:rPr>
          <w:rFonts w:ascii="Times New Roman" w:eastAsia="Times New Roman" w:hAnsi="Times New Roman"/>
          <w:sz w:val="24"/>
          <w:szCs w:val="24"/>
          <w:lang w:val="sr-Cyrl-RS"/>
        </w:rPr>
      </w:pPr>
      <w:r w:rsidRPr="0081082A">
        <w:rPr>
          <w:rFonts w:ascii="Times New Roman" w:eastAsia="Times New Roman" w:hAnsi="Times New Roman"/>
          <w:sz w:val="24"/>
          <w:szCs w:val="24"/>
          <w:lang w:val="sr-Cyrl-RS"/>
        </w:rPr>
        <w:tab/>
        <w:t>Посебна функционално независна организациона јединица за интерну ревизију је успостављена и код аутономних покрајина, града Београда и градова, и има овлашћења да врши послове интерне ревизије у датом органу у оквиру надлежности и у складу са планом рада.</w:t>
      </w:r>
    </w:p>
    <w:p w:rsidR="001B6DE8" w:rsidRPr="0081082A" w:rsidRDefault="001B6DE8" w:rsidP="001B6DE8">
      <w:pPr>
        <w:spacing w:after="0" w:line="240" w:lineRule="auto"/>
        <w:jc w:val="both"/>
        <w:rPr>
          <w:rFonts w:ascii="Times New Roman" w:eastAsia="Times New Roman" w:hAnsi="Times New Roman"/>
          <w:sz w:val="24"/>
          <w:szCs w:val="24"/>
          <w:lang w:val="sr-Cyrl-RS"/>
        </w:rPr>
      </w:pPr>
      <w:r w:rsidRPr="0081082A">
        <w:rPr>
          <w:rFonts w:ascii="Times New Roman" w:eastAsia="Times New Roman" w:hAnsi="Times New Roman"/>
          <w:sz w:val="24"/>
          <w:szCs w:val="24"/>
          <w:lang w:val="sr-Cyrl-RS"/>
        </w:rPr>
        <w:tab/>
      </w:r>
      <w:r w:rsidRPr="0081082A">
        <w:rPr>
          <w:rFonts w:ascii="Times New Roman" w:hAnsi="Times New Roman"/>
          <w:sz w:val="24"/>
          <w:szCs w:val="24"/>
          <w:lang w:val="sr-Cyrl-RS"/>
        </w:rPr>
        <w:t xml:space="preserve">Годишњи извештаји о обављеним ревизијама и активностима интерне ревизије који су достављени ЦЈХ пружају информације о специфичним недостацима интерне контроле код корисника јавних средстава који треба да се реше. Поред недостатака </w:t>
      </w:r>
      <w:r w:rsidRPr="0081082A">
        <w:rPr>
          <w:rFonts w:ascii="Times New Roman" w:hAnsi="Times New Roman"/>
          <w:sz w:val="24"/>
          <w:szCs w:val="24"/>
          <w:lang w:val="sr-Cyrl-RS"/>
        </w:rPr>
        <w:lastRenderedPageBreak/>
        <w:t>који се односе на системе интерне контроле, јавне набавке и рачуноводство и извештавање представљају две додатне критичне области које треба у смислу практичне примене прописа да реше и корисници јавних средстава, а водеће секторске институције на националном нивоу које координирају активности у овим областима треба да их реше у смислу детаљног анализирања и решавања свих ових недостатка</w:t>
      </w:r>
      <w:r w:rsidRPr="0081082A">
        <w:rPr>
          <w:rFonts w:ascii="Times New Roman" w:hAnsi="Times New Roman"/>
          <w:sz w:val="24"/>
          <w:szCs w:val="24"/>
          <w:vertAlign w:val="superscript"/>
          <w:lang w:val="sr-Cyrl-RS"/>
        </w:rPr>
        <w:footnoteReference w:id="140"/>
      </w:r>
      <w:r w:rsidRPr="0081082A">
        <w:rPr>
          <w:rFonts w:ascii="Times New Roman" w:hAnsi="Times New Roman"/>
          <w:sz w:val="24"/>
          <w:szCs w:val="24"/>
          <w:lang w:val="sr-Cyrl-RS"/>
        </w:rPr>
        <w:t xml:space="preserve">. </w:t>
      </w:r>
    </w:p>
    <w:p w:rsidR="001B6DE8" w:rsidRPr="0081082A" w:rsidRDefault="001B6DE8" w:rsidP="001B6DE8">
      <w:pPr>
        <w:spacing w:after="0" w:line="240" w:lineRule="auto"/>
        <w:jc w:val="both"/>
        <w:rPr>
          <w:rFonts w:ascii="Times New Roman" w:eastAsia="Times New Roman" w:hAnsi="Times New Roman"/>
          <w:sz w:val="24"/>
          <w:szCs w:val="24"/>
          <w:lang w:val="sr-Cyrl-RS" w:eastAsia="en-GB"/>
        </w:rPr>
      </w:pPr>
      <w:r w:rsidRPr="0081082A">
        <w:rPr>
          <w:rFonts w:ascii="Times New Roman" w:eastAsia="Times New Roman" w:hAnsi="Times New Roman"/>
          <w:sz w:val="24"/>
          <w:szCs w:val="24"/>
          <w:lang w:val="sr-Cyrl-RS" w:eastAsia="en-GB"/>
        </w:rPr>
        <w:tab/>
        <w:t>Поједини корисници јавних средстава још увек нису успоставили функцију интерне ревизије. Главни разлози су недовољан број кандидата за интерне ревизоре са прописаним квалификацијама; ниске плате; платни разреди који су неадекватни обиму и комплексности посла; недовољно средстава и конкурентност приватног сектора. Осим тога, у годишњим извештајима наведен је недостатак интензивније сарадње између интерних ревизора и њихових руководилаца, што заправо представља предуслов за ефективну интерну ревизију</w:t>
      </w:r>
      <w:r w:rsidRPr="0081082A">
        <w:rPr>
          <w:rFonts w:ascii="Times New Roman" w:hAnsi="Times New Roman"/>
          <w:sz w:val="24"/>
          <w:szCs w:val="24"/>
          <w:lang w:val="sr-Cyrl-RS"/>
        </w:rPr>
        <w:t>.</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Функционална независност интерних ревизора код корисника јавних средстава је директно сразмерна свеобухватном општем разумевању руководства корисника јавних средстава које се односи на улоге и користи од интерне контроле, и зато што руководиоци корисника јавних средстава боље разумеју улогу интерних ревизора у пружању независних и објективних мишљења и савета о квалитету и функционисању система интерне контроле. На овај начин ће се осигурати већи степен функционалне независности функције интерне ревизије унутар тих институција, чиме ће се допринети већем квалитету извештаја интерних ревизора. Решавање ових питања захтева сталну подршку коју ЦЈХ треба да пружа корисницима јавних средстава у њиховим напорима да се повећа свест о интерним контролама, као и њихово разумевање, и сталног проактивног приступа интерних ревизора у едукацији и подизању свести руководилаца о њиховој улози и додатној вредности коју они дају њиховим општим управљачким напорима.</w:t>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Од првих одредби у ЗоБС-у из 2009. до 2019. године, за 10 година имплементације је изграђена национална сертификациона шема за стицање звања овлашћени интерни ревизор у јавном сектору према међународним стандардима за обављање интерне ревизије (</w:t>
      </w:r>
      <w:r w:rsidRPr="0081082A">
        <w:rPr>
          <w:rFonts w:ascii="Times New Roman" w:hAnsi="Times New Roman"/>
          <w:i/>
          <w:iCs/>
          <w:sz w:val="24"/>
          <w:szCs w:val="24"/>
          <w:lang w:val="sr-Cyrl-RS"/>
        </w:rPr>
        <w:t>ISPPIA</w:t>
      </w:r>
      <w:r w:rsidRPr="0081082A">
        <w:rPr>
          <w:rFonts w:ascii="Times New Roman" w:hAnsi="Times New Roman"/>
          <w:sz w:val="24"/>
          <w:szCs w:val="24"/>
          <w:lang w:val="sr-Cyrl-RS"/>
        </w:rPr>
        <w:t>) по којој је ово стекло укупно 491 интерних ревизора.  Од тог броја укупно је 67% жена, и 33% мушкараца. Према пристиглим извештајима, о</w:t>
      </w:r>
      <w:r w:rsidRPr="0081082A">
        <w:rPr>
          <w:rFonts w:ascii="Times New Roman" w:hAnsi="Times New Roman"/>
          <w:sz w:val="24"/>
          <w:lang w:val="sr-Cyrl-RS"/>
        </w:rPr>
        <w:t>д укупно 485 запослених интерних ревизора њих 310 има звање овлашћени интерни ревизор у јавном сектору</w:t>
      </w:r>
      <w:r w:rsidR="006157C4" w:rsidRPr="0081082A">
        <w:rPr>
          <w:rFonts w:ascii="Times New Roman" w:hAnsi="Times New Roman"/>
          <w:sz w:val="24"/>
          <w:lang w:val="sr-Cyrl-RS"/>
        </w:rPr>
        <w:t xml:space="preserve">. </w:t>
      </w:r>
    </w:p>
    <w:p w:rsidR="001B6DE8" w:rsidRPr="0081082A" w:rsidRDefault="001B6DE8" w:rsidP="001B6DE8">
      <w:pPr>
        <w:spacing w:after="0" w:line="240" w:lineRule="auto"/>
        <w:ind w:firstLine="708"/>
        <w:jc w:val="both"/>
        <w:rPr>
          <w:rFonts w:ascii="Times New Roman" w:hAnsi="Times New Roman"/>
          <w:sz w:val="24"/>
          <w:szCs w:val="24"/>
          <w:lang w:val="sr-Cyrl-RS"/>
        </w:rPr>
      </w:pPr>
      <w:r w:rsidRPr="0081082A">
        <w:rPr>
          <w:rFonts w:ascii="Times New Roman" w:hAnsi="Times New Roman"/>
          <w:sz w:val="24"/>
          <w:szCs w:val="24"/>
          <w:lang w:val="sr-Cyrl-RS"/>
        </w:rPr>
        <w:t>Функционалном интерном ревизијом је покривено преко 80% буџета директних буџетских корисника централног нивоа власти, организација обавезног социјалног осигурања, аутономне покрајине Војводине, градова</w:t>
      </w:r>
      <w:r w:rsidR="006157C4" w:rsidRPr="0081082A">
        <w:rPr>
          <w:rFonts w:ascii="Times New Roman" w:hAnsi="Times New Roman"/>
          <w:sz w:val="24"/>
          <w:szCs w:val="24"/>
          <w:lang w:val="sr-Cyrl-RS"/>
        </w:rPr>
        <w:t>,</w:t>
      </w:r>
      <w:r w:rsidRPr="0081082A">
        <w:rPr>
          <w:rFonts w:ascii="Times New Roman" w:hAnsi="Times New Roman"/>
          <w:sz w:val="24"/>
          <w:szCs w:val="24"/>
          <w:lang w:val="sr-Cyrl-RS"/>
        </w:rPr>
        <w:t xml:space="preserve"> као и јавних предузећа на централном нивоу. Уочен је раст од 9% укупног броја КЈС код којих је успостављена функција интерне ревизије у односу на 2018. годину. Број систематизованих радних места је порастао за 7%, али број попуњених радних места је у 2019. години за само 0.4% већи у односу на претходну годину. Раст броја ревизорских ангажмана у пружању услуга саветовања </w:t>
      </w:r>
      <w:r w:rsidR="006157C4" w:rsidRPr="0081082A">
        <w:rPr>
          <w:rFonts w:ascii="Times New Roman" w:hAnsi="Times New Roman"/>
          <w:sz w:val="24"/>
          <w:szCs w:val="24"/>
          <w:lang w:val="sr-Cyrl-RS"/>
        </w:rPr>
        <w:t xml:space="preserve">порастао је </w:t>
      </w:r>
      <w:r w:rsidRPr="0081082A">
        <w:rPr>
          <w:rFonts w:ascii="Times New Roman" w:hAnsi="Times New Roman"/>
          <w:sz w:val="24"/>
          <w:szCs w:val="24"/>
          <w:lang w:val="sr-Cyrl-RS"/>
        </w:rPr>
        <w:t>за 13% у односу на претходну годину</w:t>
      </w:r>
      <w:r w:rsidR="006157C4" w:rsidRPr="0081082A">
        <w:rPr>
          <w:rFonts w:ascii="Times New Roman" w:hAnsi="Times New Roman"/>
          <w:sz w:val="24"/>
          <w:szCs w:val="24"/>
          <w:lang w:val="sr-Cyrl-RS"/>
        </w:rPr>
        <w:t>.</w:t>
      </w:r>
      <w:r w:rsidRPr="0081082A">
        <w:rPr>
          <w:rFonts w:ascii="Times New Roman" w:hAnsi="Times New Roman"/>
          <w:sz w:val="24"/>
          <w:szCs w:val="24"/>
          <w:vertAlign w:val="superscript"/>
          <w:lang w:val="sr-Cyrl-RS"/>
        </w:rPr>
        <w:footnoteReference w:id="141"/>
      </w:r>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 xml:space="preserve">ЦЈХ је обавио потребне анализе и размотрио могућност признавања релевантних сертификата. Интензивно се радило на ажурирању постојећих и припреми нових едукативних материјала. Економски факултет Универзитета у Београду </w:t>
      </w:r>
      <w:r w:rsidR="006157C4" w:rsidRPr="0081082A">
        <w:rPr>
          <w:rFonts w:ascii="Times New Roman" w:hAnsi="Times New Roman"/>
          <w:sz w:val="24"/>
          <w:szCs w:val="24"/>
          <w:lang w:val="sr-Cyrl-RS"/>
        </w:rPr>
        <w:t>има</w:t>
      </w:r>
      <w:r w:rsidRPr="0081082A">
        <w:rPr>
          <w:rFonts w:ascii="Times New Roman" w:hAnsi="Times New Roman"/>
          <w:sz w:val="24"/>
          <w:szCs w:val="24"/>
          <w:lang w:val="sr-Cyrl-RS"/>
        </w:rPr>
        <w:t xml:space="preserve"> </w:t>
      </w:r>
      <w:r w:rsidRPr="0081082A">
        <w:rPr>
          <w:rFonts w:ascii="Times New Roman" w:hAnsi="Times New Roman"/>
          <w:sz w:val="24"/>
          <w:szCs w:val="24"/>
          <w:lang w:val="sr-Cyrl-RS"/>
        </w:rPr>
        <w:lastRenderedPageBreak/>
        <w:t xml:space="preserve">акредитован смер посвећен интерној ревизији који ће бити доступан студентима од наредне школске године али су неке теме из курикулума већ укључене у актуелна предавања. </w:t>
      </w:r>
      <w:r w:rsidRPr="0081082A">
        <w:rPr>
          <w:rFonts w:ascii="Times New Roman" w:hAnsi="Times New Roman" w:cs="Times New Roman"/>
          <w:sz w:val="24"/>
          <w:szCs w:val="24"/>
          <w:lang w:val="sr-Cyrl-RS"/>
        </w:rPr>
        <w:t xml:space="preserve">До децембра 2020. године припремљено је 10 студија случаја (које су намењене  обучавању интерних ревизора) и Методолошке смернице за интерне ИТ ревизију. Ови материјали ће у наредном периоду бити основа за даље разматрање могућности организовања </w:t>
      </w:r>
      <w:r w:rsidRPr="0081082A">
        <w:rPr>
          <w:rFonts w:ascii="Times New Roman" w:hAnsi="Times New Roman" w:cs="Times New Roman"/>
          <w:i/>
          <w:iCs/>
          <w:sz w:val="24"/>
          <w:szCs w:val="24"/>
          <w:lang w:val="sr-Cyrl-RS"/>
        </w:rPr>
        <w:t>e-learning</w:t>
      </w:r>
      <w:r w:rsidRPr="0081082A">
        <w:rPr>
          <w:rFonts w:ascii="Times New Roman" w:hAnsi="Times New Roman" w:cs="Times New Roman"/>
          <w:sz w:val="24"/>
          <w:szCs w:val="24"/>
          <w:lang w:val="sr-Cyrl-RS"/>
        </w:rPr>
        <w:t xml:space="preserve"> обука из области ИР</w:t>
      </w:r>
      <w:r w:rsidRPr="0081082A">
        <w:rPr>
          <w:rStyle w:val="FootnoteReference"/>
          <w:rFonts w:ascii="Times New Roman" w:hAnsi="Times New Roman" w:cs="Times New Roman"/>
          <w:sz w:val="24"/>
          <w:szCs w:val="24"/>
          <w:lang w:val="sr-Cyrl-RS"/>
        </w:rPr>
        <w:footnoteReference w:id="142"/>
      </w:r>
      <w:r w:rsidRPr="0081082A">
        <w:rPr>
          <w:rFonts w:ascii="Times New Roman" w:hAnsi="Times New Roman" w:cs="Times New Roman"/>
          <w:sz w:val="24"/>
          <w:szCs w:val="24"/>
          <w:lang w:val="sr-Cyrl-RS"/>
        </w:rPr>
        <w:t xml:space="preserve">. </w:t>
      </w:r>
      <w:r w:rsidRPr="0081082A">
        <w:rPr>
          <w:rFonts w:ascii="Times New Roman" w:hAnsi="Times New Roman"/>
          <w:sz w:val="24"/>
          <w:szCs w:val="24"/>
          <w:lang w:val="sr-Cyrl-RS"/>
        </w:rPr>
        <w:t xml:space="preserve">ЦЈХ је ангажован на отварању могућности за мобилисање свих ресурса у </w:t>
      </w:r>
      <w:r w:rsidR="00F641AE" w:rsidRPr="0081082A">
        <w:rPr>
          <w:rFonts w:ascii="Times New Roman" w:hAnsi="Times New Roman" w:cs="Times New Roman"/>
          <w:sz w:val="24"/>
          <w:szCs w:val="24"/>
          <w:lang w:val="sr-Cyrl-RS"/>
        </w:rPr>
        <w:t>Републици Србији</w:t>
      </w:r>
      <w:r w:rsidRPr="0081082A">
        <w:rPr>
          <w:rFonts w:ascii="Times New Roman" w:hAnsi="Times New Roman"/>
          <w:sz w:val="24"/>
          <w:szCs w:val="24"/>
          <w:lang w:val="sr-Cyrl-RS"/>
        </w:rPr>
        <w:t xml:space="preserve"> како би припрема интерних ревизора за овај посао била што ефикаснија. Највећи део ових активности је урађен у сарадњи са </w:t>
      </w:r>
      <w:r w:rsidRPr="0081082A">
        <w:rPr>
          <w:rFonts w:ascii="Times New Roman" w:hAnsi="Times New Roman"/>
          <w:i/>
          <w:iCs/>
          <w:sz w:val="24"/>
          <w:szCs w:val="24"/>
          <w:lang w:val="sr-Cyrl-RS"/>
        </w:rPr>
        <w:t>SECO/UNDP</w:t>
      </w:r>
      <w:r w:rsidRPr="0081082A">
        <w:rPr>
          <w:rFonts w:ascii="Times New Roman" w:hAnsi="Times New Roman"/>
          <w:sz w:val="24"/>
          <w:szCs w:val="24"/>
          <w:lang w:val="sr-Cyrl-RS"/>
        </w:rPr>
        <w:t xml:space="preserve"> Пројектом. </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Усвојен је Правилник о стручном усавршавању овлашћених интерних ревизора у јавном сектору</w:t>
      </w:r>
      <w:r w:rsidRPr="0081082A">
        <w:rPr>
          <w:rStyle w:val="FootnoteReference"/>
          <w:rFonts w:ascii="Times New Roman" w:hAnsi="Times New Roman" w:cs="Times New Roman"/>
          <w:sz w:val="24"/>
          <w:szCs w:val="24"/>
          <w:lang w:val="sr-Cyrl-RS"/>
        </w:rPr>
        <w:footnoteReference w:id="143"/>
      </w:r>
      <w:r w:rsidRPr="0081082A">
        <w:rPr>
          <w:rFonts w:ascii="Times New Roman" w:hAnsi="Times New Roman" w:cs="Times New Roman"/>
          <w:sz w:val="24"/>
          <w:szCs w:val="24"/>
          <w:lang w:val="sr-Cyrl-RS"/>
        </w:rPr>
        <w:t>, којим су дефинисана подручја и критеријуми за признавање, извештавање и евиденције о стручном усавршавању. Очекује се да ће спровођење овог правилника допринети унапређењу квалитета рада и даље</w:t>
      </w:r>
      <w:r w:rsidR="006157C4" w:rsidRPr="0081082A">
        <w:rPr>
          <w:rFonts w:ascii="Times New Roman" w:hAnsi="Times New Roman" w:cs="Times New Roman"/>
          <w:sz w:val="24"/>
          <w:szCs w:val="24"/>
          <w:lang w:val="sr-Cyrl-RS"/>
        </w:rPr>
        <w:t>м</w:t>
      </w:r>
      <w:r w:rsidRPr="0081082A">
        <w:rPr>
          <w:rFonts w:ascii="Times New Roman" w:hAnsi="Times New Roman" w:cs="Times New Roman"/>
          <w:sz w:val="24"/>
          <w:szCs w:val="24"/>
          <w:lang w:val="sr-Cyrl-RS"/>
        </w:rPr>
        <w:t xml:space="preserve"> јачањ</w:t>
      </w:r>
      <w:r w:rsidR="006157C4" w:rsidRPr="0081082A">
        <w:rPr>
          <w:rFonts w:ascii="Times New Roman" w:hAnsi="Times New Roman" w:cs="Times New Roman"/>
          <w:sz w:val="24"/>
          <w:szCs w:val="24"/>
          <w:lang w:val="sr-Cyrl-RS"/>
        </w:rPr>
        <w:t>у</w:t>
      </w:r>
      <w:r w:rsidRPr="0081082A">
        <w:rPr>
          <w:rFonts w:ascii="Times New Roman" w:hAnsi="Times New Roman" w:cs="Times New Roman"/>
          <w:sz w:val="24"/>
          <w:szCs w:val="24"/>
          <w:lang w:val="sr-Cyrl-RS"/>
        </w:rPr>
        <w:t xml:space="preserve"> улоге интерних ревизора у јавном сектору. На основу члана 7. Правилника о стручном усавршавању интерних ревизора у јавном сектору, овлашћени интерни ревизор</w:t>
      </w:r>
      <w:r w:rsidR="006157C4" w:rsidRPr="0081082A">
        <w:rPr>
          <w:rFonts w:ascii="Times New Roman" w:hAnsi="Times New Roman" w:cs="Times New Roman"/>
          <w:sz w:val="24"/>
          <w:szCs w:val="24"/>
          <w:lang w:val="sr-Cyrl-RS"/>
        </w:rPr>
        <w:t>и</w:t>
      </w:r>
      <w:r w:rsidRPr="0081082A">
        <w:rPr>
          <w:rFonts w:ascii="Times New Roman" w:hAnsi="Times New Roman" w:cs="Times New Roman"/>
          <w:sz w:val="24"/>
          <w:szCs w:val="24"/>
          <w:lang w:val="sr-Cyrl-RS"/>
        </w:rPr>
        <w:t xml:space="preserve"> у јавном сектору су у обавези да остваре најмање 50 бодова за стручно усавршавање у једној години, од чега најмање пет бодова кроз организовано стручно усавршавање. Од укупног броја достављених Извештаја о стручном усавршавању, 68% ОИР ЈС је испунило обавезу, а укупно 25.6% ОИР ЈС није испунило обавезу. Укупан број ОИР ЈС који су доставили Извештаје, али из оправданих разлога, које су навели у Извештају, нису успели да прикупе бодове 6.5%. У току 2020. због пандемије су све активности које се односе на обуку биле погођене па се очекује пад и у области стручног усавршавања интерних ревизора.</w:t>
      </w:r>
    </w:p>
    <w:p w:rsidR="001B6DE8" w:rsidRPr="0081082A" w:rsidRDefault="001B6DE8" w:rsidP="001B6DE8">
      <w:pPr>
        <w:spacing w:after="0" w:line="240" w:lineRule="auto"/>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Треба истаћи и да је у претходном периоду дошло до уређења и оснаживања функције сагледавања квалитета система ФУК на терену, код самих КЈС од стране ЦЈХ. Такође, оцена квалитета рада јединице за интерну ревизију врши се интерним (на основу сталног прегледа који врши руководилац јединице за интерну ревизију и упитника за самооцењивање интерних ревизора) и екстерним оцењивањем. </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Приликом првог прегледа квалитета система ФУК од стране ЦЈХ у НСЗ-у обављено је тестирање и прилагођавање оригиналне СИГМА методологије за сагледавање квалитета система ФУК националном контексту. Након првих обављених сагледавања квалитета система ФУК ЦЈХ је припремила и методологију за анализу ризика која ће служити као основа за избор КЈС. ЦЈХ је у претходном периоду почевши од 2015. године редовно обављала сагледавање квалитета рада интерне ревизије. За 2019. годину обављена је код 10 КЈС, сагледавање за 2020. годину је у току. У току је и пилотирање контроле квалитета рада интерне ревизије по методи колегијалног прегледа и ЦЈХ ће у наредном периоду припремити програм оцењивања и методологију сагледавања квалитета рада ИР по овој методи. Припремљена је и радна верзија текста Правилника који ће уредити  ову област.</w:t>
      </w:r>
    </w:p>
    <w:p w:rsidR="001B6DE8" w:rsidRPr="0081082A" w:rsidRDefault="001B6DE8" w:rsidP="001B6DE8">
      <w:pPr>
        <w:spacing w:after="0" w:line="240" w:lineRule="auto"/>
        <w:ind w:firstLine="708"/>
        <w:jc w:val="both"/>
        <w:rPr>
          <w:lang w:val="sr-Cyrl-RS"/>
        </w:rPr>
      </w:pPr>
      <w:r w:rsidRPr="0081082A">
        <w:rPr>
          <w:rFonts w:ascii="Times New Roman" w:hAnsi="Times New Roman"/>
          <w:sz w:val="24"/>
          <w:szCs w:val="24"/>
          <w:lang w:val="sr-Cyrl-RS"/>
        </w:rPr>
        <w:t xml:space="preserve">Основни циљ контроле квалитета је да се оцени квалитет успостављених функција интерне ревизије код корисника јавних средстава са циљем да се унапреде </w:t>
      </w:r>
      <w:r w:rsidRPr="0081082A">
        <w:rPr>
          <w:rFonts w:ascii="Times New Roman" w:hAnsi="Times New Roman"/>
          <w:sz w:val="24"/>
          <w:szCs w:val="24"/>
          <w:lang w:val="sr-Cyrl-RS"/>
        </w:rPr>
        <w:lastRenderedPageBreak/>
        <w:t>постојеће праксе у складу са Meђунaрoдним стaндaрдима прoфeсиoнaлнe прaксe интeрнe рeвизиje. Екстерна оцена квалитета се усредсређује на вредновање упитника за самооцењивање интерних ревизора кроз претходну проверу докумената, као и кроз директне посете да би се утврдила не само усклађеност са законима, дефиницијама интерне ревизије, стандардима који се примењују и Етичким кодексом, већи и да се оцени ефикасност и ефективност интерних ревизора и да би се идентификовале потенцијалне могућности за унапређење.</w:t>
      </w:r>
    </w:p>
    <w:p w:rsidR="001B6DE8" w:rsidRPr="0081082A" w:rsidRDefault="001B6DE8" w:rsidP="001B6DE8">
      <w:pPr>
        <w:spacing w:after="0" w:line="240" w:lineRule="auto"/>
        <w:ind w:firstLine="708"/>
        <w:jc w:val="both"/>
        <w:rPr>
          <w:rFonts w:ascii="Times New Roman" w:hAnsi="Times New Roman"/>
          <w:sz w:val="24"/>
          <w:szCs w:val="24"/>
          <w:lang w:val="sr-Cyrl-RS"/>
        </w:rPr>
      </w:pPr>
      <w:r w:rsidRPr="0081082A">
        <w:rPr>
          <w:rFonts w:ascii="Times New Roman" w:hAnsi="Times New Roman"/>
          <w:sz w:val="24"/>
          <w:szCs w:val="24"/>
          <w:lang w:val="sr-Cyrl-RS"/>
        </w:rPr>
        <w:t>Корисници јавних средстава који користе претприступне фондове ЕУ немају неопходан број ревизора, односно ревизора који добро знају захтеве ЕУ који се односе на управљање претприступним средствима. Стални и координисани напори ЦЈХ и Канцеларије за ревизију система управљања средствима ЕУ улажу се у припрему и спровођење обука за интерне ревизоре код корисника јавних средстава који су корисници помоћи која је финансирана од стране ЕУ како би се подигла њихова свест о управљању средствима ЕУ и појачали њихови технички капацитети за вршење ревизија успостављених структура за управљање средствима ЕУ</w:t>
      </w:r>
      <w:r w:rsidR="003D5A29" w:rsidRPr="0081082A">
        <w:rPr>
          <w:rFonts w:ascii="Times New Roman" w:hAnsi="Times New Roman"/>
          <w:sz w:val="24"/>
          <w:szCs w:val="24"/>
          <w:lang w:val="sr-Cyrl-RS"/>
        </w:rPr>
        <w:t>,</w:t>
      </w:r>
      <w:r w:rsidRPr="0081082A">
        <w:rPr>
          <w:rFonts w:ascii="Times New Roman" w:hAnsi="Times New Roman"/>
          <w:sz w:val="24"/>
          <w:szCs w:val="24"/>
          <w:lang w:val="sr-Cyrl-RS"/>
        </w:rPr>
        <w:t xml:space="preserve"> у оквиру њихових институција</w:t>
      </w:r>
      <w:r w:rsidR="003D5A29" w:rsidRPr="0081082A">
        <w:rPr>
          <w:rFonts w:ascii="Times New Roman" w:hAnsi="Times New Roman"/>
          <w:sz w:val="24"/>
          <w:szCs w:val="24"/>
          <w:lang w:val="sr-Cyrl-RS"/>
        </w:rPr>
        <w:t>,</w:t>
      </w:r>
      <w:r w:rsidRPr="0081082A">
        <w:rPr>
          <w:rFonts w:ascii="Times New Roman" w:hAnsi="Times New Roman"/>
          <w:sz w:val="24"/>
          <w:szCs w:val="24"/>
          <w:lang w:val="sr-Cyrl-RS"/>
        </w:rPr>
        <w:t xml:space="preserve"> у складу са захтевима успостављеним у Уредби о управљању програмима претприступне помоћи ЕУ у оквиру компоненте I Инструмента претприступне помоћи (ИПА) </w:t>
      </w:r>
      <w:r w:rsidR="003D5A29" w:rsidRPr="0081082A">
        <w:rPr>
          <w:rFonts w:ascii="Times New Roman" w:hAnsi="Times New Roman"/>
          <w:sz w:val="24"/>
          <w:szCs w:val="24"/>
          <w:lang w:val="sr-Cyrl-RS"/>
        </w:rPr>
        <w:t>-</w:t>
      </w:r>
      <w:r w:rsidRPr="0081082A">
        <w:rPr>
          <w:rFonts w:ascii="Times New Roman" w:hAnsi="Times New Roman"/>
          <w:sz w:val="24"/>
          <w:szCs w:val="24"/>
          <w:lang w:val="sr-Cyrl-RS"/>
        </w:rPr>
        <w:t xml:space="preserve"> Помоћ у транзицији и изградња институција за период 2007–2013. године</w:t>
      </w:r>
      <w:r w:rsidRPr="0081082A">
        <w:rPr>
          <w:rFonts w:ascii="Times New Roman" w:hAnsi="Times New Roman"/>
          <w:sz w:val="10"/>
          <w:szCs w:val="10"/>
          <w:lang w:val="sr-Cyrl-RS"/>
        </w:rPr>
        <w:footnoteReference w:id="144"/>
      </w:r>
      <w:r w:rsidRPr="0081082A">
        <w:rPr>
          <w:rFonts w:ascii="Times New Roman" w:hAnsi="Times New Roman"/>
          <w:sz w:val="24"/>
          <w:szCs w:val="24"/>
          <w:lang w:val="sr-Cyrl-RS"/>
        </w:rPr>
        <w:t xml:space="preserve"> и Уредби о управљању програмима претприступне помоћи ЕУ у оквиру инструмента за претприступну помоћ (ИПА II) за период 2014–2020. године</w:t>
      </w:r>
      <w:r w:rsidRPr="0081082A">
        <w:rPr>
          <w:rFonts w:ascii="Times New Roman" w:hAnsi="Times New Roman"/>
          <w:sz w:val="10"/>
          <w:szCs w:val="10"/>
          <w:lang w:val="sr-Cyrl-RS"/>
        </w:rPr>
        <w:footnoteReference w:id="145"/>
      </w:r>
      <w:r w:rsidRPr="0081082A">
        <w:rPr>
          <w:rFonts w:ascii="Times New Roman" w:hAnsi="Times New Roman"/>
          <w:sz w:val="10"/>
          <w:szCs w:val="10"/>
          <w:lang w:val="sr-Cyrl-RS"/>
        </w:rPr>
        <w:t>.</w:t>
      </w:r>
      <w:r w:rsidRPr="0081082A">
        <w:rPr>
          <w:rFonts w:ascii="Times New Roman" w:hAnsi="Times New Roman"/>
          <w:sz w:val="24"/>
          <w:szCs w:val="24"/>
          <w:lang w:val="sr-Cyrl-RS"/>
        </w:rPr>
        <w:t xml:space="preserve">  </w:t>
      </w:r>
    </w:p>
    <w:p w:rsidR="001B6DE8" w:rsidRPr="0081082A" w:rsidRDefault="001B6DE8" w:rsidP="001B6DE8">
      <w:pPr>
        <w:pStyle w:val="Heading3"/>
        <w:spacing w:before="100" w:line="240" w:lineRule="auto"/>
        <w:jc w:val="both"/>
        <w:rPr>
          <w:lang w:val="sr-Cyrl-RS"/>
        </w:rPr>
      </w:pPr>
      <w:bookmarkStart w:id="33" w:name="_Toc69727776"/>
      <w:r w:rsidRPr="0081082A">
        <w:rPr>
          <w:b/>
          <w:bCs/>
          <w:lang w:val="sr-Cyrl-RS"/>
        </w:rPr>
        <w:t>Буџетска инспекција</w:t>
      </w:r>
      <w:bookmarkEnd w:id="33"/>
    </w:p>
    <w:p w:rsidR="001B6DE8" w:rsidRPr="0081082A" w:rsidRDefault="001B6DE8" w:rsidP="001B6DE8">
      <w:pPr>
        <w:spacing w:after="0" w:line="240" w:lineRule="auto"/>
        <w:ind w:firstLine="708"/>
        <w:jc w:val="both"/>
        <w:rPr>
          <w:rFonts w:ascii="Times New Roman" w:hAnsi="Times New Roman"/>
          <w:sz w:val="24"/>
          <w:szCs w:val="24"/>
          <w:lang w:val="sr-Cyrl-RS"/>
        </w:rPr>
      </w:pPr>
      <w:r w:rsidRPr="0081082A">
        <w:rPr>
          <w:rFonts w:ascii="Times New Roman" w:hAnsi="Times New Roman" w:cs="Times New Roman"/>
          <w:sz w:val="24"/>
          <w:szCs w:val="24"/>
          <w:lang w:val="sr-Cyrl-RS"/>
        </w:rPr>
        <w:t>Буџетска инспекција на основу пријаве врши инспекцијску контролу и уколико утврди незаконитости и неправилности у коришћењу јавних средстава решењем налаже кориснику јавних средстава да врати у буџет незаконито исплаћена средства, односно ненаменски утрошена средства. Годишњи извештај о раду буџетске инспекције пружа информације Влади о извршењу Програма рада за претходну годину, спроведеним инспекцијским контролама утврђеним незаконитостима и неправилностима и предложеним мерама за њихово отклањање, донетим решењима о налагању испуњења мера, постигнутим финансијским ефектима извршених контрола, као и датим предлозима за измену прописа из области инспекцијског надзора. Годишњи извештај о раду буџетске</w:t>
      </w:r>
      <w:r w:rsidRPr="0081082A">
        <w:rPr>
          <w:rFonts w:ascii="Times New Roman" w:hAnsi="Times New Roman"/>
          <w:sz w:val="24"/>
          <w:szCs w:val="24"/>
          <w:lang w:val="sr-Cyrl-RS"/>
        </w:rPr>
        <w:t xml:space="preserve"> инспекције усваја Влада и подноси Народној скупштини до 31. марта текуће за претходну буџетску годину. Више о буџетској инспекцији је дато у оквиру посебног циља ПРУЈФ бр. 3 </w:t>
      </w:r>
      <w:r w:rsidRPr="0081082A">
        <w:rPr>
          <w:rFonts w:ascii="Times New Roman" w:hAnsi="Times New Roman"/>
          <w:lang w:val="sr-Cyrl-RS"/>
        </w:rPr>
        <w:t>УНАПРЕЂЕЊЕ БУЏЕТСКЕ ДИСЦИПЛИНЕ И ТРАНСПАРЕНТНИНЈЕ КОРИШЋЕЊЕ ЈАВНИХ СРЕДСТАВА</w:t>
      </w:r>
      <w:r w:rsidRPr="0081082A">
        <w:rPr>
          <w:rFonts w:ascii="Times New Roman" w:hAnsi="Times New Roman"/>
          <w:sz w:val="24"/>
          <w:szCs w:val="24"/>
          <w:lang w:val="sr-Cyrl-RS"/>
        </w:rPr>
        <w:t>.</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 складу са препорукама из Извештаја о напретку, саставни део Консолидованог годишњег извештаја ИФКЈ је Преглед препорука </w:t>
      </w:r>
      <w:r w:rsidR="00600253" w:rsidRPr="0081082A">
        <w:rPr>
          <w:rFonts w:ascii="Times New Roman" w:hAnsi="Times New Roman"/>
          <w:sz w:val="24"/>
          <w:lang w:val="sr-Cyrl-RS"/>
        </w:rPr>
        <w:t>ДРИ</w:t>
      </w:r>
      <w:r w:rsidR="00600253" w:rsidRPr="0081082A" w:rsidDel="00600253">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 xml:space="preserve">у области ИФКЈ, мере предузете у одређеној година на основу претходно датих препорука у извештајима о ревизији и Преглед инспекцијских контрола Буџетске инспекције и преглед из Годишњег извештаја о раду ДРИ. </w:t>
      </w:r>
    </w:p>
    <w:p w:rsidR="001B6DE8" w:rsidRDefault="001B6DE8" w:rsidP="001B6DE8">
      <w:pPr>
        <w:spacing w:after="0" w:line="240" w:lineRule="auto"/>
        <w:ind w:firstLine="708"/>
        <w:jc w:val="both"/>
        <w:rPr>
          <w:rFonts w:ascii="Times New Roman" w:hAnsi="Times New Roman" w:cs="Times New Roman"/>
          <w:sz w:val="24"/>
          <w:szCs w:val="24"/>
          <w:lang w:val="sr-Cyrl-RS"/>
        </w:rPr>
      </w:pPr>
    </w:p>
    <w:p w:rsidR="00F579C2" w:rsidRDefault="00F579C2" w:rsidP="001B6DE8">
      <w:pPr>
        <w:spacing w:after="0" w:line="240" w:lineRule="auto"/>
        <w:ind w:firstLine="708"/>
        <w:jc w:val="both"/>
        <w:rPr>
          <w:rFonts w:ascii="Times New Roman" w:hAnsi="Times New Roman" w:cs="Times New Roman"/>
          <w:sz w:val="24"/>
          <w:szCs w:val="24"/>
          <w:lang w:val="sr-Cyrl-RS"/>
        </w:rPr>
      </w:pPr>
    </w:p>
    <w:p w:rsidR="00F579C2" w:rsidRPr="0081082A" w:rsidRDefault="00F579C2" w:rsidP="001B6DE8">
      <w:pPr>
        <w:spacing w:after="0" w:line="240" w:lineRule="auto"/>
        <w:ind w:firstLine="708"/>
        <w:jc w:val="both"/>
        <w:rPr>
          <w:rFonts w:ascii="Times New Roman" w:hAnsi="Times New Roman" w:cs="Times New Roman"/>
          <w:sz w:val="24"/>
          <w:szCs w:val="24"/>
          <w:lang w:val="sr-Cyrl-RS"/>
        </w:rPr>
      </w:pPr>
    </w:p>
    <w:p w:rsidR="001B6DE8" w:rsidRPr="0081082A" w:rsidRDefault="001B6DE8" w:rsidP="001B6DE8">
      <w:pPr>
        <w:pStyle w:val="Heading2"/>
        <w:spacing w:line="240" w:lineRule="auto"/>
        <w:jc w:val="center"/>
        <w:rPr>
          <w:rFonts w:ascii="Times New Roman" w:hAnsi="Times New Roman"/>
          <w:sz w:val="24"/>
          <w:lang w:val="sr-Cyrl-RS"/>
        </w:rPr>
      </w:pPr>
      <w:bookmarkStart w:id="34" w:name="_Toc69727777"/>
      <w:r w:rsidRPr="0081082A">
        <w:rPr>
          <w:rFonts w:ascii="Times New Roman" w:hAnsi="Times New Roman"/>
          <w:sz w:val="24"/>
          <w:lang w:val="sr-Cyrl-RS"/>
        </w:rPr>
        <w:lastRenderedPageBreak/>
        <w:t>Планиране реформске мере у периоду 2021-2025</w:t>
      </w:r>
      <w:bookmarkEnd w:id="34"/>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 претходном периоду важења Стратегије ИФКЈ циљ је био усмерен ка успостављању система и унапређењу квалитета система ФУК и ИР. Током овог периода, остварени су бројни резултати, научене су многе лекције и усвојене су препоруке из годишњих извештаја </w:t>
      </w:r>
      <w:r w:rsidR="007F054D" w:rsidRPr="0081082A">
        <w:rPr>
          <w:rFonts w:ascii="Times New Roman" w:hAnsi="Times New Roman" w:cs="Times New Roman"/>
          <w:sz w:val="24"/>
          <w:szCs w:val="21"/>
          <w:lang w:val="sr-Cyrl-RS"/>
        </w:rPr>
        <w:t xml:space="preserve">ЕК </w:t>
      </w:r>
      <w:r w:rsidRPr="0081082A">
        <w:rPr>
          <w:rFonts w:ascii="Times New Roman" w:hAnsi="Times New Roman" w:cs="Times New Roman"/>
          <w:sz w:val="24"/>
          <w:szCs w:val="24"/>
          <w:lang w:val="sr-Cyrl-RS"/>
        </w:rPr>
        <w:t xml:space="preserve">Србији, односно препоруке које се односе на идентификоване слабости одређених сегмената система у консолидованим годишњим извештајима о стању ИФКЈ у </w:t>
      </w:r>
      <w:r w:rsidR="00F641AE" w:rsidRPr="0081082A">
        <w:rPr>
          <w:rFonts w:ascii="Times New Roman" w:hAnsi="Times New Roman" w:cs="Times New Roman"/>
          <w:sz w:val="24"/>
          <w:szCs w:val="24"/>
          <w:lang w:val="sr-Cyrl-RS"/>
        </w:rPr>
        <w:t xml:space="preserve"> Републици Србији</w:t>
      </w:r>
      <w:r w:rsidRPr="0081082A">
        <w:rPr>
          <w:rFonts w:ascii="Times New Roman" w:hAnsi="Times New Roman" w:cs="Times New Roman"/>
          <w:sz w:val="24"/>
          <w:szCs w:val="24"/>
          <w:lang w:val="sr-Cyrl-RS"/>
        </w:rPr>
        <w:t xml:space="preserve">. ЦЈХ ће, из тог разлога, у оквиру спровођења ПРУЈФ 2021-2025, фокус активности ставити на даље унапређење </w:t>
      </w:r>
      <w:r w:rsidRPr="0081082A">
        <w:rPr>
          <w:rFonts w:ascii="Times New Roman" w:hAnsi="Times New Roman" w:cs="Times New Roman"/>
          <w:b/>
          <w:sz w:val="24"/>
          <w:szCs w:val="24"/>
          <w:lang w:val="sr-Cyrl-RS"/>
        </w:rPr>
        <w:t>примене</w:t>
      </w:r>
      <w:r w:rsidRPr="0081082A">
        <w:rPr>
          <w:rFonts w:ascii="Times New Roman" w:hAnsi="Times New Roman" w:cs="Times New Roman"/>
          <w:sz w:val="24"/>
          <w:szCs w:val="24"/>
          <w:lang w:val="sr-Cyrl-RS"/>
        </w:rPr>
        <w:t xml:space="preserve"> система ИФКЈ, односно на прелазак са форме увођења на суштину функционисања ИФКЈ. </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Централна јединица за хармонизацију кроз консолидовани годишњи извештај на годишњем нивоу прати стање у области ИФКЈ. Осим праћења које обавља ЦЈХ на основу информација које су пружили сами КЈС, узете су </w:t>
      </w:r>
      <w:r w:rsidR="00847136" w:rsidRPr="0081082A">
        <w:rPr>
          <w:rFonts w:ascii="Times New Roman" w:hAnsi="Times New Roman" w:cs="Times New Roman"/>
          <w:sz w:val="24"/>
          <w:szCs w:val="24"/>
          <w:lang w:val="sr-Cyrl-RS"/>
        </w:rPr>
        <w:t xml:space="preserve">у </w:t>
      </w:r>
      <w:r w:rsidRPr="0081082A">
        <w:rPr>
          <w:rFonts w:ascii="Times New Roman" w:hAnsi="Times New Roman" w:cs="Times New Roman"/>
          <w:sz w:val="24"/>
          <w:szCs w:val="24"/>
          <w:lang w:val="sr-Cyrl-RS"/>
        </w:rPr>
        <w:t xml:space="preserve">обзир и информације, слабости и закључци екстерних процена система (СИГМА, </w:t>
      </w:r>
      <w:r w:rsidR="00847136" w:rsidRPr="0081082A">
        <w:rPr>
          <w:rFonts w:ascii="Times New Roman" w:hAnsi="Times New Roman" w:cs="Times New Roman"/>
          <w:i/>
          <w:iCs/>
          <w:sz w:val="24"/>
          <w:szCs w:val="24"/>
          <w:lang w:val="sr-Cyrl-RS"/>
        </w:rPr>
        <w:t>PEFA</w:t>
      </w:r>
      <w:r w:rsidRPr="0081082A">
        <w:rPr>
          <w:rFonts w:ascii="Times New Roman" w:hAnsi="Times New Roman" w:cs="Times New Roman"/>
          <w:sz w:val="24"/>
          <w:szCs w:val="24"/>
          <w:lang w:val="sr-Cyrl-RS"/>
        </w:rPr>
        <w:t>), процене ЕК из извештаја о напретку у вези са поглављем 32, главни закључци екстерних процена квалитета рада ИР</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система ФУК које обавља ЦЈХ. ЦЈХ редовно сарађује са релевантним државним институцијама, колегама из КЈС, интерним ревизорима</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координаторима за ФУК из КЈС. Осим наведеног, у систем ИФКЈ су уведене новине последњом изменом ФУК Правилника (управљање неправилностима, изјава о управљању), отвориле су се могућности дигитализације а претходним АП ИФКЈ Стратегије се већ увелико ради на подизању квалитета рада ИР кроз обавезу стручног усавршавања и унапређења у оквиру обезбеђивања квалитета у области ИР, те је и овим областима потребна додатна подршка да би заживеле у пуној мери.  На основу свих наведених извора информација су формулисане мере и активности усмерене на кључне тачке које могу да унапреде примену ИФКЈ у значајној мери. </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ПРУЈФ 2021-2025 планиране су следеће реформске мере у области ИФКЈ:</w:t>
      </w:r>
    </w:p>
    <w:p w:rsidR="001B6DE8" w:rsidRPr="0081082A" w:rsidRDefault="001B6DE8" w:rsidP="001B6DE8">
      <w:pPr>
        <w:spacing w:after="0" w:line="240" w:lineRule="auto"/>
        <w:jc w:val="both"/>
        <w:rPr>
          <w:rFonts w:ascii="Times New Roman" w:hAnsi="Times New Roman" w:cs="Times New Roman"/>
          <w:b/>
          <w:sz w:val="24"/>
          <w:szCs w:val="24"/>
          <w:lang w:val="sr-Cyrl-RS"/>
        </w:rPr>
      </w:pPr>
      <w:r w:rsidRPr="0081082A">
        <w:rPr>
          <w:rFonts w:ascii="Times New Roman" w:hAnsi="Times New Roman" w:cs="Times New Roman"/>
          <w:b/>
          <w:sz w:val="24"/>
          <w:szCs w:val="24"/>
          <w:lang w:val="sr-Cyrl-RS"/>
        </w:rPr>
        <w:t>Мера 4.1. Унапређење система ФУК-а у институцијама јавног сектора,</w:t>
      </w:r>
    </w:p>
    <w:p w:rsidR="001B6DE8" w:rsidRPr="0081082A" w:rsidRDefault="001B6DE8" w:rsidP="001B6DE8">
      <w:pPr>
        <w:spacing w:after="0" w:line="240" w:lineRule="auto"/>
        <w:jc w:val="both"/>
        <w:rPr>
          <w:rFonts w:ascii="Times New Roman" w:hAnsi="Times New Roman" w:cs="Times New Roman"/>
          <w:b/>
          <w:sz w:val="24"/>
          <w:szCs w:val="24"/>
          <w:lang w:val="sr-Cyrl-RS"/>
        </w:rPr>
      </w:pPr>
      <w:r w:rsidRPr="0081082A">
        <w:rPr>
          <w:rFonts w:ascii="Times New Roman" w:hAnsi="Times New Roman" w:cs="Times New Roman"/>
          <w:b/>
          <w:sz w:val="24"/>
          <w:szCs w:val="24"/>
          <w:lang w:val="sr-Cyrl-RS"/>
        </w:rPr>
        <w:t>Мера 4.2 Унапређена функција интерне ревизије у јавном сектору у складу са међународним стандардима и начелима,</w:t>
      </w:r>
    </w:p>
    <w:p w:rsidR="001B6DE8" w:rsidRPr="0081082A" w:rsidRDefault="001B6DE8" w:rsidP="001B6DE8">
      <w:pPr>
        <w:spacing w:after="0" w:line="240" w:lineRule="auto"/>
        <w:jc w:val="both"/>
        <w:rPr>
          <w:rFonts w:ascii="Times New Roman" w:hAnsi="Times New Roman" w:cs="Times New Roman"/>
          <w:b/>
          <w:sz w:val="24"/>
          <w:szCs w:val="24"/>
          <w:lang w:val="sr-Cyrl-RS"/>
        </w:rPr>
      </w:pPr>
      <w:r w:rsidRPr="0081082A">
        <w:rPr>
          <w:rFonts w:ascii="Times New Roman" w:hAnsi="Times New Roman" w:cs="Times New Roman"/>
          <w:b/>
          <w:sz w:val="24"/>
          <w:szCs w:val="24"/>
          <w:lang w:val="sr-Cyrl-RS"/>
        </w:rPr>
        <w:t>Мера 4.3 Ојачано праћење интерне контроле у јавном сектору (ИКЈС) и</w:t>
      </w:r>
    </w:p>
    <w:p w:rsidR="001B6DE8" w:rsidRPr="0081082A" w:rsidRDefault="001B6DE8" w:rsidP="001B6DE8">
      <w:pPr>
        <w:spacing w:after="0" w:line="240" w:lineRule="auto"/>
        <w:jc w:val="both"/>
        <w:rPr>
          <w:rFonts w:ascii="Times New Roman" w:hAnsi="Times New Roman" w:cs="Times New Roman"/>
          <w:b/>
          <w:sz w:val="24"/>
          <w:szCs w:val="24"/>
          <w:lang w:val="sr-Cyrl-RS"/>
        </w:rPr>
      </w:pPr>
      <w:r w:rsidRPr="0081082A">
        <w:rPr>
          <w:rFonts w:ascii="Times New Roman" w:hAnsi="Times New Roman" w:cs="Times New Roman"/>
          <w:b/>
          <w:sz w:val="24"/>
          <w:szCs w:val="24"/>
          <w:lang w:val="sr-Cyrl-RS"/>
        </w:rPr>
        <w:t>Мера 4.4 Модернизација система обучавања из области ИФКЈ.</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Имајући у виду претходно наведене везе са свим посебним циљевима ПРУЈФ, као и са Стратегијом РЈУ 2021-2030, у наставку су наведен</w:t>
      </w:r>
      <w:r w:rsidR="00847136" w:rsidRPr="0081082A">
        <w:rPr>
          <w:rFonts w:ascii="Times New Roman" w:hAnsi="Times New Roman" w:cs="Times New Roman"/>
          <w:sz w:val="24"/>
          <w:szCs w:val="24"/>
          <w:lang w:val="sr-Cyrl-RS"/>
        </w:rPr>
        <w:t>a</w:t>
      </w:r>
      <w:r w:rsidRPr="0081082A">
        <w:rPr>
          <w:rFonts w:ascii="Times New Roman" w:hAnsi="Times New Roman" w:cs="Times New Roman"/>
          <w:sz w:val="24"/>
          <w:szCs w:val="24"/>
          <w:lang w:val="sr-Cyrl-RS"/>
        </w:rPr>
        <w:t xml:space="preserve"> објашњења горе наведених мера. </w:t>
      </w:r>
    </w:p>
    <w:p w:rsidR="001B6DE8" w:rsidRPr="0081082A" w:rsidRDefault="001B6DE8" w:rsidP="001B6DE8">
      <w:pPr>
        <w:pStyle w:val="Heading3"/>
        <w:spacing w:before="100" w:line="240" w:lineRule="auto"/>
        <w:rPr>
          <w:lang w:val="sr-Cyrl-RS"/>
        </w:rPr>
      </w:pPr>
      <w:bookmarkStart w:id="35" w:name="_Toc69727778"/>
      <w:r w:rsidRPr="0081082A">
        <w:rPr>
          <w:lang w:val="sr-Cyrl-RS"/>
        </w:rPr>
        <w:t>Стратешко планирање: циљеви Владе кроз циљеве организације</w:t>
      </w:r>
      <w:bookmarkEnd w:id="35"/>
    </w:p>
    <w:p w:rsidR="001B6DE8" w:rsidRPr="0081082A" w:rsidRDefault="001B6DE8" w:rsidP="001B6DE8">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hAnsi="Times New Roman" w:cs="Times New Roman"/>
          <w:sz w:val="24"/>
          <w:szCs w:val="24"/>
          <w:lang w:val="sr-Cyrl-RS"/>
        </w:rPr>
        <w:t xml:space="preserve">Имајући у виду да реформе ИФКЈ нису изоловане, већ треба да потпомогну остварењу стратешких циљева, у поступку даље примене Закона о планском систему </w:t>
      </w:r>
      <w:r w:rsidR="002A61BC" w:rsidRPr="0081082A">
        <w:rPr>
          <w:rFonts w:ascii="Times New Roman" w:hAnsi="Times New Roman" w:cs="Times New Roman"/>
          <w:sz w:val="24"/>
          <w:szCs w:val="24"/>
          <w:lang w:val="sr-Cyrl-RS"/>
        </w:rPr>
        <w:t xml:space="preserve"> Републике Србије</w:t>
      </w:r>
      <w:r w:rsidRPr="0081082A">
        <w:rPr>
          <w:rFonts w:ascii="Times New Roman" w:hAnsi="Times New Roman" w:cs="Times New Roman"/>
          <w:sz w:val="24"/>
          <w:szCs w:val="24"/>
          <w:lang w:val="sr-Cyrl-RS"/>
        </w:rPr>
        <w:t xml:space="preserve">, и у вези са тим - даљим унапређењем средњорочног планирања планираним под Посебним циљем </w:t>
      </w:r>
      <w:r w:rsidRPr="0081082A">
        <w:rPr>
          <w:rFonts w:ascii="Times New Roman" w:eastAsia="Calibri" w:hAnsi="Times New Roman" w:cs="Times New Roman"/>
          <w:sz w:val="24"/>
          <w:szCs w:val="24"/>
          <w:lang w:val="sr-Cyrl-RS"/>
        </w:rPr>
        <w:t xml:space="preserve">I ПРУЈФ 2021-2025 - Унапређени капацитети за буџетско планирање и управљање јавним инвестицијама, сагледаће се начин доприноса успостављања везе  организационих циљева и јавних политика на републичком нивоу. </w:t>
      </w:r>
    </w:p>
    <w:p w:rsidR="001B6DE8" w:rsidRPr="0081082A" w:rsidRDefault="001B6DE8" w:rsidP="001B6DE8">
      <w:pPr>
        <w:pStyle w:val="BodyText"/>
        <w:tabs>
          <w:tab w:val="left" w:pos="0"/>
        </w:tabs>
        <w:spacing w:before="100"/>
        <w:rPr>
          <w:rFonts w:ascii="Times New Roman" w:hAnsi="Times New Roman"/>
          <w:szCs w:val="24"/>
          <w:lang w:val="sr-Cyrl-RS"/>
        </w:rPr>
      </w:pPr>
      <w:r w:rsidRPr="0081082A">
        <w:rPr>
          <w:rFonts w:ascii="Times New Roman" w:hAnsi="Times New Roman"/>
          <w:szCs w:val="24"/>
          <w:lang w:val="sr-Cyrl-RS"/>
        </w:rPr>
        <w:tab/>
        <w:t xml:space="preserve">Потребно је даље унапређење капацитета за планирање и међуинституционалну координацију, као и буџетирање. Такође, велики број докумената јавне политике истекло је 2020. године, и у наредном периоду ће се доносити нови у складу са </w:t>
      </w:r>
      <w:r w:rsidRPr="0081082A">
        <w:rPr>
          <w:rFonts w:ascii="Times New Roman" w:hAnsi="Times New Roman"/>
          <w:szCs w:val="24"/>
          <w:lang w:val="sr-Cyrl-RS"/>
        </w:rPr>
        <w:lastRenderedPageBreak/>
        <w:t>Законом о планском систему</w:t>
      </w:r>
      <w:r w:rsidR="002A61BC" w:rsidRPr="0081082A">
        <w:rPr>
          <w:rFonts w:ascii="Times New Roman" w:hAnsi="Times New Roman"/>
          <w:szCs w:val="24"/>
          <w:lang w:val="sr-Cyrl-RS"/>
        </w:rPr>
        <w:t xml:space="preserve"> Републике Србије</w:t>
      </w:r>
      <w:r w:rsidRPr="0081082A">
        <w:rPr>
          <w:rFonts w:ascii="Times New Roman" w:hAnsi="Times New Roman"/>
          <w:szCs w:val="24"/>
          <w:lang w:val="sr-Cyrl-RS"/>
        </w:rPr>
        <w:t>, те се у наредном периоду очекује унапређење квалитета целокупног поступка повезивања јавних политика и организационих циљева са буџетом.</w:t>
      </w:r>
    </w:p>
    <w:p w:rsidR="001B6DE8" w:rsidRPr="0081082A" w:rsidRDefault="001B6DE8" w:rsidP="001B6DE8">
      <w:pPr>
        <w:pStyle w:val="BodyText"/>
        <w:tabs>
          <w:tab w:val="left" w:pos="0"/>
        </w:tabs>
        <w:spacing w:before="100"/>
        <w:ind w:firstLine="708"/>
        <w:rPr>
          <w:rFonts w:ascii="Times New Roman" w:hAnsi="Times New Roman"/>
          <w:szCs w:val="24"/>
          <w:lang w:val="sr-Cyrl-RS"/>
        </w:rPr>
      </w:pPr>
      <w:r w:rsidRPr="0081082A">
        <w:rPr>
          <w:rFonts w:ascii="Times New Roman" w:hAnsi="Times New Roman"/>
          <w:szCs w:val="24"/>
          <w:lang w:val="sr-Cyrl-RS"/>
        </w:rPr>
        <w:t xml:space="preserve">РСЈП, као што је наведено под мером - Унапређење средњорочног планирања (посебан циљ 1) овог ПРУЈФ, наставиће у наредном периоду са пружањем помоћи обвезницима средњорочног планирања и извршиће анализу </w:t>
      </w:r>
      <w:r w:rsidRPr="0081082A">
        <w:rPr>
          <w:rFonts w:ascii="Times New Roman" w:hAnsi="Times New Roman"/>
          <w:lang w:val="sr-Cyrl-RS"/>
        </w:rPr>
        <w:t>степена усаглашености средњорочних планова са постојећим документима јавних политика, што ће омогућити напредак у повезивању стратешких и организационих циљева. Такође, у оквиру истог посебног циља, мера - Унапређење програмског буџета, планирано је да се изврши анализа програмских елемената са фокусом на постојећој вези докумената јавних политика са буџетским средствима.</w:t>
      </w:r>
    </w:p>
    <w:p w:rsidR="001B6DE8" w:rsidRPr="0081082A" w:rsidRDefault="001B6DE8" w:rsidP="001B6DE8">
      <w:pPr>
        <w:pStyle w:val="Heading3"/>
        <w:spacing w:before="100" w:line="240" w:lineRule="auto"/>
        <w:rPr>
          <w:b/>
          <w:bCs/>
          <w:iCs/>
          <w:lang w:val="sr-Cyrl-RS"/>
        </w:rPr>
      </w:pPr>
      <w:bookmarkStart w:id="36" w:name="_Toc69727779"/>
      <w:r w:rsidRPr="0081082A">
        <w:rPr>
          <w:lang w:val="sr-Cyrl-RS"/>
        </w:rPr>
        <w:t>Оперативно планирање које повезује оперативне циљеве са ресурсима</w:t>
      </w:r>
      <w:bookmarkEnd w:id="36"/>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Вишегодишњим постојањем и унапређивањем програмског буџета</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планског система који је недавно заокружен регулативом</w:t>
      </w:r>
      <w:r w:rsidR="00847136"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 xml:space="preserve">његова примена је у пуном замаху, </w:t>
      </w:r>
      <w:r w:rsidR="00847136" w:rsidRPr="0081082A">
        <w:rPr>
          <w:rFonts w:ascii="Times New Roman" w:hAnsi="Times New Roman" w:cs="Times New Roman"/>
          <w:sz w:val="24"/>
          <w:szCs w:val="24"/>
          <w:lang w:val="sr-Cyrl-RS"/>
        </w:rPr>
        <w:t>a</w:t>
      </w:r>
      <w:r w:rsidRPr="0081082A">
        <w:rPr>
          <w:rFonts w:ascii="Times New Roman" w:hAnsi="Times New Roman" w:cs="Times New Roman"/>
          <w:sz w:val="24"/>
          <w:szCs w:val="24"/>
          <w:lang w:val="sr-Cyrl-RS"/>
        </w:rPr>
        <w:t xml:space="preserve"> постигнути су значајни резултати. У наредном периоду се очекују додатна побољшања у оквиру програмског буџета</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у области планског система и његово потпуно усаглашавање са прописима који га дефинишу. Као одговор на наводе из извештаја о Србији за 2020. годину, даље ће се радити на унапређењу капацитета за економско планирање и међуинституционалну координацију, као и буџетирање. Детаљно о планираним мерама видети у оквиру посебног циља 1 ПРУЈФ</w:t>
      </w:r>
      <w:r w:rsidR="00847136"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 xml:space="preserve"> </w:t>
      </w:r>
      <w:r w:rsidRPr="0081082A">
        <w:rPr>
          <w:rFonts w:ascii="Times New Roman" w:eastAsia="Times New Roman" w:hAnsi="Times New Roman"/>
          <w:sz w:val="24"/>
          <w:szCs w:val="24"/>
          <w:lang w:val="sr-Cyrl-RS"/>
        </w:rPr>
        <w:t>Унапређени капацитети за буџетско планирање и управљање јавним инвестицијама.</w:t>
      </w:r>
    </w:p>
    <w:p w:rsidR="001B6DE8" w:rsidRPr="0081082A" w:rsidRDefault="001B6DE8" w:rsidP="001B6DE8">
      <w:pPr>
        <w:pStyle w:val="Heading3"/>
        <w:spacing w:before="100" w:line="240" w:lineRule="auto"/>
        <w:rPr>
          <w:lang w:val="sr-Cyrl-RS"/>
        </w:rPr>
      </w:pPr>
      <w:bookmarkStart w:id="37" w:name="_Toc69727780"/>
      <w:r w:rsidRPr="0081082A">
        <w:rPr>
          <w:lang w:val="sr-Cyrl-RS"/>
        </w:rPr>
        <w:t>Децентрализована управљачка одговорност и делегирање овлашћења</w:t>
      </w:r>
      <w:bookmarkEnd w:id="37"/>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Посебан фокус биће стављен на примену принципа и концепта управљачке одговорности руководилаца јавног сектора, а пре свега кроз даље увођење у културу управљања јавног сектора, обуку руководилаца и запослених, изградњу система за управљање учинком, делегирање, и координацију са активностима СРЈУ 2021-2030 у оквиру стуба Одговорност и транспарентност, односно мерама </w:t>
      </w:r>
      <w:r w:rsidRPr="0081082A">
        <w:rPr>
          <w:rFonts w:ascii="Times New Roman" w:hAnsi="Times New Roman" w:cs="Times New Roman"/>
          <w:i/>
          <w:sz w:val="24"/>
          <w:szCs w:val="24"/>
          <w:lang w:val="sr-Cyrl-RS"/>
        </w:rPr>
        <w:t>Успостављање системских решења за управљачку одговорност и децентрализацију власти у органима јавне управе (повећање аутономије) и Унапређење вертикалног и хоризонталног система надзора и праћења рада у јавној управи (успостављен механизам за управљање учинком органа јавне управе)</w:t>
      </w:r>
      <w:r w:rsidRPr="0081082A">
        <w:rPr>
          <w:rFonts w:ascii="Times New Roman" w:hAnsi="Times New Roman" w:cs="Times New Roman"/>
          <w:sz w:val="24"/>
          <w:szCs w:val="24"/>
          <w:lang w:val="sr-Cyrl-RS"/>
        </w:rPr>
        <w:t xml:space="preserve">, којима је ова свеобухватна тема превасходно третирана. </w:t>
      </w:r>
    </w:p>
    <w:p w:rsidR="001B6DE8" w:rsidRPr="0081082A" w:rsidRDefault="001B6DE8" w:rsidP="001B6DE8">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С обзиром да су уочена различита тумачења правног оквира по питању могућности преноса овлашћења који је омогућен у оквиру Закона о буџетском систему и Закона о јавним набавкама у оквиру министарстава, још једном је потребно размотрит</w:t>
      </w:r>
      <w:r w:rsidR="00DA3862" w:rsidRPr="0081082A">
        <w:rPr>
          <w:rFonts w:ascii="Times New Roman" w:hAnsi="Times New Roman" w:cs="Times New Roman"/>
          <w:bCs/>
          <w:sz w:val="24"/>
          <w:szCs w:val="24"/>
          <w:lang w:val="sr-Cyrl-RS"/>
        </w:rPr>
        <w:t>и</w:t>
      </w:r>
      <w:r w:rsidRPr="0081082A">
        <w:rPr>
          <w:rFonts w:ascii="Times New Roman" w:hAnsi="Times New Roman" w:cs="Times New Roman"/>
          <w:bCs/>
          <w:sz w:val="24"/>
          <w:szCs w:val="24"/>
          <w:lang w:val="sr-Cyrl-RS"/>
        </w:rPr>
        <w:t xml:space="preserve"> потребу да у овом смислу он буде прецизнији те су предвиђене активности у оквиру мере посебног циља Стратегије РЈУ: (мера 4.1.1) која је усмерена на конципирање системских решења </w:t>
      </w:r>
      <w:r w:rsidRPr="0081082A">
        <w:rPr>
          <w:rFonts w:ascii="Times New Roman" w:hAnsi="Times New Roman" w:cs="Times New Roman"/>
          <w:bCs/>
          <w:i/>
          <w:sz w:val="24"/>
          <w:szCs w:val="24"/>
          <w:lang w:val="sr-Cyrl-RS"/>
        </w:rPr>
        <w:t>Одговорност и транспарентност</w:t>
      </w:r>
      <w:r w:rsidRPr="0081082A">
        <w:rPr>
          <w:rFonts w:ascii="Times New Roman" w:hAnsi="Times New Roman" w:cs="Times New Roman"/>
          <w:bCs/>
          <w:sz w:val="24"/>
          <w:szCs w:val="24"/>
          <w:lang w:val="sr-Cyrl-RS"/>
        </w:rPr>
        <w:t xml:space="preserve"> која треба да унапреде управљачку одговорност. Ова мера обухвата детаљно мапирање, измену регулаторног оквира и подршку њеној импл</w:t>
      </w:r>
      <w:r w:rsidR="00880C18">
        <w:rPr>
          <w:rFonts w:ascii="Times New Roman" w:hAnsi="Times New Roman" w:cs="Times New Roman"/>
          <w:bCs/>
          <w:sz w:val="24"/>
          <w:szCs w:val="24"/>
          <w:lang w:val="sr-Cyrl-RS"/>
        </w:rPr>
        <w:t>е</w:t>
      </w:r>
      <w:r w:rsidRPr="0081082A">
        <w:rPr>
          <w:rFonts w:ascii="Times New Roman" w:hAnsi="Times New Roman" w:cs="Times New Roman"/>
          <w:bCs/>
          <w:sz w:val="24"/>
          <w:szCs w:val="24"/>
          <w:lang w:val="sr-Cyrl-RS"/>
        </w:rPr>
        <w:t>ментацији.</w:t>
      </w:r>
    </w:p>
    <w:p w:rsidR="001B6DE8" w:rsidRPr="0081082A" w:rsidRDefault="001B6DE8" w:rsidP="001B6DE8">
      <w:pPr>
        <w:spacing w:after="0" w:line="240" w:lineRule="auto"/>
        <w:ind w:firstLine="708"/>
        <w:jc w:val="both"/>
        <w:rPr>
          <w:rFonts w:ascii="Times New Roman" w:hAnsi="Times New Roman" w:cs="Times New Roman"/>
          <w:bCs/>
          <w:sz w:val="24"/>
          <w:szCs w:val="24"/>
          <w:lang w:val="sr-Cyrl-RS"/>
        </w:rPr>
      </w:pPr>
      <w:r w:rsidRPr="0081082A">
        <w:rPr>
          <w:rFonts w:ascii="Times New Roman" w:hAnsi="Times New Roman" w:cs="Times New Roman"/>
          <w:bCs/>
          <w:sz w:val="24"/>
          <w:szCs w:val="24"/>
          <w:lang w:val="sr-Cyrl-RS"/>
        </w:rPr>
        <w:t xml:space="preserve">У контексту управљања учинком, иако је констатовано да велики број његових елемената постоји у примени, потребно је хармонизовати их, заокружити и у потпуности ставити у погон. У том смислу је у оквиру Стратегије РЈУ у оквиру посебног циља Одговорност и транспарентност формулисана посебна мера усмерена на вертикално и хоризонтално унапређење управљачке одговорности (мера 4.1.2). Њом су предвиђене измене регулаторно-методолошког оквира, пилотирање већег опсега од </w:t>
      </w:r>
      <w:r w:rsidRPr="0081082A">
        <w:rPr>
          <w:rFonts w:ascii="Times New Roman" w:hAnsi="Times New Roman" w:cs="Times New Roman"/>
          <w:bCs/>
          <w:sz w:val="24"/>
          <w:szCs w:val="24"/>
          <w:lang w:val="sr-Cyrl-RS"/>
        </w:rPr>
        <w:lastRenderedPageBreak/>
        <w:t>онога које је обављено у оквиру пилот вежбе Твининг пројекта</w:t>
      </w:r>
      <w:r w:rsidR="006069E9" w:rsidRPr="0081082A">
        <w:rPr>
          <w:rFonts w:ascii="Times New Roman" w:hAnsi="Times New Roman" w:cs="Times New Roman"/>
          <w:bCs/>
          <w:sz w:val="24"/>
          <w:szCs w:val="24"/>
          <w:lang w:val="sr-Cyrl-RS"/>
        </w:rPr>
        <w:t>,</w:t>
      </w:r>
      <w:r w:rsidRPr="0081082A">
        <w:rPr>
          <w:rFonts w:ascii="Times New Roman" w:hAnsi="Times New Roman" w:cs="Times New Roman"/>
          <w:bCs/>
          <w:sz w:val="24"/>
          <w:szCs w:val="24"/>
          <w:lang w:val="sr-Cyrl-RS"/>
        </w:rPr>
        <w:t xml:space="preserve"> као и свеобухватна подршка имплементацији.</w:t>
      </w:r>
    </w:p>
    <w:p w:rsidR="001B6DE8" w:rsidRPr="0081082A" w:rsidRDefault="001B6DE8" w:rsidP="001B6DE8">
      <w:pPr>
        <w:spacing w:after="0" w:line="240" w:lineRule="auto"/>
        <w:ind w:firstLine="708"/>
        <w:jc w:val="both"/>
        <w:rPr>
          <w:rFonts w:ascii="Times New Roman" w:hAnsi="Times New Roman"/>
          <w:sz w:val="24"/>
          <w:szCs w:val="24"/>
          <w:lang w:val="sr-Cyrl-RS"/>
        </w:rPr>
      </w:pPr>
      <w:r w:rsidRPr="0081082A">
        <w:rPr>
          <w:rFonts w:ascii="Times New Roman" w:hAnsi="Times New Roman" w:cs="Times New Roman"/>
          <w:sz w:val="24"/>
          <w:szCs w:val="24"/>
          <w:lang w:val="sr-Cyrl-RS"/>
        </w:rPr>
        <w:t xml:space="preserve">Осим регулаторних унапређења, планиране су активности </w:t>
      </w:r>
      <w:r w:rsidR="00DA3862" w:rsidRPr="0081082A">
        <w:rPr>
          <w:rFonts w:ascii="Times New Roman" w:hAnsi="Times New Roman" w:cs="Times New Roman"/>
          <w:sz w:val="24"/>
          <w:szCs w:val="24"/>
          <w:lang w:val="sr-Cyrl-RS"/>
        </w:rPr>
        <w:t xml:space="preserve">за </w:t>
      </w:r>
      <w:r w:rsidRPr="0081082A">
        <w:rPr>
          <w:rFonts w:ascii="Times New Roman" w:hAnsi="Times New Roman" w:cs="Times New Roman"/>
          <w:sz w:val="24"/>
          <w:szCs w:val="24"/>
          <w:lang w:val="sr-Cyrl-RS"/>
        </w:rPr>
        <w:t xml:space="preserve">спровођење модула обуке на тему Примена принципа управљачке одговорности  за руководиоце. Да би се побољшало извештавање о учинку планирана је израда Смерница са јединственом методологијом за управљање  учинком - контролу рада, надзор и интерно и екстерно извештавање о резултатима рада из надлежности органа јавне управе на основу научених лекција из спроведеног пилот пројекта из претходне активности, као и прописивање обавезних елемената годишњих оперативних планова. Као веома важно, потребно је и у овом ПРУЈФ истаћи да </w:t>
      </w:r>
      <w:r w:rsidR="00DA3862" w:rsidRPr="0081082A">
        <w:rPr>
          <w:rFonts w:ascii="Times New Roman" w:hAnsi="Times New Roman" w:cs="Times New Roman"/>
          <w:sz w:val="24"/>
          <w:szCs w:val="24"/>
          <w:lang w:val="sr-Cyrl-RS"/>
        </w:rPr>
        <w:t xml:space="preserve">је </w:t>
      </w:r>
      <w:r w:rsidRPr="0081082A">
        <w:rPr>
          <w:rFonts w:ascii="Times New Roman" w:hAnsi="Times New Roman" w:cs="Times New Roman"/>
          <w:sz w:val="24"/>
          <w:szCs w:val="24"/>
          <w:lang w:val="sr-Cyrl-RS"/>
        </w:rPr>
        <w:t xml:space="preserve">један од првих корака ка повезивању свих претходно наведених елемената </w:t>
      </w:r>
      <w:r w:rsidRPr="0081082A">
        <w:rPr>
          <w:rFonts w:ascii="Times New Roman" w:hAnsi="Times New Roman" w:cs="Times New Roman"/>
          <w:i/>
          <w:iCs/>
          <w:sz w:val="24"/>
          <w:szCs w:val="24"/>
          <w:lang w:val="sr-Cyrl-RS"/>
        </w:rPr>
        <w:t>COSO</w:t>
      </w:r>
      <w:r w:rsidRPr="0081082A">
        <w:rPr>
          <w:rFonts w:ascii="Times New Roman" w:hAnsi="Times New Roman" w:cs="Times New Roman"/>
          <w:sz w:val="24"/>
          <w:szCs w:val="24"/>
          <w:lang w:val="sr-Cyrl-RS"/>
        </w:rPr>
        <w:t xml:space="preserve"> оквира и планираних активности стварање услова за постојање </w:t>
      </w:r>
      <w:r w:rsidRPr="0081082A">
        <w:rPr>
          <w:rFonts w:ascii="Times New Roman" w:hAnsi="Times New Roman"/>
          <w:sz w:val="24"/>
          <w:szCs w:val="24"/>
          <w:lang w:val="sr-Cyrl-RS"/>
        </w:rPr>
        <w:t>јединица за анализу (Аналитичких јединица) и планирање на нивоу корисника јавних средстава и за њихово даље јачање за потребе планирања политика и буџета</w:t>
      </w:r>
      <w:r w:rsidRPr="0081082A">
        <w:rPr>
          <w:rFonts w:ascii="Times New Roman" w:hAnsi="Times New Roman"/>
          <w:sz w:val="24"/>
          <w:szCs w:val="24"/>
          <w:vertAlign w:val="superscript"/>
          <w:lang w:val="sr-Cyrl-RS"/>
        </w:rPr>
        <w:footnoteReference w:id="146"/>
      </w:r>
      <w:r w:rsidRPr="0081082A">
        <w:rPr>
          <w:rFonts w:ascii="Times New Roman" w:hAnsi="Times New Roman"/>
          <w:sz w:val="24"/>
          <w:szCs w:val="24"/>
          <w:lang w:val="sr-Cyrl-RS"/>
        </w:rPr>
        <w:t>, као и за координацију финансијског управљања и контроле на нивоу институција.</w:t>
      </w:r>
      <w:r w:rsidRPr="0081082A">
        <w:rPr>
          <w:rFonts w:ascii="Times New Roman" w:hAnsi="Times New Roman" w:cs="Times New Roman"/>
          <w:sz w:val="24"/>
          <w:szCs w:val="24"/>
          <w:lang w:val="sr-Cyrl-RS"/>
        </w:rPr>
        <w:t xml:space="preserve"> </w:t>
      </w:r>
      <w:r w:rsidRPr="0081082A">
        <w:rPr>
          <w:rFonts w:ascii="Times New Roman" w:hAnsi="Times New Roman"/>
          <w:sz w:val="24"/>
          <w:szCs w:val="24"/>
          <w:lang w:val="sr-Cyrl-RS"/>
        </w:rPr>
        <w:t>Ово и из разлога што се са увођењем Аналитичких јединица које су подршка планском систему и управљачкој функцији, касни.</w:t>
      </w:r>
    </w:p>
    <w:p w:rsidR="001B6DE8" w:rsidRPr="0081082A" w:rsidRDefault="001B6DE8" w:rsidP="001B6DE8">
      <w:pPr>
        <w:pStyle w:val="Heading3"/>
        <w:spacing w:before="100" w:line="240" w:lineRule="auto"/>
        <w:rPr>
          <w:lang w:val="sr-Cyrl-RS"/>
        </w:rPr>
      </w:pPr>
      <w:bookmarkStart w:id="38" w:name="_Toc69727781"/>
      <w:r w:rsidRPr="0081082A">
        <w:rPr>
          <w:lang w:val="sr-Cyrl-RS"/>
        </w:rPr>
        <w:t>Контролно окружење</w:t>
      </w:r>
      <w:bookmarkEnd w:id="38"/>
    </w:p>
    <w:p w:rsidR="001B6DE8" w:rsidRPr="0081082A" w:rsidRDefault="001B6DE8" w:rsidP="001B6DE8">
      <w:pPr>
        <w:spacing w:after="0" w:line="240" w:lineRule="auto"/>
        <w:ind w:firstLine="708"/>
        <w:jc w:val="both"/>
        <w:rPr>
          <w:rFonts w:ascii="Times New Roman" w:eastAsia="Times New Roman" w:hAnsi="Times New Roman"/>
          <w:sz w:val="24"/>
          <w:szCs w:val="24"/>
          <w:lang w:val="sr-Cyrl-RS" w:eastAsia="sr-Latn-RS"/>
        </w:rPr>
      </w:pPr>
      <w:r w:rsidRPr="0081082A">
        <w:rPr>
          <w:rFonts w:ascii="Times New Roman" w:eastAsia="Times New Roman" w:hAnsi="Times New Roman"/>
          <w:sz w:val="24"/>
          <w:szCs w:val="24"/>
          <w:lang w:val="sr-Cyrl-RS" w:eastAsia="sr-Latn-RS"/>
        </w:rPr>
        <w:t>За унапређење успостављања поузданог контролног окружења, као што је већ напред наведено, предузимаће се активности, како би се гарантовало постојање оптималног оквира који ће омогућити корисницима јавних средстава да извршавају своје одобрене буџете и остала средства која су им додељена на ефикасан и ефективан начин и у складу са принципима поузданог финансијског управљања.</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Етички стандарди ће бити обухваћени посебним циљем Одговорност и транспарентност у оквиру Стратегије РЈУ. Даљи развој управљања људским ресурсима је такође приказан у оквиру посебног циља Стратегије РЈУ. Очекује се и дефинисање регулаторног оквира у контексту ИПА 3. </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 У сфери ИФКЈ у оквиру мере 4.1 планирано је разматрање постојећег правног оквира који се односи на систем ФУК и ИР. Планиране измене ће се односити </w:t>
      </w:r>
      <w:r w:rsidR="00DA3862" w:rsidRPr="0081082A">
        <w:rPr>
          <w:rFonts w:ascii="Times New Roman" w:hAnsi="Times New Roman" w:cs="Times New Roman"/>
          <w:sz w:val="24"/>
          <w:szCs w:val="24"/>
          <w:lang w:val="sr-Cyrl-RS"/>
        </w:rPr>
        <w:t xml:space="preserve">на </w:t>
      </w:r>
      <w:r w:rsidRPr="0081082A">
        <w:rPr>
          <w:rFonts w:ascii="Times New Roman" w:hAnsi="Times New Roman" w:cs="Times New Roman"/>
          <w:sz w:val="24"/>
          <w:szCs w:val="24"/>
          <w:lang w:val="sr-Cyrl-RS"/>
        </w:rPr>
        <w:t>дефинисање приоритетне групе институција које треба да чине окосницу система извештавања</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потребна побољшања мањег обима. </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Суочавајући се са великим обртом запослених у иначе великој групи која је прошла обуке из области ИФКЈ и исказаним великим потребама за обуком из ових области али и ограниченим капацитетима ЦЈХ за држање обука, предвиђена је  </w:t>
      </w:r>
      <w:r w:rsidRPr="0081082A">
        <w:rPr>
          <w:rFonts w:ascii="Times New Roman" w:hAnsi="Times New Roman" w:cs="Times New Roman"/>
          <w:b/>
          <w:sz w:val="24"/>
          <w:szCs w:val="24"/>
          <w:lang w:val="sr-Cyrl-RS"/>
        </w:rPr>
        <w:t>мера 4.4: Модернизација система обучавања из области ИФКЈ</w:t>
      </w:r>
      <w:r w:rsidRPr="0081082A">
        <w:rPr>
          <w:rFonts w:ascii="Times New Roman" w:hAnsi="Times New Roman" w:cs="Times New Roman"/>
          <w:sz w:val="24"/>
          <w:szCs w:val="24"/>
          <w:lang w:val="sr-Cyrl-RS"/>
        </w:rPr>
        <w:t xml:space="preserve"> која ће се огледати у процесу пребацивања организације обука из области ИФКЈ на НАЈУ, која захтева спровођење претходних активности у виду анализа и идентификацију препрека за спровођење које постоје у правном оквиру, али и израђивањем имплементационог плана који може укључивати препоруке за измену прописа, измену и/или израду релевантних материјала и процедура која ће тај процес, у којем заједно учествују ЦЈХ и НАЈУ, подржати. Планирано је  унапређење процеса сертификације интерних ре</w:t>
      </w:r>
      <w:r w:rsidR="003372FE">
        <w:rPr>
          <w:rFonts w:ascii="Times New Roman" w:hAnsi="Times New Roman" w:cs="Times New Roman"/>
          <w:sz w:val="24"/>
          <w:szCs w:val="24"/>
          <w:lang w:val="sr-Cyrl-RS"/>
        </w:rPr>
        <w:t>визора у циљу веће ефикасности.</w:t>
      </w:r>
      <w:r w:rsidRPr="0081082A">
        <w:rPr>
          <w:rFonts w:ascii="Times New Roman" w:hAnsi="Times New Roman" w:cs="Times New Roman"/>
          <w:sz w:val="24"/>
          <w:szCs w:val="24"/>
          <w:lang w:val="sr-Cyrl-RS"/>
        </w:rPr>
        <w:t xml:space="preserve"> Домет обука ће се повећати планиран</w:t>
      </w:r>
      <w:r w:rsidR="00DA3862" w:rsidRPr="0081082A">
        <w:rPr>
          <w:rFonts w:ascii="Times New Roman" w:hAnsi="Times New Roman" w:cs="Times New Roman"/>
          <w:sz w:val="24"/>
          <w:szCs w:val="24"/>
          <w:lang w:val="sr-Cyrl-RS"/>
        </w:rPr>
        <w:t>о</w:t>
      </w:r>
      <w:r w:rsidRPr="0081082A">
        <w:rPr>
          <w:rFonts w:ascii="Times New Roman" w:hAnsi="Times New Roman" w:cs="Times New Roman"/>
          <w:sz w:val="24"/>
          <w:szCs w:val="24"/>
          <w:lang w:val="sr-Cyrl-RS"/>
        </w:rPr>
        <w:t>м даљом модернизациј</w:t>
      </w:r>
      <w:r w:rsidR="00DA3862" w:rsidRPr="0081082A">
        <w:rPr>
          <w:rFonts w:ascii="Times New Roman" w:hAnsi="Times New Roman" w:cs="Times New Roman"/>
          <w:sz w:val="24"/>
          <w:szCs w:val="24"/>
          <w:lang w:val="sr-Cyrl-RS"/>
        </w:rPr>
        <w:t>ом</w:t>
      </w:r>
      <w:r w:rsidRPr="0081082A">
        <w:rPr>
          <w:rFonts w:ascii="Times New Roman" w:hAnsi="Times New Roman" w:cs="Times New Roman"/>
          <w:sz w:val="24"/>
          <w:szCs w:val="24"/>
          <w:lang w:val="sr-Cyrl-RS"/>
        </w:rPr>
        <w:t xml:space="preserve"> обука из области интерних контрола и њихов</w:t>
      </w:r>
      <w:r w:rsidR="00DA3862" w:rsidRPr="0081082A">
        <w:rPr>
          <w:rFonts w:ascii="Times New Roman" w:hAnsi="Times New Roman" w:cs="Times New Roman"/>
          <w:sz w:val="24"/>
          <w:szCs w:val="24"/>
          <w:lang w:val="sr-Cyrl-RS"/>
        </w:rPr>
        <w:t>им</w:t>
      </w:r>
      <w:r w:rsidRPr="0081082A">
        <w:rPr>
          <w:rFonts w:ascii="Times New Roman" w:hAnsi="Times New Roman" w:cs="Times New Roman"/>
          <w:sz w:val="24"/>
          <w:szCs w:val="24"/>
          <w:lang w:val="sr-Cyrl-RS"/>
        </w:rPr>
        <w:t xml:space="preserve"> прилагођавање</w:t>
      </w:r>
      <w:r w:rsidR="00DA3862" w:rsidRPr="0081082A">
        <w:rPr>
          <w:rFonts w:ascii="Times New Roman" w:hAnsi="Times New Roman" w:cs="Times New Roman"/>
          <w:sz w:val="24"/>
          <w:szCs w:val="24"/>
          <w:lang w:val="sr-Cyrl-RS"/>
        </w:rPr>
        <w:t>м</w:t>
      </w:r>
      <w:r w:rsidRPr="0081082A">
        <w:rPr>
          <w:rFonts w:ascii="Times New Roman" w:hAnsi="Times New Roman" w:cs="Times New Roman"/>
          <w:sz w:val="24"/>
          <w:szCs w:val="24"/>
          <w:lang w:val="sr-Cyrl-RS"/>
        </w:rPr>
        <w:t xml:space="preserve"> на модел електронског учења на даљину. </w:t>
      </w:r>
      <w:r w:rsidRPr="0081082A">
        <w:rPr>
          <w:rFonts w:ascii="Times New Roman" w:eastAsia="Times New Roman" w:hAnsi="Times New Roman"/>
          <w:sz w:val="24"/>
          <w:szCs w:val="24"/>
          <w:lang w:val="sr-Cyrl-RS" w:eastAsia="sr-Latn-RS"/>
        </w:rPr>
        <w:tab/>
      </w:r>
    </w:p>
    <w:p w:rsidR="001B6DE8" w:rsidRPr="0081082A" w:rsidRDefault="001B6DE8" w:rsidP="001B6DE8">
      <w:pPr>
        <w:pStyle w:val="Heading3"/>
        <w:spacing w:before="100" w:line="240" w:lineRule="auto"/>
        <w:rPr>
          <w:rFonts w:eastAsia="Times New Roman"/>
          <w:lang w:val="sr-Cyrl-RS"/>
        </w:rPr>
      </w:pPr>
      <w:bookmarkStart w:id="39" w:name="_Toc69727782"/>
      <w:r w:rsidRPr="0081082A">
        <w:rPr>
          <w:rFonts w:eastAsia="Times New Roman"/>
          <w:lang w:val="sr-Cyrl-RS"/>
        </w:rPr>
        <w:lastRenderedPageBreak/>
        <w:t>Процена ризика</w:t>
      </w:r>
      <w:bookmarkEnd w:id="39"/>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 xml:space="preserve">Вишегодишње праћење стања у ИФКЈ показује да је област управљања ризицима потребно додатно унапређивати. Од свих елемената </w:t>
      </w:r>
      <w:r w:rsidR="003138E9" w:rsidRPr="0081082A">
        <w:rPr>
          <w:rFonts w:ascii="Times New Roman" w:hAnsi="Times New Roman" w:cs="Times New Roman"/>
          <w:i/>
          <w:iCs/>
          <w:sz w:val="24"/>
          <w:szCs w:val="24"/>
          <w:lang w:val="sr-Cyrl-RS"/>
        </w:rPr>
        <w:t>COSO</w:t>
      </w:r>
      <w:r w:rsidRPr="0081082A">
        <w:rPr>
          <w:rFonts w:ascii="Times New Roman" w:hAnsi="Times New Roman"/>
          <w:sz w:val="24"/>
          <w:szCs w:val="24"/>
          <w:lang w:val="sr-Cyrl-RS"/>
        </w:rPr>
        <w:t xml:space="preserve"> оквира управо ова област представља највећу новин</w:t>
      </w:r>
      <w:r w:rsidR="003138E9" w:rsidRPr="0081082A">
        <w:rPr>
          <w:rFonts w:ascii="Times New Roman" w:hAnsi="Times New Roman"/>
          <w:sz w:val="24"/>
          <w:szCs w:val="24"/>
          <w:lang w:val="sr-Cyrl-RS"/>
        </w:rPr>
        <w:t>у</w:t>
      </w:r>
      <w:r w:rsidRPr="0081082A">
        <w:rPr>
          <w:rFonts w:ascii="Times New Roman" w:hAnsi="Times New Roman"/>
          <w:sz w:val="24"/>
          <w:szCs w:val="24"/>
          <w:lang w:val="sr-Cyrl-RS"/>
        </w:rPr>
        <w:t xml:space="preserve"> у управљању у оквиру КЈС. Активности предузете у оквиру претходне ИФКЈ стратегије које су резултирале припремом посебних методолошких алата из ове области и додатним појачавањем обука</w:t>
      </w:r>
      <w:r w:rsidR="003138E9" w:rsidRPr="0081082A">
        <w:rPr>
          <w:rFonts w:ascii="Times New Roman" w:hAnsi="Times New Roman"/>
          <w:sz w:val="24"/>
          <w:szCs w:val="24"/>
          <w:lang w:val="sr-Cyrl-RS"/>
        </w:rPr>
        <w:t>,</w:t>
      </w:r>
      <w:r w:rsidRPr="0081082A">
        <w:rPr>
          <w:rFonts w:ascii="Times New Roman" w:hAnsi="Times New Roman"/>
          <w:sz w:val="24"/>
          <w:szCs w:val="24"/>
          <w:lang w:val="sr-Cyrl-RS"/>
        </w:rPr>
        <w:t xml:space="preserve"> још увек нису имале времена да заживе на прави начин. Додатно, кроз директну комуникацију са КЈС и сарадњу са донаторским пројектима је утврђено да је директна техничка подршка КЈС у овим пословима често неопходна да би се превазишао проблем са капацитетима који кроз годишње извештавање КЈС исказују. У оквиру </w:t>
      </w:r>
      <w:r w:rsidRPr="0081082A">
        <w:rPr>
          <w:rFonts w:ascii="Times New Roman" w:hAnsi="Times New Roman"/>
          <w:b/>
          <w:sz w:val="24"/>
          <w:szCs w:val="24"/>
          <w:lang w:val="sr-Cyrl-RS"/>
        </w:rPr>
        <w:t>мере 4.1: Унапређен систем ФУК-а у институцијама јавног сектора</w:t>
      </w:r>
      <w:r w:rsidRPr="0081082A">
        <w:rPr>
          <w:rFonts w:ascii="Times New Roman" w:hAnsi="Times New Roman"/>
          <w:sz w:val="24"/>
          <w:szCs w:val="24"/>
          <w:lang w:val="sr-Cyrl-RS"/>
        </w:rPr>
        <w:t xml:space="preserve"> ће бити размотрен постојећи регулаторно-методолошки оквир и у домену управљања ризицима са могућим мерама за његово унапређење. У оквиру неколико активности је планирана подршка приоритетним КЈС која ће обухватити и подршку на пољу управљања ризицима. Биће припремљени методолошки алати за поједине групе индиректних корисника неколико одабраних ресора на централном нивоу</w:t>
      </w:r>
      <w:r w:rsidR="003138E9" w:rsidRPr="0081082A">
        <w:rPr>
          <w:rFonts w:ascii="Times New Roman" w:hAnsi="Times New Roman"/>
          <w:sz w:val="24"/>
          <w:szCs w:val="24"/>
          <w:lang w:val="sr-Cyrl-RS"/>
        </w:rPr>
        <w:t>,</w:t>
      </w:r>
      <w:r w:rsidRPr="0081082A">
        <w:rPr>
          <w:rFonts w:ascii="Times New Roman" w:hAnsi="Times New Roman"/>
          <w:sz w:val="24"/>
          <w:szCs w:val="24"/>
          <w:lang w:val="sr-Cyrl-RS"/>
        </w:rPr>
        <w:t xml:space="preserve"> укључујући и здравствене установе</w:t>
      </w:r>
      <w:r w:rsidR="006069E9" w:rsidRPr="0081082A">
        <w:rPr>
          <w:rFonts w:ascii="Times New Roman" w:hAnsi="Times New Roman"/>
          <w:sz w:val="24"/>
          <w:szCs w:val="24"/>
          <w:lang w:val="sr-Cyrl-RS"/>
        </w:rPr>
        <w:t>,</w:t>
      </w:r>
      <w:r w:rsidRPr="0081082A">
        <w:rPr>
          <w:rFonts w:ascii="Times New Roman" w:hAnsi="Times New Roman"/>
          <w:sz w:val="24"/>
          <w:szCs w:val="24"/>
          <w:lang w:val="sr-Cyrl-RS"/>
        </w:rPr>
        <w:t xml:space="preserve"> као и индиректне кориснике на локалу. </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Поред ЦЈХ која ће спроводити даље мере у циљу поб</w:t>
      </w:r>
      <w:r w:rsidR="00860230">
        <w:rPr>
          <w:rFonts w:ascii="Times New Roman" w:hAnsi="Times New Roman"/>
          <w:sz w:val="24"/>
          <w:szCs w:val="24"/>
          <w:lang w:val="sr-Cyrl-RS"/>
        </w:rPr>
        <w:t>о</w:t>
      </w:r>
      <w:r w:rsidRPr="0081082A">
        <w:rPr>
          <w:rFonts w:ascii="Times New Roman" w:hAnsi="Times New Roman"/>
          <w:sz w:val="24"/>
          <w:szCs w:val="24"/>
          <w:lang w:val="sr-Cyrl-RS"/>
        </w:rPr>
        <w:t xml:space="preserve">љшања резултата у управљању ризицима код КЈС, </w:t>
      </w:r>
      <w:r w:rsidR="00600253" w:rsidRPr="0081082A">
        <w:rPr>
          <w:rFonts w:ascii="Times New Roman" w:hAnsi="Times New Roman"/>
          <w:sz w:val="24"/>
          <w:szCs w:val="24"/>
          <w:lang w:val="sr-Cyrl-RS"/>
        </w:rPr>
        <w:t>ПУРС</w:t>
      </w:r>
      <w:r w:rsidR="009877DC">
        <w:rPr>
          <w:rFonts w:ascii="Times New Roman" w:hAnsi="Times New Roman"/>
          <w:sz w:val="24"/>
          <w:szCs w:val="24"/>
          <w:lang w:val="sr-Cyrl-RS"/>
        </w:rPr>
        <w:t>-</w:t>
      </w:r>
      <w:r w:rsidR="00D64A6A" w:rsidRPr="0081082A">
        <w:rPr>
          <w:rFonts w:ascii="Times New Roman" w:hAnsi="Times New Roman"/>
          <w:sz w:val="24"/>
          <w:szCs w:val="24"/>
          <w:lang w:val="sr-Cyrl-RS"/>
        </w:rPr>
        <w:t>у даљему</w:t>
      </w:r>
      <w:r w:rsidRPr="0081082A">
        <w:rPr>
          <w:rFonts w:ascii="Times New Roman" w:hAnsi="Times New Roman"/>
          <w:sz w:val="24"/>
          <w:szCs w:val="24"/>
          <w:lang w:val="sr-Cyrl-RS"/>
        </w:rPr>
        <w:t>, Управа царин</w:t>
      </w:r>
      <w:r w:rsidR="003138E9" w:rsidRPr="0081082A">
        <w:rPr>
          <w:rFonts w:ascii="Times New Roman" w:hAnsi="Times New Roman"/>
          <w:sz w:val="24"/>
          <w:szCs w:val="24"/>
          <w:lang w:val="sr-Cyrl-RS"/>
        </w:rPr>
        <w:t>а</w:t>
      </w:r>
      <w:r w:rsidRPr="0081082A">
        <w:rPr>
          <w:rFonts w:ascii="Times New Roman" w:hAnsi="Times New Roman"/>
          <w:sz w:val="24"/>
          <w:szCs w:val="24"/>
          <w:lang w:val="sr-Cyrl-RS"/>
        </w:rPr>
        <w:t>, Управа за јавни дуг, свако са аспекта своје надлежности, како је то планирано под планираним активностима посебног циља 2 овог ПРУЈФ, спроводиће активности на побољшању и увођењу нових елемената у управљању ризицима. Министарство финансија активно</w:t>
      </w:r>
      <w:r w:rsidR="003138E9" w:rsidRPr="0081082A">
        <w:rPr>
          <w:rFonts w:ascii="Times New Roman" w:hAnsi="Times New Roman"/>
          <w:sz w:val="24"/>
          <w:szCs w:val="24"/>
          <w:lang w:val="sr-Cyrl-RS"/>
        </w:rPr>
        <w:t>,</w:t>
      </w:r>
      <w:r w:rsidRPr="0081082A">
        <w:rPr>
          <w:rFonts w:ascii="Times New Roman" w:hAnsi="Times New Roman"/>
          <w:sz w:val="24"/>
          <w:szCs w:val="24"/>
          <w:lang w:val="sr-Cyrl-RS"/>
        </w:rPr>
        <w:t xml:space="preserve"> у сарадњи са ММФ и Светском банком</w:t>
      </w:r>
      <w:r w:rsidR="003138E9" w:rsidRPr="0081082A">
        <w:rPr>
          <w:rFonts w:ascii="Times New Roman" w:hAnsi="Times New Roman"/>
          <w:sz w:val="24"/>
          <w:szCs w:val="24"/>
          <w:lang w:val="sr-Cyrl-RS"/>
        </w:rPr>
        <w:t>,</w:t>
      </w:r>
      <w:r w:rsidRPr="0081082A">
        <w:rPr>
          <w:rFonts w:ascii="Times New Roman" w:hAnsi="Times New Roman"/>
          <w:sz w:val="24"/>
          <w:szCs w:val="24"/>
          <w:lang w:val="sr-Cyrl-RS"/>
        </w:rPr>
        <w:t xml:space="preserve"> ради на успостављању методологије за праћење фискалних ризика (садржано у оквиру посебног циља 1, мера - </w:t>
      </w:r>
      <w:r w:rsidRPr="0081082A">
        <w:rPr>
          <w:rFonts w:ascii="Times New Roman" w:hAnsi="Times New Roman" w:cs="Times New Roman"/>
          <w:sz w:val="24"/>
          <w:szCs w:val="24"/>
          <w:lang w:val="sr-Cyrl-RS"/>
        </w:rPr>
        <w:t>Јачање</w:t>
      </w:r>
      <w:r w:rsidRPr="0081082A">
        <w:rPr>
          <w:rFonts w:ascii="Times New Roman" w:hAnsi="Times New Roman"/>
          <w:sz w:val="24"/>
          <w:lang w:val="sr-Cyrl-RS"/>
        </w:rPr>
        <w:t xml:space="preserve"> капацитета </w:t>
      </w:r>
      <w:r w:rsidRPr="0081082A">
        <w:rPr>
          <w:rFonts w:ascii="Times New Roman" w:hAnsi="Times New Roman" w:cs="Times New Roman"/>
          <w:sz w:val="24"/>
          <w:szCs w:val="24"/>
          <w:lang w:val="sr-Cyrl-RS"/>
        </w:rPr>
        <w:t>Сектора</w:t>
      </w:r>
      <w:r w:rsidRPr="0081082A">
        <w:rPr>
          <w:rFonts w:ascii="Times New Roman" w:hAnsi="Times New Roman"/>
          <w:sz w:val="24"/>
          <w:lang w:val="sr-Cyrl-RS"/>
        </w:rPr>
        <w:t xml:space="preserve"> за праћење фискалних ризика)</w:t>
      </w:r>
      <w:r w:rsidRPr="0081082A">
        <w:rPr>
          <w:rFonts w:ascii="Times New Roman" w:hAnsi="Times New Roman"/>
          <w:sz w:val="24"/>
          <w:szCs w:val="24"/>
          <w:lang w:val="sr-Cyrl-RS"/>
        </w:rPr>
        <w:t>. Посебна очекивања су анализе извештаја о спровођењу акционих и средњорочних планова, како би се сагледало да ли су добро препознати ризици и да ли се њима управљало адекватно.</w:t>
      </w:r>
    </w:p>
    <w:p w:rsidR="00830DA2" w:rsidRPr="0081082A" w:rsidRDefault="00830DA2" w:rsidP="001B6DE8">
      <w:pPr>
        <w:spacing w:after="0" w:line="240" w:lineRule="auto"/>
        <w:ind w:firstLine="720"/>
        <w:jc w:val="both"/>
        <w:rPr>
          <w:rFonts w:ascii="Times New Roman" w:hAnsi="Times New Roman"/>
          <w:sz w:val="24"/>
          <w:szCs w:val="24"/>
          <w:lang w:val="sr-Cyrl-RS"/>
        </w:rPr>
      </w:pPr>
    </w:p>
    <w:p w:rsidR="00830DA2" w:rsidRPr="0081082A" w:rsidRDefault="00830DA2" w:rsidP="001B6DE8">
      <w:pPr>
        <w:spacing w:after="0" w:line="240" w:lineRule="auto"/>
        <w:ind w:firstLine="720"/>
        <w:jc w:val="both"/>
        <w:rPr>
          <w:rFonts w:ascii="Times New Roman" w:hAnsi="Times New Roman"/>
          <w:sz w:val="24"/>
          <w:szCs w:val="24"/>
          <w:lang w:val="sr-Cyrl-RS"/>
        </w:rPr>
      </w:pPr>
    </w:p>
    <w:p w:rsidR="001B6DE8" w:rsidRPr="0081082A" w:rsidRDefault="001B6DE8" w:rsidP="001B6DE8">
      <w:pPr>
        <w:pStyle w:val="Heading3"/>
        <w:spacing w:before="100" w:line="240" w:lineRule="auto"/>
        <w:rPr>
          <w:rFonts w:eastAsia="Times New Roman"/>
          <w:lang w:val="sr-Cyrl-RS"/>
        </w:rPr>
      </w:pPr>
      <w:bookmarkStart w:id="40" w:name="_Toc69727783"/>
      <w:r w:rsidRPr="0081082A">
        <w:rPr>
          <w:rFonts w:eastAsia="Times New Roman"/>
          <w:lang w:val="sr-Cyrl-RS"/>
        </w:rPr>
        <w:t>Активности контроле</w:t>
      </w:r>
      <w:bookmarkEnd w:id="40"/>
    </w:p>
    <w:p w:rsidR="001B6DE8" w:rsidRPr="0081082A" w:rsidRDefault="001B6DE8" w:rsidP="001B6DE8">
      <w:pPr>
        <w:spacing w:after="0" w:line="240" w:lineRule="auto"/>
        <w:jc w:val="both"/>
        <w:rPr>
          <w:rFonts w:ascii="Times New Roman" w:hAnsi="Times New Roman"/>
          <w:sz w:val="24"/>
          <w:szCs w:val="24"/>
          <w:lang w:val="sr-Cyrl-RS"/>
        </w:rPr>
      </w:pPr>
      <w:r w:rsidRPr="0081082A">
        <w:rPr>
          <w:rFonts w:ascii="Times New Roman" w:hAnsi="Times New Roman"/>
          <w:sz w:val="24"/>
          <w:szCs w:val="24"/>
          <w:lang w:val="sr-Cyrl-RS"/>
        </w:rPr>
        <w:tab/>
        <w:t xml:space="preserve">У склопу активности Управе за трезор је успостављање јединственог информационог система за планирање, извештавање и рачуноводство корисника средстава буџета </w:t>
      </w:r>
      <w:r w:rsidR="00F641AE" w:rsidRPr="0081082A">
        <w:rPr>
          <w:rFonts w:ascii="Times New Roman" w:hAnsi="Times New Roman" w:cs="Times New Roman"/>
          <w:sz w:val="24"/>
          <w:szCs w:val="24"/>
          <w:lang w:val="sr-Cyrl-RS"/>
        </w:rPr>
        <w:t>Републике Србије</w:t>
      </w:r>
      <w:r w:rsidRPr="0081082A">
        <w:rPr>
          <w:rFonts w:ascii="Times New Roman" w:hAnsi="Times New Roman"/>
          <w:sz w:val="24"/>
          <w:szCs w:val="24"/>
          <w:lang w:val="sr-Cyrl-RS"/>
        </w:rPr>
        <w:t xml:space="preserve"> - СПИРИ, у складу</w:t>
      </w:r>
      <w:r w:rsidRPr="0081082A">
        <w:rPr>
          <w:rFonts w:ascii="Times New Roman" w:hAnsi="Times New Roman" w:cs="Times New Roman"/>
          <w:sz w:val="24"/>
          <w:szCs w:val="24"/>
          <w:lang w:val="sr-Cyrl-RS"/>
        </w:rPr>
        <w:t xml:space="preserve"> са </w:t>
      </w:r>
      <w:r w:rsidRPr="0081082A">
        <w:rPr>
          <w:rFonts w:ascii="Times New Roman" w:hAnsi="Times New Roman"/>
          <w:sz w:val="24"/>
          <w:szCs w:val="24"/>
          <w:lang w:val="sr-Cyrl-RS"/>
        </w:rPr>
        <w:t>циљем развоја и унапређења електронске управе у целом јавном сектору.</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 xml:space="preserve">У наредном периоду ће се активности контроле највише развијати у оквиру опсежне дигитализације која је у току у </w:t>
      </w:r>
      <w:r w:rsidR="00F641AE" w:rsidRPr="0081082A">
        <w:rPr>
          <w:rFonts w:ascii="Times New Roman" w:hAnsi="Times New Roman" w:cs="Times New Roman"/>
          <w:sz w:val="24"/>
          <w:szCs w:val="24"/>
          <w:lang w:val="sr-Cyrl-RS"/>
        </w:rPr>
        <w:t>Републици Србији,</w:t>
      </w:r>
      <w:r w:rsidRPr="0081082A">
        <w:rPr>
          <w:rFonts w:ascii="Times New Roman" w:hAnsi="Times New Roman"/>
          <w:sz w:val="24"/>
          <w:szCs w:val="24"/>
          <w:lang w:val="sr-Cyrl-RS"/>
        </w:rPr>
        <w:t xml:space="preserve"> као и са оснаживањем функције ИР.  </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sz w:val="24"/>
          <w:szCs w:val="24"/>
          <w:lang w:val="sr-Cyrl-RS"/>
        </w:rPr>
        <w:t xml:space="preserve">Додатна подршка на том пољу код приоритетних корисника ће бити пружена у оквиру мере </w:t>
      </w:r>
      <w:r w:rsidRPr="0081082A">
        <w:rPr>
          <w:rFonts w:ascii="Times New Roman" w:hAnsi="Times New Roman"/>
          <w:b/>
          <w:sz w:val="24"/>
          <w:szCs w:val="24"/>
          <w:lang w:val="sr-Cyrl-RS"/>
        </w:rPr>
        <w:t>4.1: Унапређен систем ФУК-а у институцијама јавног сектора</w:t>
      </w:r>
      <w:r w:rsidRPr="0081082A">
        <w:rPr>
          <w:rFonts w:ascii="Times New Roman" w:hAnsi="Times New Roman"/>
          <w:sz w:val="24"/>
          <w:szCs w:val="24"/>
          <w:lang w:val="sr-Cyrl-RS"/>
        </w:rPr>
        <w:t xml:space="preserve">. Уз директну техничку подршку ће се КЈС подржати и обезбедиће се потребан капацитет а уједно ће се припремити и практични алати из ових области. Активности ће обухватити приоритетне КЈС са централног и локалног нивоа, а радиће се и на развоју практичних алата за индиректне кориснике и на централном и </w:t>
      </w:r>
      <w:r w:rsidR="00AF716A" w:rsidRPr="0081082A">
        <w:rPr>
          <w:rFonts w:ascii="Times New Roman" w:hAnsi="Times New Roman"/>
          <w:sz w:val="24"/>
          <w:szCs w:val="24"/>
          <w:lang w:val="sr-Cyrl-RS"/>
        </w:rPr>
        <w:t xml:space="preserve">на </w:t>
      </w:r>
      <w:r w:rsidRPr="0081082A">
        <w:rPr>
          <w:rFonts w:ascii="Times New Roman" w:hAnsi="Times New Roman"/>
          <w:sz w:val="24"/>
          <w:szCs w:val="24"/>
          <w:lang w:val="sr-Cyrl-RS"/>
        </w:rPr>
        <w:t xml:space="preserve">локалном нивоу. </w:t>
      </w:r>
    </w:p>
    <w:p w:rsidR="001B6DE8" w:rsidRPr="0081082A" w:rsidRDefault="001B6DE8" w:rsidP="001B6DE8">
      <w:pPr>
        <w:pStyle w:val="Heading3"/>
        <w:spacing w:before="100" w:line="240" w:lineRule="auto"/>
        <w:rPr>
          <w:rFonts w:eastAsia="Times New Roman"/>
          <w:lang w:val="sr-Cyrl-RS"/>
        </w:rPr>
      </w:pPr>
      <w:bookmarkStart w:id="41" w:name="_Toc69727784"/>
      <w:r w:rsidRPr="0081082A">
        <w:rPr>
          <w:rFonts w:eastAsia="Times New Roman"/>
          <w:lang w:val="sr-Cyrl-RS"/>
        </w:rPr>
        <w:t>Информисање и комуникација</w:t>
      </w:r>
      <w:bookmarkEnd w:id="41"/>
    </w:p>
    <w:p w:rsidR="001B6DE8" w:rsidRPr="0081082A" w:rsidRDefault="001B6DE8" w:rsidP="001B6DE8">
      <w:pPr>
        <w:spacing w:after="0" w:line="240" w:lineRule="auto"/>
        <w:jc w:val="both"/>
        <w:rPr>
          <w:rFonts w:ascii="Times New Roman" w:hAnsi="Times New Roman" w:cs="Times New Roman"/>
          <w:sz w:val="24"/>
          <w:lang w:val="sr-Cyrl-RS"/>
        </w:rPr>
      </w:pPr>
      <w:r w:rsidRPr="0081082A">
        <w:rPr>
          <w:rFonts w:ascii="Times New Roman" w:hAnsi="Times New Roman"/>
          <w:sz w:val="24"/>
          <w:szCs w:val="24"/>
          <w:lang w:val="sr-Cyrl-RS"/>
        </w:rPr>
        <w:lastRenderedPageBreak/>
        <w:tab/>
      </w:r>
      <w:r w:rsidRPr="0081082A">
        <w:rPr>
          <w:rFonts w:ascii="Times New Roman" w:hAnsi="Times New Roman" w:cs="Times New Roman"/>
          <w:sz w:val="24"/>
          <w:szCs w:val="24"/>
          <w:lang w:val="sr-Cyrl-RS"/>
        </w:rPr>
        <w:t>Захваљујући наведеним информационим системима, поред финансијских података јавности ће бити доступни и подаци о учинку, па су тако у</w:t>
      </w:r>
      <w:r w:rsidRPr="0081082A">
        <w:rPr>
          <w:rFonts w:ascii="Times New Roman" w:hAnsi="Times New Roman"/>
          <w:sz w:val="24"/>
          <w:szCs w:val="24"/>
          <w:lang w:val="sr-Cyrl-RS"/>
        </w:rPr>
        <w:t xml:space="preserve"> склопу мере - </w:t>
      </w:r>
      <w:r w:rsidRPr="0081082A">
        <w:rPr>
          <w:rFonts w:ascii="Times New Roman" w:hAnsi="Times New Roman" w:cs="Times New Roman"/>
          <w:sz w:val="24"/>
          <w:lang w:val="sr-Cyrl-RS"/>
        </w:rPr>
        <w:t>Унапређење програмског буџета (посебан циљ 1) планиране активности на побољшању извештаја о учинку, како би се исти адекватније узимали у обзир приликом одлучивања о расподели средстава, а и како би се израдила два или више извештаја о учинку. Један, који би садржао сумиран преглед за Владу, а други који би био детаљнији и у пуном капацитету пружао корисне информације доносиоцима одлука, али и стручној јавности.</w:t>
      </w:r>
    </w:p>
    <w:p w:rsidR="001B6DE8" w:rsidRPr="0081082A" w:rsidRDefault="001B6DE8" w:rsidP="001B6DE8">
      <w:pPr>
        <w:spacing w:after="0" w:line="240" w:lineRule="auto"/>
        <w:ind w:firstLine="720"/>
        <w:jc w:val="both"/>
        <w:rPr>
          <w:rFonts w:ascii="Times New Roman" w:hAnsi="Times New Roman"/>
          <w:sz w:val="24"/>
          <w:szCs w:val="24"/>
          <w:lang w:val="sr-Cyrl-RS"/>
        </w:rPr>
      </w:pPr>
      <w:r w:rsidRPr="0081082A">
        <w:rPr>
          <w:rFonts w:ascii="Times New Roman" w:hAnsi="Times New Roman" w:cs="Times New Roman"/>
          <w:sz w:val="24"/>
          <w:lang w:val="sr-Cyrl-RS"/>
        </w:rPr>
        <w:t>Додатно, стављањем у погон новоизграђеног система ЈИС биће могуће пратити учинак на пољу планских докумената (видети посебан циљ 1)</w:t>
      </w:r>
    </w:p>
    <w:p w:rsidR="001B6DE8" w:rsidRPr="0081082A" w:rsidRDefault="001B6DE8" w:rsidP="001B6DE8">
      <w:pPr>
        <w:pStyle w:val="Heading3"/>
        <w:spacing w:before="100" w:line="240" w:lineRule="auto"/>
        <w:rPr>
          <w:rFonts w:eastAsia="Times New Roman"/>
          <w:lang w:val="sr-Cyrl-RS"/>
        </w:rPr>
      </w:pPr>
      <w:bookmarkStart w:id="42" w:name="_Toc69727785"/>
      <w:r w:rsidRPr="0081082A">
        <w:rPr>
          <w:rFonts w:eastAsia="Times New Roman"/>
          <w:lang w:val="sr-Cyrl-RS"/>
        </w:rPr>
        <w:t>Активности праћења</w:t>
      </w:r>
      <w:bookmarkEnd w:id="42"/>
      <w:r w:rsidRPr="0081082A">
        <w:rPr>
          <w:rFonts w:eastAsia="Times New Roman"/>
          <w:lang w:val="sr-Cyrl-RS"/>
        </w:rPr>
        <w:t xml:space="preserve"> </w:t>
      </w:r>
    </w:p>
    <w:p w:rsidR="001B6DE8" w:rsidRPr="0081082A" w:rsidRDefault="003372FE" w:rsidP="001B6DE8">
      <w:pPr>
        <w:pStyle w:val="BodyText"/>
        <w:tabs>
          <w:tab w:val="left" w:pos="0"/>
        </w:tabs>
        <w:spacing w:before="100"/>
        <w:rPr>
          <w:rFonts w:ascii="Times New Roman" w:hAnsi="Times New Roman"/>
          <w:szCs w:val="24"/>
          <w:lang w:val="sr-Cyrl-RS"/>
        </w:rPr>
      </w:pPr>
      <w:r>
        <w:rPr>
          <w:rFonts w:ascii="Times New Roman" w:hAnsi="Times New Roman"/>
          <w:szCs w:val="24"/>
          <w:lang w:val="sr-Cyrl-RS"/>
        </w:rPr>
        <w:tab/>
      </w:r>
      <w:r w:rsidR="001B6DE8" w:rsidRPr="0081082A">
        <w:rPr>
          <w:rFonts w:ascii="Times New Roman" w:hAnsi="Times New Roman"/>
          <w:szCs w:val="24"/>
          <w:lang w:val="sr-Cyrl-RS"/>
        </w:rPr>
        <w:t>Кроз многе екстерне провере</w:t>
      </w:r>
      <w:r w:rsidR="006069E9" w:rsidRPr="0081082A">
        <w:rPr>
          <w:rFonts w:ascii="Times New Roman" w:hAnsi="Times New Roman"/>
          <w:szCs w:val="24"/>
          <w:lang w:val="sr-Cyrl-RS"/>
        </w:rPr>
        <w:t>,</w:t>
      </w:r>
      <w:r w:rsidR="001B6DE8" w:rsidRPr="0081082A">
        <w:rPr>
          <w:rFonts w:ascii="Times New Roman" w:hAnsi="Times New Roman"/>
          <w:szCs w:val="24"/>
          <w:lang w:val="sr-Cyrl-RS"/>
        </w:rPr>
        <w:t xml:space="preserve"> као и кроз КГИ се редовно прати и изнова утврђује потреба побољшања степена спровођења препоруке ИР субјектима ревизије</w:t>
      </w:r>
      <w:r w:rsidR="006069E9" w:rsidRPr="0081082A">
        <w:rPr>
          <w:rFonts w:ascii="Times New Roman" w:hAnsi="Times New Roman"/>
          <w:szCs w:val="24"/>
          <w:lang w:val="sr-Cyrl-RS"/>
        </w:rPr>
        <w:t>,</w:t>
      </w:r>
      <w:r w:rsidR="001B6DE8" w:rsidRPr="0081082A">
        <w:rPr>
          <w:rFonts w:ascii="Times New Roman" w:hAnsi="Times New Roman"/>
          <w:szCs w:val="24"/>
          <w:lang w:val="sr-Cyrl-RS"/>
        </w:rPr>
        <w:t xml:space="preserve"> као и препорука из КГИ које су упућене КЈС. У својој суштини већина препорука је вишегодишња и незахвално је пратити у оквиру једногодишњег извештајног периода, али би аутоматизација процеса праћења свакако допринела побољшању у овој области. </w:t>
      </w:r>
      <w:r w:rsidR="001B6DE8" w:rsidRPr="0081082A">
        <w:rPr>
          <w:rFonts w:ascii="Times New Roman" w:hAnsi="Times New Roman"/>
          <w:szCs w:val="24"/>
          <w:lang w:val="sr-Cyrl-RS"/>
        </w:rPr>
        <w:tab/>
      </w:r>
    </w:p>
    <w:p w:rsidR="001B6DE8" w:rsidRPr="0081082A" w:rsidRDefault="003372FE" w:rsidP="001B6DE8">
      <w:pPr>
        <w:pStyle w:val="BodyText"/>
        <w:tabs>
          <w:tab w:val="left" w:pos="0"/>
        </w:tabs>
        <w:spacing w:before="100"/>
        <w:rPr>
          <w:rFonts w:ascii="Times New Roman" w:hAnsi="Times New Roman"/>
          <w:szCs w:val="24"/>
          <w:lang w:val="sr-Cyrl-RS"/>
        </w:rPr>
      </w:pPr>
      <w:r>
        <w:rPr>
          <w:rFonts w:ascii="Times New Roman" w:hAnsi="Times New Roman"/>
          <w:szCs w:val="24"/>
          <w:lang w:val="sr-Cyrl-RS"/>
        </w:rPr>
        <w:tab/>
      </w:r>
      <w:r w:rsidR="001B6DE8" w:rsidRPr="0081082A">
        <w:rPr>
          <w:rFonts w:ascii="Times New Roman" w:hAnsi="Times New Roman"/>
          <w:szCs w:val="24"/>
          <w:lang w:val="sr-Cyrl-RS"/>
        </w:rPr>
        <w:t xml:space="preserve">У оквиру </w:t>
      </w:r>
      <w:r w:rsidR="001B6DE8" w:rsidRPr="0081082A">
        <w:rPr>
          <w:rFonts w:ascii="Times New Roman" w:hAnsi="Times New Roman"/>
          <w:b/>
          <w:szCs w:val="24"/>
          <w:lang w:val="sr-Cyrl-RS"/>
        </w:rPr>
        <w:t>мере 4.3 Ојачано праћење интерне контроле у јавном сектору</w:t>
      </w:r>
      <w:r w:rsidR="001B6DE8" w:rsidRPr="0081082A">
        <w:rPr>
          <w:rFonts w:ascii="Times New Roman" w:hAnsi="Times New Roman"/>
          <w:i/>
          <w:szCs w:val="24"/>
          <w:lang w:val="sr-Cyrl-RS"/>
        </w:rPr>
        <w:t xml:space="preserve"> </w:t>
      </w:r>
      <w:r w:rsidR="001B6DE8" w:rsidRPr="0081082A">
        <w:rPr>
          <w:rFonts w:ascii="Times New Roman" w:hAnsi="Times New Roman"/>
          <w:szCs w:val="24"/>
          <w:lang w:val="sr-Cyrl-RS"/>
        </w:rPr>
        <w:t>потребно је постићи пуну примену електронског извештавања путем апликације. Такође</w:t>
      </w:r>
      <w:r w:rsidR="00E51588" w:rsidRPr="0081082A">
        <w:rPr>
          <w:rFonts w:ascii="Times New Roman" w:hAnsi="Times New Roman"/>
          <w:szCs w:val="24"/>
          <w:lang w:val="sr-Cyrl-RS"/>
        </w:rPr>
        <w:t>,</w:t>
      </w:r>
      <w:r w:rsidR="001B6DE8" w:rsidRPr="0081082A">
        <w:rPr>
          <w:rFonts w:ascii="Times New Roman" w:hAnsi="Times New Roman"/>
          <w:szCs w:val="24"/>
          <w:lang w:val="sr-Cyrl-RS"/>
        </w:rPr>
        <w:t xml:space="preserve"> обезбедиће се  бољи и континуиран</w:t>
      </w:r>
      <w:r w:rsidR="002A008E" w:rsidRPr="0081082A">
        <w:rPr>
          <w:rFonts w:ascii="Times New Roman" w:hAnsi="Times New Roman"/>
          <w:szCs w:val="24"/>
          <w:lang w:val="sr-Cyrl-RS"/>
        </w:rPr>
        <w:t>и</w:t>
      </w:r>
      <w:r w:rsidR="001B6DE8" w:rsidRPr="0081082A">
        <w:rPr>
          <w:rFonts w:ascii="Times New Roman" w:hAnsi="Times New Roman"/>
          <w:szCs w:val="24"/>
          <w:lang w:val="sr-Cyrl-RS"/>
        </w:rPr>
        <w:t xml:space="preserve"> надзор над спровођењем препорука из области ИФКЈ, третирањем налаза и праћењем рокова за њихово спровођење. У то смислу, у плану је увођење јединственог ИТ система за ИФКЈ. Овај систем би обухватио софтвер за вођење и документовање ангажмана ИР и евидентирање и праћење статуса налаза и датих препорука ИР</w:t>
      </w:r>
      <w:r w:rsidR="006069E9" w:rsidRPr="0081082A">
        <w:rPr>
          <w:rFonts w:ascii="Times New Roman" w:hAnsi="Times New Roman"/>
          <w:szCs w:val="24"/>
          <w:lang w:val="sr-Cyrl-RS"/>
        </w:rPr>
        <w:t>,</w:t>
      </w:r>
      <w:r w:rsidR="001B6DE8" w:rsidRPr="0081082A">
        <w:rPr>
          <w:rFonts w:ascii="Times New Roman" w:hAnsi="Times New Roman"/>
          <w:szCs w:val="24"/>
          <w:lang w:val="sr-Cyrl-RS"/>
        </w:rPr>
        <w:t xml:space="preserve"> као и препорука које је дала ЦЈХ кроз КГИ и сагледавање квалитета система ФУК и рада ИР, регистре интерних ревизора и њиховог стручног усавршавања, аутоматизовали би се послови ЦЈХ чиме би се оснажила функција праћења. </w:t>
      </w:r>
    </w:p>
    <w:p w:rsidR="001B6DE8" w:rsidRPr="0081082A" w:rsidRDefault="003372FE" w:rsidP="001B6DE8">
      <w:pPr>
        <w:pStyle w:val="BodyText"/>
        <w:tabs>
          <w:tab w:val="left" w:pos="0"/>
        </w:tabs>
        <w:spacing w:before="100"/>
        <w:rPr>
          <w:rFonts w:ascii="Times New Roman" w:hAnsi="Times New Roman"/>
          <w:szCs w:val="24"/>
          <w:lang w:val="sr-Cyrl-RS"/>
        </w:rPr>
      </w:pPr>
      <w:r>
        <w:rPr>
          <w:rFonts w:ascii="Times New Roman" w:hAnsi="Times New Roman"/>
          <w:szCs w:val="24"/>
          <w:lang w:val="sr-Cyrl-RS"/>
        </w:rPr>
        <w:tab/>
      </w:r>
      <w:r w:rsidR="001B6DE8" w:rsidRPr="0081082A">
        <w:rPr>
          <w:rFonts w:ascii="Times New Roman" w:hAnsi="Times New Roman"/>
          <w:szCs w:val="24"/>
          <w:lang w:val="sr-Cyrl-RS"/>
        </w:rPr>
        <w:t xml:space="preserve">Додатно, садашњи систем извештавања ка ЦЈХ од стране свих КЈС се показао као нереалистичан и у крајњем исходу неуправљив. ЦЈХ је планирала да у оквиру мере </w:t>
      </w:r>
      <w:r w:rsidR="001B6DE8" w:rsidRPr="0081082A">
        <w:rPr>
          <w:rFonts w:ascii="Times New Roman" w:hAnsi="Times New Roman"/>
          <w:b/>
          <w:szCs w:val="24"/>
          <w:lang w:val="sr-Cyrl-RS"/>
        </w:rPr>
        <w:t xml:space="preserve">4.1: Унапређење система ФУК у институцијама јавног сектора </w:t>
      </w:r>
      <w:r w:rsidR="001B6DE8" w:rsidRPr="0081082A">
        <w:rPr>
          <w:rFonts w:ascii="Times New Roman" w:hAnsi="Times New Roman"/>
          <w:szCs w:val="24"/>
          <w:lang w:val="sr-Cyrl-RS"/>
        </w:rPr>
        <w:t>у оквиру активности 4.1.1. обезбеди јасан фокус на приоритетне КЈС којим би и саме активности праћења биле сврсисходније и квалитетније.</w:t>
      </w:r>
    </w:p>
    <w:p w:rsidR="001B6DE8" w:rsidRPr="0081082A" w:rsidRDefault="001B6DE8" w:rsidP="001B6DE8">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Адекватност новоуведеног извештавања о неправилностима</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обавезе достављања потписане Изјаве о интерним контролама ће се додатно размотрити и пратити у оквиру мере </w:t>
      </w:r>
      <w:r w:rsidRPr="0081082A">
        <w:rPr>
          <w:rFonts w:ascii="Times New Roman" w:hAnsi="Times New Roman" w:cs="Times New Roman"/>
          <w:b/>
          <w:sz w:val="24"/>
          <w:szCs w:val="24"/>
          <w:lang w:val="sr-Cyrl-RS"/>
        </w:rPr>
        <w:t>4.1: Унапређење система ФУК у институцијама јавног сектора, у оквиру исте активности.</w:t>
      </w:r>
    </w:p>
    <w:p w:rsidR="001B6DE8" w:rsidRPr="0081082A" w:rsidRDefault="001B6DE8" w:rsidP="001B6DE8">
      <w:pPr>
        <w:spacing w:after="0" w:line="240" w:lineRule="auto"/>
        <w:ind w:firstLine="708"/>
        <w:jc w:val="both"/>
        <w:rPr>
          <w:rFonts w:ascii="Times New Roman" w:hAnsi="Times New Roman" w:cs="Times New Roman"/>
          <w:color w:val="FF0000"/>
          <w:sz w:val="24"/>
          <w:szCs w:val="24"/>
          <w:lang w:val="sr-Cyrl-RS"/>
        </w:rPr>
      </w:pPr>
      <w:r w:rsidRPr="0081082A">
        <w:rPr>
          <w:rFonts w:ascii="Times New Roman" w:hAnsi="Times New Roman" w:cs="Times New Roman"/>
          <w:sz w:val="24"/>
          <w:szCs w:val="24"/>
          <w:lang w:val="sr-Cyrl-RS"/>
        </w:rPr>
        <w:t xml:space="preserve">У оквиру мере </w:t>
      </w:r>
      <w:r w:rsidRPr="0081082A">
        <w:rPr>
          <w:rFonts w:ascii="Times New Roman" w:hAnsi="Times New Roman" w:cs="Times New Roman"/>
          <w:b/>
          <w:sz w:val="24"/>
          <w:szCs w:val="24"/>
          <w:lang w:val="sr-Cyrl-RS"/>
        </w:rPr>
        <w:t>4.2 - Унапређена функција интерне ревизије у јавном сектору у складу са међународним стандардима и начелима,</w:t>
      </w:r>
      <w:r w:rsidRPr="0081082A">
        <w:rPr>
          <w:rFonts w:ascii="Times New Roman" w:hAnsi="Times New Roman" w:cs="Times New Roman"/>
          <w:sz w:val="24"/>
          <w:szCs w:val="24"/>
          <w:lang w:val="sr-Cyrl-RS"/>
        </w:rPr>
        <w:t xml:space="preserve"> су предложене активности намењене унапређењу функције интерне ревизије у јавном сектору</w:t>
      </w:r>
      <w:r w:rsidR="002A008E"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у складу са међународним стандардима и начелима. Како би се директно утицало на повећање ефикасности и ефективности ИР кроз прописе, у плану је анализа и измена регулаторно-методолошког оквира са циљем побољшања успостављања и оптимизације </w:t>
      </w:r>
      <w:r w:rsidR="002A008E" w:rsidRPr="0081082A">
        <w:rPr>
          <w:rFonts w:ascii="Times New Roman" w:hAnsi="Times New Roman" w:cs="Times New Roman"/>
          <w:sz w:val="24"/>
          <w:szCs w:val="24"/>
          <w:lang w:val="sr-Cyrl-RS"/>
        </w:rPr>
        <w:t xml:space="preserve">организационих </w:t>
      </w:r>
      <w:r w:rsidRPr="0081082A">
        <w:rPr>
          <w:rFonts w:ascii="Times New Roman" w:hAnsi="Times New Roman" w:cs="Times New Roman"/>
          <w:sz w:val="24"/>
          <w:szCs w:val="24"/>
          <w:lang w:val="sr-Cyrl-RS"/>
        </w:rPr>
        <w:t xml:space="preserve">активности ИР у јавном сектору. Додатно ће се радити на унапређењу стручног усавршавања овлашћених интерних ревизора уз припрему и спровођење Програма за континуирано стручно усавршавање. Размотриће се и унапредити постојећи алати и допунити новим. Посебан акценат је дат увођењу </w:t>
      </w:r>
      <w:r w:rsidRPr="0081082A">
        <w:rPr>
          <w:rFonts w:ascii="Times New Roman" w:hAnsi="Times New Roman" w:cs="Times New Roman"/>
          <w:sz w:val="24"/>
          <w:szCs w:val="24"/>
          <w:lang w:val="sr-Cyrl-RS"/>
        </w:rPr>
        <w:lastRenderedPageBreak/>
        <w:t>екстерне оцене квалитета по методи колегијалног прегледа која је започета у претходном стратешком периоду али је због своје комплексности овом питању морало да се приђе систематичније и са више ресур</w:t>
      </w:r>
      <w:r w:rsidR="002A008E" w:rsidRPr="0081082A">
        <w:rPr>
          <w:rFonts w:ascii="Times New Roman" w:hAnsi="Times New Roman" w:cs="Times New Roman"/>
          <w:sz w:val="24"/>
          <w:szCs w:val="24"/>
          <w:lang w:val="sr-Cyrl-RS"/>
        </w:rPr>
        <w:t>с</w:t>
      </w:r>
      <w:r w:rsidRPr="0081082A">
        <w:rPr>
          <w:rFonts w:ascii="Times New Roman" w:hAnsi="Times New Roman" w:cs="Times New Roman"/>
          <w:sz w:val="24"/>
          <w:szCs w:val="24"/>
          <w:lang w:val="sr-Cyrl-RS"/>
        </w:rPr>
        <w:t>а. Кроз ИТ систем за ИК постићи ће се унифицира</w:t>
      </w:r>
      <w:r w:rsidR="002A008E" w:rsidRPr="0081082A">
        <w:rPr>
          <w:rFonts w:ascii="Times New Roman" w:hAnsi="Times New Roman" w:cs="Times New Roman"/>
          <w:sz w:val="24"/>
          <w:szCs w:val="24"/>
          <w:lang w:val="sr-Cyrl-RS"/>
        </w:rPr>
        <w:t>но</w:t>
      </w:r>
      <w:r w:rsidRPr="0081082A">
        <w:rPr>
          <w:rFonts w:ascii="Times New Roman" w:hAnsi="Times New Roman" w:cs="Times New Roman"/>
          <w:sz w:val="24"/>
          <w:szCs w:val="24"/>
          <w:lang w:val="sr-Cyrl-RS"/>
        </w:rPr>
        <w:t xml:space="preserve"> вођењ</w:t>
      </w:r>
      <w:r w:rsidR="002A008E" w:rsidRPr="0081082A">
        <w:rPr>
          <w:rFonts w:ascii="Times New Roman" w:hAnsi="Times New Roman" w:cs="Times New Roman"/>
          <w:sz w:val="24"/>
          <w:szCs w:val="24"/>
          <w:lang w:val="sr-Cyrl-RS"/>
        </w:rPr>
        <w:t>е</w:t>
      </w:r>
      <w:r w:rsidRPr="0081082A">
        <w:rPr>
          <w:rFonts w:ascii="Times New Roman" w:hAnsi="Times New Roman" w:cs="Times New Roman"/>
          <w:sz w:val="24"/>
          <w:szCs w:val="24"/>
          <w:lang w:val="sr-Cyrl-RS"/>
        </w:rPr>
        <w:t xml:space="preserve"> документовања ангажмана интерне ревизије и евидентирање и праћење статуса налаза и датих препорука интерне ревизије кроз примену софтвера. </w:t>
      </w:r>
      <w:r w:rsidRPr="0081082A">
        <w:rPr>
          <w:rFonts w:ascii="Times New Roman" w:hAnsi="Times New Roman" w:cs="Times New Roman"/>
          <w:color w:val="FF0000"/>
          <w:sz w:val="24"/>
          <w:szCs w:val="24"/>
          <w:lang w:val="sr-Cyrl-RS"/>
        </w:rPr>
        <w:tab/>
      </w:r>
    </w:p>
    <w:p w:rsidR="001B6DE8" w:rsidRPr="0081082A" w:rsidRDefault="001B6DE8" w:rsidP="001B6DE8">
      <w:pPr>
        <w:spacing w:after="0" w:line="240" w:lineRule="auto"/>
        <w:ind w:firstLine="708"/>
        <w:jc w:val="both"/>
        <w:rPr>
          <w:rFonts w:ascii="Times New Roman" w:hAnsi="Times New Roman" w:cs="Times New Roman"/>
          <w:color w:val="000000" w:themeColor="text1"/>
          <w:sz w:val="24"/>
          <w:szCs w:val="24"/>
          <w:lang w:val="sr-Cyrl-RS"/>
        </w:rPr>
      </w:pPr>
      <w:r w:rsidRPr="0081082A">
        <w:rPr>
          <w:rFonts w:ascii="Times New Roman" w:hAnsi="Times New Roman" w:cs="Times New Roman"/>
          <w:color w:val="000000" w:themeColor="text1"/>
          <w:sz w:val="24"/>
          <w:szCs w:val="24"/>
          <w:lang w:val="sr-Cyrl-RS"/>
        </w:rPr>
        <w:t>Један од највећих изазова у имплементацији ИФКЈ годинама уназад представља недовољан број ревизора у КЈС. Утврђено је да је неопходно побољшање професионалног положаја интерних ревизора и у том смислу је конципирана активност 4.2.3.</w:t>
      </w:r>
    </w:p>
    <w:p w:rsidR="001B6DE8" w:rsidRPr="0081082A" w:rsidRDefault="001B6DE8" w:rsidP="001B6DE8">
      <w:pPr>
        <w:pStyle w:val="Heading3"/>
        <w:spacing w:before="100" w:line="240" w:lineRule="auto"/>
        <w:rPr>
          <w:lang w:val="sr-Cyrl-RS"/>
        </w:rPr>
      </w:pPr>
      <w:bookmarkStart w:id="43" w:name="_Toc69727786"/>
      <w:r w:rsidRPr="0081082A">
        <w:rPr>
          <w:lang w:val="sr-Cyrl-RS"/>
        </w:rPr>
        <w:t>Буџетска инспекција</w:t>
      </w:r>
      <w:bookmarkEnd w:id="43"/>
    </w:p>
    <w:p w:rsidR="00662FB9" w:rsidRPr="0081082A" w:rsidRDefault="001B6DE8" w:rsidP="001C07E0">
      <w:pPr>
        <w:spacing w:after="0" w:line="240" w:lineRule="auto"/>
        <w:ind w:firstLine="708"/>
        <w:jc w:val="both"/>
        <w:rPr>
          <w:rFonts w:ascii="Times New Roman" w:hAnsi="Times New Roman" w:cs="Times New Roman"/>
          <w:sz w:val="24"/>
          <w:szCs w:val="21"/>
          <w:lang w:val="sr-Cyrl-RS"/>
        </w:rPr>
      </w:pPr>
      <w:r w:rsidRPr="0081082A">
        <w:rPr>
          <w:rFonts w:ascii="Times New Roman" w:hAnsi="Times New Roman" w:cs="Times New Roman"/>
          <w:sz w:val="24"/>
          <w:szCs w:val="24"/>
          <w:lang w:val="sr-Cyrl-RS"/>
        </w:rPr>
        <w:t>У оквиру Посебног циља 3 овог програма, под мером</w:t>
      </w:r>
      <w:r w:rsidRPr="0081082A">
        <w:rPr>
          <w:rFonts w:ascii="Times New Roman" w:hAnsi="Times New Roman" w:cs="Times New Roman"/>
          <w:sz w:val="24"/>
          <w:szCs w:val="21"/>
          <w:lang w:val="sr-Cyrl-RS"/>
        </w:rPr>
        <w:t xml:space="preserve"> - Повећање ефикасности и ефективности инспекцијске контроле планиране су активности буџетске инспекције за наредни период од којих се издваја усвајање стручно-методолошких упутстaва о начину рада буџетске инспекције по областима вршења контрола.</w:t>
      </w:r>
    </w:p>
    <w:p w:rsidR="00670A08" w:rsidRPr="0081082A" w:rsidRDefault="00670A08" w:rsidP="00251FB0">
      <w:pPr>
        <w:spacing w:after="0" w:line="240" w:lineRule="auto"/>
        <w:jc w:val="both"/>
        <w:rPr>
          <w:rFonts w:ascii="Times New Roman" w:hAnsi="Times New Roman" w:cs="Times New Roman"/>
          <w:sz w:val="24"/>
          <w:szCs w:val="21"/>
          <w:highlight w:val="cyan"/>
          <w:lang w:val="sr-Cyrl-RS"/>
        </w:rPr>
      </w:pPr>
    </w:p>
    <w:p w:rsidR="001F38D7" w:rsidRPr="0081082A" w:rsidRDefault="00721398" w:rsidP="000125F1">
      <w:pPr>
        <w:pStyle w:val="Heading2"/>
        <w:jc w:val="center"/>
        <w:rPr>
          <w:rFonts w:ascii="Times New Roman" w:hAnsi="Times New Roman"/>
          <w:sz w:val="28"/>
          <w:lang w:val="sr-Cyrl-RS"/>
        </w:rPr>
      </w:pPr>
      <w:bookmarkStart w:id="44" w:name="_Toc72488822"/>
      <w:r w:rsidRPr="0081082A">
        <w:rPr>
          <w:rFonts w:ascii="Times New Roman" w:hAnsi="Times New Roman"/>
          <w:sz w:val="28"/>
          <w:lang w:val="sr-Cyrl-RS"/>
        </w:rPr>
        <w:t>ПОСЕБНИ ЦИЉ V</w:t>
      </w:r>
      <w:bookmarkEnd w:id="44"/>
      <w:r w:rsidRPr="0081082A">
        <w:rPr>
          <w:rFonts w:ascii="Times New Roman" w:hAnsi="Times New Roman"/>
          <w:sz w:val="28"/>
          <w:lang w:val="sr-Cyrl-RS"/>
        </w:rPr>
        <w:t xml:space="preserve"> </w:t>
      </w:r>
    </w:p>
    <w:p w:rsidR="004D0595" w:rsidRPr="0081082A" w:rsidRDefault="004D0595" w:rsidP="004D0595">
      <w:pPr>
        <w:pStyle w:val="Heading2"/>
        <w:jc w:val="center"/>
        <w:rPr>
          <w:rFonts w:ascii="Times New Roman" w:eastAsia="Calibri" w:hAnsi="Times New Roman" w:cs="Times New Roman"/>
          <w:sz w:val="28"/>
          <w:szCs w:val="28"/>
          <w:lang w:val="sr-Cyrl-RS"/>
        </w:rPr>
      </w:pPr>
      <w:bookmarkStart w:id="45" w:name="_Toc72488823"/>
      <w:r w:rsidRPr="0081082A">
        <w:rPr>
          <w:rFonts w:ascii="Times New Roman" w:eastAsia="Calibri" w:hAnsi="Times New Roman" w:cs="Times New Roman"/>
          <w:sz w:val="28"/>
          <w:szCs w:val="28"/>
          <w:lang w:val="sr-Cyrl-RS"/>
        </w:rPr>
        <w:t xml:space="preserve">УНАПРЕЂЕНО РАЧУНОВОДСТВО У ЈАВНОМ СЕКТОРУ ПРИМЕНОМ МЕЂУНАРОДНИХ РАЧУНОВОДСТВЕНИХ СТАНДАРДА ЗА ЈАВНИ СЕКТОР </w:t>
      </w:r>
      <w:bookmarkEnd w:id="45"/>
    </w:p>
    <w:p w:rsidR="004D0595" w:rsidRPr="0081082A" w:rsidRDefault="004D0595" w:rsidP="004D0595">
      <w:pPr>
        <w:spacing w:after="0" w:line="240" w:lineRule="auto"/>
        <w:ind w:firstLine="706"/>
        <w:jc w:val="both"/>
        <w:rPr>
          <w:rFonts w:ascii="Times New Roman" w:eastAsia="Times New Roman" w:hAnsi="Times New Roman" w:cs="Times New Roman"/>
          <w:color w:val="000000"/>
          <w:sz w:val="24"/>
          <w:szCs w:val="24"/>
          <w:lang w:val="sr-Cyrl-RS"/>
        </w:rPr>
      </w:pPr>
      <w:r w:rsidRPr="0081082A">
        <w:rPr>
          <w:rFonts w:ascii="Times New Roman" w:eastAsia="Times New Roman" w:hAnsi="Times New Roman" w:cs="Times New Roman"/>
          <w:color w:val="000000"/>
          <w:sz w:val="24"/>
          <w:szCs w:val="24"/>
          <w:lang w:val="sr-Cyrl-RS"/>
        </w:rPr>
        <w:t xml:space="preserve">Значај буџетског рачуноводства произлази из одредби Закона о буџетском систему, посебно у делу којим је прописан интегритет буџетског система и обезбеђивање свеобухватних, релевантних и поузданих информација о раду Владе. Финансијске извештаје чине обрасци који на систематски начин исказују рачуноводствене податке и информације. Да би се омогућила упоредивост финансијских информација у различитим правним системима установљени су Mеђународни рачуноводствени стандарди за јавни сектор (у даљем тексту: </w:t>
      </w:r>
      <w:r w:rsidRPr="0081082A">
        <w:rPr>
          <w:rFonts w:ascii="Times New Roman" w:eastAsia="Times New Roman" w:hAnsi="Times New Roman" w:cs="Times New Roman"/>
          <w:i/>
          <w:iCs/>
          <w:color w:val="000000"/>
          <w:sz w:val="24"/>
          <w:szCs w:val="24"/>
          <w:lang w:val="sr-Cyrl-RS"/>
        </w:rPr>
        <w:t>IPSAS</w:t>
      </w:r>
      <w:r w:rsidRPr="0081082A">
        <w:rPr>
          <w:rFonts w:ascii="Times New Roman" w:eastAsia="Times New Roman" w:hAnsi="Times New Roman" w:cs="Times New Roman"/>
          <w:color w:val="000000"/>
          <w:sz w:val="24"/>
          <w:szCs w:val="24"/>
          <w:lang w:val="sr-Cyrl-RS"/>
        </w:rPr>
        <w:t xml:space="preserve">). </w:t>
      </w:r>
    </w:p>
    <w:p w:rsidR="004D0595" w:rsidRPr="0081082A" w:rsidRDefault="004D0595" w:rsidP="004D0595">
      <w:pPr>
        <w:spacing w:after="0" w:line="240" w:lineRule="auto"/>
        <w:ind w:firstLine="706"/>
        <w:jc w:val="both"/>
        <w:rPr>
          <w:rFonts w:ascii="Times New Roman" w:eastAsia="Times New Roman" w:hAnsi="Times New Roman" w:cs="Times New Roman"/>
          <w:color w:val="000000"/>
          <w:sz w:val="24"/>
          <w:szCs w:val="24"/>
          <w:lang w:val="sr-Cyrl-RS"/>
        </w:rPr>
      </w:pPr>
      <w:r w:rsidRPr="0081082A">
        <w:rPr>
          <w:rFonts w:ascii="Times New Roman" w:eastAsia="Times New Roman" w:hAnsi="Times New Roman" w:cs="Times New Roman"/>
          <w:color w:val="000000"/>
          <w:sz w:val="24"/>
          <w:szCs w:val="24"/>
          <w:lang w:val="sr-Cyrl-RS"/>
        </w:rPr>
        <w:t>Имајући у виду да су рачуноводство и финансијско извештавање два повезана система, промене које треба остварити требале би да прате једна другу. Управа за трезор чини велике напоре да путем усклађивања прописа, одржавања обука, те јачања информационих капацитета омогући што квалитетнији скуп података који служе као база на основу којих би се доносиле пословне одлуке.</w:t>
      </w:r>
    </w:p>
    <w:p w:rsidR="004D0595" w:rsidRPr="0081082A" w:rsidRDefault="004D0595" w:rsidP="004D0595">
      <w:pPr>
        <w:pStyle w:val="CommentText"/>
        <w:spacing w:after="0"/>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И поред постигнутог напретка у периоду од 2016-2020. године, у области извештавања, транспарентност буџета још увек није на задовољавајућем нивоу, те </w:t>
      </w:r>
      <w:r w:rsidR="00156518" w:rsidRPr="0081082A">
        <w:rPr>
          <w:rFonts w:ascii="Times New Roman" w:hAnsi="Times New Roman" w:cs="Times New Roman"/>
          <w:sz w:val="24"/>
          <w:szCs w:val="24"/>
          <w:lang w:val="sr-Cyrl-RS"/>
        </w:rPr>
        <w:t>је потребно</w:t>
      </w:r>
      <w:r w:rsidRPr="0081082A">
        <w:rPr>
          <w:rFonts w:ascii="Times New Roman" w:hAnsi="Times New Roman" w:cs="Times New Roman"/>
          <w:sz w:val="24"/>
          <w:szCs w:val="24"/>
          <w:lang w:val="sr-Cyrl-RS"/>
        </w:rPr>
        <w:t xml:space="preserve"> додатно </w:t>
      </w:r>
      <w:r w:rsidR="00156518" w:rsidRPr="0081082A">
        <w:rPr>
          <w:rFonts w:ascii="Times New Roman" w:hAnsi="Times New Roman" w:cs="Times New Roman"/>
          <w:sz w:val="24"/>
          <w:szCs w:val="24"/>
          <w:lang w:val="sr-Cyrl-RS"/>
        </w:rPr>
        <w:t>унапредити ефикасност</w:t>
      </w:r>
      <w:r w:rsidRPr="0081082A">
        <w:rPr>
          <w:rFonts w:ascii="Times New Roman" w:hAnsi="Times New Roman" w:cs="Times New Roman"/>
          <w:sz w:val="24"/>
          <w:szCs w:val="24"/>
          <w:lang w:val="sr-Cyrl-RS"/>
        </w:rPr>
        <w:t xml:space="preserve"> и делотворност извештавања у складу са најбољом међународном праксом, применом </w:t>
      </w:r>
      <w:r w:rsidRPr="0081082A">
        <w:rPr>
          <w:rFonts w:ascii="Times New Roman" w:eastAsia="Times New Roman" w:hAnsi="Times New Roman" w:cs="Times New Roman"/>
          <w:color w:val="000000"/>
          <w:sz w:val="24"/>
          <w:szCs w:val="24"/>
          <w:lang w:val="sr-Cyrl-RS"/>
        </w:rPr>
        <w:t>међународних рачуноводствених стандарда</w:t>
      </w:r>
      <w:r w:rsidRPr="0081082A">
        <w:rPr>
          <w:rFonts w:ascii="Times New Roman" w:hAnsi="Times New Roman" w:cs="Times New Roman"/>
          <w:sz w:val="24"/>
          <w:szCs w:val="24"/>
          <w:lang w:val="sr-Cyrl-RS"/>
        </w:rPr>
        <w:t>. Извештај о извршењу буџета потребно је објављивати правовремено, са довољним нивоом детаља, тако да обухватају све кориснике општег нивоа државе, садрже извештај о учинку програма и друге податке неопходне првенствено за правилно доношења одлука.</w:t>
      </w:r>
    </w:p>
    <w:p w:rsidR="004D0595" w:rsidRPr="0081082A" w:rsidRDefault="004D0595" w:rsidP="004D0595">
      <w:pPr>
        <w:spacing w:after="0" w:line="240" w:lineRule="auto"/>
        <w:ind w:firstLine="706"/>
        <w:jc w:val="both"/>
        <w:rPr>
          <w:rFonts w:ascii="Times New Roman" w:eastAsia="Times New Roman" w:hAnsi="Times New Roman" w:cs="Times New Roman"/>
          <w:color w:val="000000"/>
          <w:sz w:val="24"/>
          <w:szCs w:val="24"/>
          <w:lang w:val="sr-Cyrl-RS"/>
        </w:rPr>
      </w:pPr>
      <w:r w:rsidRPr="0081082A">
        <w:rPr>
          <w:rFonts w:ascii="Times New Roman" w:eastAsia="Times New Roman" w:hAnsi="Times New Roman" w:cs="Times New Roman"/>
          <w:color w:val="000000"/>
          <w:sz w:val="24"/>
          <w:szCs w:val="24"/>
          <w:lang w:val="sr-Cyrl-RS"/>
        </w:rPr>
        <w:t xml:space="preserve">Квалитет и обухват података у финансијским извештајима је потребно додатно унапредити. Извештавање о извршењу буџета током године потребно је да буде </w:t>
      </w:r>
      <w:r w:rsidRPr="0081082A">
        <w:rPr>
          <w:rFonts w:ascii="Times New Roman" w:eastAsia="Times New Roman" w:hAnsi="Times New Roman" w:cs="Times New Roman"/>
          <w:color w:val="000000"/>
          <w:sz w:val="24"/>
          <w:szCs w:val="24"/>
          <w:lang w:val="sr-Cyrl-RS"/>
        </w:rPr>
        <w:lastRenderedPageBreak/>
        <w:t>свеобухватније, заправо у скла</w:t>
      </w:r>
      <w:r w:rsidR="005E2BC9" w:rsidRPr="0081082A">
        <w:rPr>
          <w:rFonts w:ascii="Times New Roman" w:eastAsia="Times New Roman" w:hAnsi="Times New Roman" w:cs="Times New Roman"/>
          <w:color w:val="000000"/>
          <w:sz w:val="24"/>
          <w:szCs w:val="24"/>
          <w:lang w:val="sr-Cyrl-RS"/>
        </w:rPr>
        <w:t>ду са 3 (три) Е, економично, еф</w:t>
      </w:r>
      <w:r w:rsidRPr="0081082A">
        <w:rPr>
          <w:rFonts w:ascii="Times New Roman" w:eastAsia="Times New Roman" w:hAnsi="Times New Roman" w:cs="Times New Roman"/>
          <w:color w:val="000000"/>
          <w:sz w:val="24"/>
          <w:szCs w:val="24"/>
          <w:lang w:val="sr-Cyrl-RS"/>
        </w:rPr>
        <w:t xml:space="preserve">икасно и </w:t>
      </w:r>
      <w:r w:rsidR="00156518" w:rsidRPr="0081082A">
        <w:rPr>
          <w:rFonts w:ascii="Times New Roman" w:eastAsia="Times New Roman" w:hAnsi="Times New Roman" w:cs="Times New Roman"/>
          <w:color w:val="000000"/>
          <w:sz w:val="24"/>
          <w:szCs w:val="24"/>
          <w:lang w:val="sr-Cyrl-RS"/>
        </w:rPr>
        <w:t>ефективно, што</w:t>
      </w:r>
      <w:r w:rsidRPr="0081082A">
        <w:rPr>
          <w:rFonts w:ascii="Times New Roman" w:eastAsia="Times New Roman" w:hAnsi="Times New Roman" w:cs="Times New Roman"/>
          <w:color w:val="000000"/>
          <w:sz w:val="24"/>
          <w:szCs w:val="24"/>
          <w:lang w:val="sr-Cyrl-RS"/>
        </w:rPr>
        <w:t xml:space="preserve"> све заједно обезбеђује већу транспарентност.</w:t>
      </w:r>
    </w:p>
    <w:p w:rsidR="004D0595" w:rsidRPr="0081082A" w:rsidRDefault="004D0595" w:rsidP="004D0595">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Истовремено са побољшањем квалитета финансијског </w:t>
      </w:r>
      <w:r w:rsidR="00156518" w:rsidRPr="0081082A">
        <w:rPr>
          <w:rFonts w:ascii="Times New Roman" w:hAnsi="Times New Roman" w:cs="Times New Roman"/>
          <w:sz w:val="24"/>
          <w:szCs w:val="24"/>
          <w:lang w:val="sr-Cyrl-RS"/>
        </w:rPr>
        <w:t>извештавања,</w:t>
      </w:r>
      <w:r w:rsidRPr="0081082A">
        <w:rPr>
          <w:rFonts w:ascii="Times New Roman" w:hAnsi="Times New Roman" w:cs="Times New Roman"/>
          <w:sz w:val="24"/>
          <w:szCs w:val="24"/>
          <w:lang w:val="sr-Cyrl-RS"/>
        </w:rPr>
        <w:t xml:space="preserve"> неопходно је и унапређење рачуноводства у јавном сектору, кроз повећање броја додатно обучених/оспособљених кадрова, обезбеђење превода и примене </w:t>
      </w:r>
      <w:r w:rsidRPr="0081082A">
        <w:rPr>
          <w:rFonts w:ascii="Times New Roman" w:hAnsi="Times New Roman" w:cs="Times New Roman"/>
          <w:i/>
          <w:iCs/>
          <w:sz w:val="24"/>
          <w:szCs w:val="24"/>
          <w:lang w:val="sr-Cyrl-RS"/>
        </w:rPr>
        <w:t>IPSAS</w:t>
      </w:r>
      <w:r w:rsidRPr="0081082A">
        <w:rPr>
          <w:rFonts w:ascii="Times New Roman" w:hAnsi="Times New Roman" w:cs="Times New Roman"/>
          <w:sz w:val="24"/>
          <w:szCs w:val="24"/>
          <w:lang w:val="sr-Cyrl-RS"/>
        </w:rPr>
        <w:t>, као и адекватним ИТ решењима. У складу са наведеним, постижу се следеће предности у области јавних финансија:</w:t>
      </w:r>
    </w:p>
    <w:p w:rsidR="004D0595" w:rsidRPr="0081082A" w:rsidRDefault="004D0595" w:rsidP="004D0595">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1) Унапређена основа за доношење одлука</w:t>
      </w:r>
      <w:r w:rsidR="00DF4618" w:rsidRPr="0081082A">
        <w:rPr>
          <w:rFonts w:ascii="Times New Roman" w:hAnsi="Times New Roman" w:cs="Times New Roman"/>
          <w:sz w:val="24"/>
          <w:szCs w:val="24"/>
          <w:lang w:val="sr-Cyrl-RS"/>
        </w:rPr>
        <w:t>;</w:t>
      </w:r>
    </w:p>
    <w:p w:rsidR="004D0595" w:rsidRPr="0081082A" w:rsidRDefault="004D0595" w:rsidP="004D0595">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2) Унапређена транспарентност</w:t>
      </w:r>
      <w:r w:rsidR="00DF4618"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w:t>
      </w:r>
    </w:p>
    <w:p w:rsidR="004D0595" w:rsidRPr="0081082A" w:rsidRDefault="004D0595" w:rsidP="004D0595">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3) Ефективније/Ефикасније/Економичније програмирање коришћења ресурса</w:t>
      </w:r>
      <w:r w:rsidR="00DF4618"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w:t>
      </w:r>
    </w:p>
    <w:p w:rsidR="004D0595" w:rsidRPr="0081082A" w:rsidRDefault="004D0595" w:rsidP="004D0595">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4) Ојачана одговорност</w:t>
      </w:r>
      <w:r w:rsidR="00DF4618" w:rsidRPr="0081082A">
        <w:rPr>
          <w:rFonts w:ascii="Times New Roman" w:hAnsi="Times New Roman" w:cs="Times New Roman"/>
          <w:sz w:val="24"/>
          <w:szCs w:val="24"/>
          <w:lang w:val="sr-Cyrl-RS"/>
        </w:rPr>
        <w:t>;</w:t>
      </w:r>
    </w:p>
    <w:p w:rsidR="004D0595" w:rsidRPr="0081082A" w:rsidRDefault="004D0595" w:rsidP="004D0595">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5) Стварање услова за поређење података.</w:t>
      </w:r>
    </w:p>
    <w:p w:rsidR="004D0595" w:rsidRPr="0081082A" w:rsidRDefault="004D0595" w:rsidP="004D0595">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Поред програмских мера и активности, у периоду од 2021-2025</w:t>
      </w:r>
      <w:r w:rsidR="003372FE">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године, које се планирају </w:t>
      </w:r>
      <w:r w:rsidR="00156518" w:rsidRPr="0081082A">
        <w:rPr>
          <w:rFonts w:ascii="Times New Roman" w:hAnsi="Times New Roman" w:cs="Times New Roman"/>
          <w:sz w:val="24"/>
          <w:szCs w:val="24"/>
          <w:lang w:val="sr-Cyrl-RS"/>
        </w:rPr>
        <w:t>у складу</w:t>
      </w:r>
      <w:r w:rsidRPr="0081082A">
        <w:rPr>
          <w:rFonts w:ascii="Times New Roman" w:hAnsi="Times New Roman" w:cs="Times New Roman"/>
          <w:sz w:val="24"/>
          <w:szCs w:val="24"/>
          <w:lang w:val="sr-Cyrl-RS"/>
        </w:rPr>
        <w:t xml:space="preserve"> са расположивим ресурсима, у наредном периоду, у систем извршења буџета укључиће се индиректни корисници из области образовања. У циљу даљег повећања транспарентности буџета годишњи извештај о извршењу буџета објављиваће се до краја наредног месеца. Сагледаће се, поред постојећег шестомесечног и деветомесечног извештавања о извршењу буџета, како могућност учесталости извештавања (квартално), тако и ниво детаља који извештаји садрже и њихово јавно објављивање. </w:t>
      </w:r>
    </w:p>
    <w:p w:rsidR="004D0595" w:rsidRPr="0081082A" w:rsidRDefault="004D0595" w:rsidP="004D0595">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Успостављањем јединственог информационог система за планирање, извештавање и рачуноводство корисника средстава буџета </w:t>
      </w:r>
      <w:r w:rsidR="00F641AE" w:rsidRPr="0081082A">
        <w:rPr>
          <w:rFonts w:ascii="Times New Roman" w:hAnsi="Times New Roman" w:cs="Times New Roman"/>
          <w:sz w:val="24"/>
          <w:szCs w:val="24"/>
          <w:lang w:val="sr-Cyrl-RS"/>
        </w:rPr>
        <w:t>Републике Србије</w:t>
      </w:r>
      <w:r w:rsidRPr="0081082A">
        <w:rPr>
          <w:rFonts w:ascii="Times New Roman" w:hAnsi="Times New Roman" w:cs="Times New Roman"/>
          <w:sz w:val="24"/>
          <w:szCs w:val="24"/>
          <w:lang w:val="sr-Cyrl-RS"/>
        </w:rPr>
        <w:t xml:space="preserve"> - СПИРИ, омогућиће се располагање подацима у сваком захтеваном извештајном периоду. </w:t>
      </w:r>
    </w:p>
    <w:p w:rsidR="004D0595" w:rsidRPr="0081082A" w:rsidRDefault="004D0595" w:rsidP="004D0595">
      <w:pPr>
        <w:spacing w:after="0" w:line="240" w:lineRule="auto"/>
        <w:ind w:firstLine="706"/>
        <w:jc w:val="both"/>
        <w:rPr>
          <w:rFonts w:ascii="Calibri" w:eastAsia="Times New Roman" w:hAnsi="Calibri" w:cs="Times New Roman"/>
          <w:lang w:val="sr-Cyrl-RS"/>
        </w:rPr>
      </w:pPr>
      <w:r w:rsidRPr="0081082A">
        <w:rPr>
          <w:rFonts w:ascii="Times New Roman" w:hAnsi="Times New Roman" w:cs="Times New Roman"/>
          <w:sz w:val="24"/>
          <w:szCs w:val="24"/>
          <w:lang w:val="sr-Cyrl-RS"/>
        </w:rPr>
        <w:t>Како се и у претприступном периоду очекује од Републичког завода за статистику да редовно доставља званичне статистичке податке задовољавајућег стандарда и квалитета</w:t>
      </w:r>
      <w:r w:rsidR="00BC535C"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наставиће се са даљим заједничким активностима на обезбеђивању истих. У вези са тим, наставиће се сагледавање размене информација и података од заједничког значаја.  </w:t>
      </w:r>
    </w:p>
    <w:p w:rsidR="004D0595" w:rsidRPr="0081082A" w:rsidRDefault="004D0595" w:rsidP="004D0595">
      <w:pPr>
        <w:pStyle w:val="Heading2"/>
        <w:jc w:val="center"/>
        <w:rPr>
          <w:lang w:val="sr-Cyrl-RS"/>
        </w:rPr>
      </w:pPr>
      <w:r w:rsidRPr="0081082A">
        <w:rPr>
          <w:rFonts w:ascii="Times New Roman" w:eastAsia="Calibri" w:hAnsi="Times New Roman" w:cs="Times New Roman"/>
          <w:sz w:val="24"/>
          <w:szCs w:val="24"/>
          <w:lang w:val="sr-Cyrl-RS"/>
        </w:rPr>
        <w:t>Постигнуто у претходном ПЕРИОДУ</w:t>
      </w:r>
    </w:p>
    <w:p w:rsidR="004D0595" w:rsidRPr="0081082A" w:rsidRDefault="004D0595" w:rsidP="004D0595">
      <w:pPr>
        <w:spacing w:after="0" w:line="240" w:lineRule="auto"/>
        <w:ind w:firstLine="708"/>
        <w:jc w:val="both"/>
        <w:rPr>
          <w:rFonts w:ascii="Times New Roman" w:eastAsia="Times New Roman" w:hAnsi="Times New Roman" w:cs="Times New Roman"/>
          <w:color w:val="000000"/>
          <w:sz w:val="24"/>
          <w:szCs w:val="24"/>
          <w:lang w:val="sr-Cyrl-RS"/>
        </w:rPr>
      </w:pPr>
      <w:r w:rsidRPr="0081082A">
        <w:rPr>
          <w:rFonts w:ascii="Times New Roman" w:eastAsia="Times New Roman" w:hAnsi="Times New Roman" w:cs="Times New Roman"/>
          <w:color w:val="000000"/>
          <w:sz w:val="24"/>
          <w:szCs w:val="24"/>
          <w:lang w:val="sr-Cyrl-RS"/>
        </w:rPr>
        <w:t>Приликом припреме првог ПРУЈФ, у периоду 2016</w:t>
      </w:r>
      <w:r w:rsidR="00BC535C" w:rsidRPr="0081082A">
        <w:rPr>
          <w:rFonts w:ascii="Times New Roman" w:eastAsia="Times New Roman" w:hAnsi="Times New Roman" w:cs="Times New Roman"/>
          <w:color w:val="000000"/>
          <w:sz w:val="24"/>
          <w:szCs w:val="24"/>
          <w:lang w:val="sr-Cyrl-RS"/>
        </w:rPr>
        <w:t>-</w:t>
      </w:r>
      <w:r w:rsidRPr="0081082A">
        <w:rPr>
          <w:rFonts w:ascii="Times New Roman" w:eastAsia="Times New Roman" w:hAnsi="Times New Roman" w:cs="Times New Roman"/>
          <w:color w:val="000000"/>
          <w:sz w:val="24"/>
          <w:szCs w:val="24"/>
          <w:lang w:val="sr-Cyrl-RS"/>
        </w:rPr>
        <w:t>2020.</w:t>
      </w:r>
      <w:r w:rsidR="003372FE">
        <w:rPr>
          <w:rFonts w:ascii="Times New Roman" w:eastAsia="Times New Roman" w:hAnsi="Times New Roman" w:cs="Times New Roman"/>
          <w:color w:val="000000"/>
          <w:sz w:val="24"/>
          <w:szCs w:val="24"/>
          <w:lang w:val="sr-Cyrl-RS"/>
        </w:rPr>
        <w:t xml:space="preserve"> </w:t>
      </w:r>
      <w:r w:rsidRPr="0081082A">
        <w:rPr>
          <w:rFonts w:ascii="Times New Roman" w:eastAsia="Times New Roman" w:hAnsi="Times New Roman" w:cs="Times New Roman"/>
          <w:color w:val="000000"/>
          <w:sz w:val="24"/>
          <w:szCs w:val="24"/>
          <w:lang w:val="sr-Cyrl-RS"/>
        </w:rPr>
        <w:t xml:space="preserve">године, један од реформских стубова односио се на област рачуноводства и финансијског </w:t>
      </w:r>
      <w:r w:rsidRPr="0081082A">
        <w:rPr>
          <w:rFonts w:ascii="Times New Roman" w:hAnsi="Times New Roman"/>
          <w:sz w:val="24"/>
          <w:lang w:val="sr-Cyrl-RS"/>
        </w:rPr>
        <w:t xml:space="preserve">извештавања, где је </w:t>
      </w:r>
      <w:r w:rsidRPr="0081082A">
        <w:rPr>
          <w:rFonts w:ascii="Times New Roman" w:eastAsia="Times New Roman" w:hAnsi="Times New Roman" w:cs="Times New Roman"/>
          <w:color w:val="000000"/>
          <w:sz w:val="24"/>
          <w:szCs w:val="24"/>
          <w:lang w:val="sr-Cyrl-RS"/>
        </w:rPr>
        <w:t xml:space="preserve">у различитим </w:t>
      </w:r>
      <w:r w:rsidRPr="0081082A">
        <w:rPr>
          <w:rFonts w:ascii="Times New Roman" w:hAnsi="Times New Roman"/>
          <w:color w:val="000000"/>
          <w:sz w:val="24"/>
          <w:lang w:val="sr-Cyrl-RS"/>
        </w:rPr>
        <w:t>подсистемима</w:t>
      </w:r>
      <w:r w:rsidRPr="0081082A">
        <w:rPr>
          <w:rFonts w:ascii="Times New Roman" w:eastAsia="Times New Roman" w:hAnsi="Times New Roman" w:cs="Times New Roman"/>
          <w:color w:val="000000"/>
          <w:sz w:val="24"/>
          <w:szCs w:val="24"/>
          <w:lang w:val="sr-Cyrl-RS"/>
        </w:rPr>
        <w:t xml:space="preserve"> ове </w:t>
      </w:r>
      <w:r w:rsidRPr="0081082A">
        <w:rPr>
          <w:rFonts w:ascii="Times New Roman" w:hAnsi="Times New Roman"/>
          <w:color w:val="000000"/>
          <w:sz w:val="24"/>
          <w:lang w:val="sr-Cyrl-RS"/>
        </w:rPr>
        <w:t>области</w:t>
      </w:r>
      <w:r w:rsidRPr="0081082A">
        <w:rPr>
          <w:rFonts w:ascii="Times New Roman" w:eastAsia="Times New Roman" w:hAnsi="Times New Roman" w:cs="Times New Roman"/>
          <w:color w:val="000000"/>
          <w:sz w:val="24"/>
          <w:szCs w:val="24"/>
          <w:lang w:val="sr-Cyrl-RS"/>
        </w:rPr>
        <w:t xml:space="preserve"> препозната потреба за реформама. Законодавни оквир (Закон о буџетском систему, Уредба о буџетском рачуноводству</w:t>
      </w:r>
      <w:r w:rsidRPr="0081082A">
        <w:rPr>
          <w:rStyle w:val="FootnoteReference"/>
          <w:rFonts w:ascii="Times New Roman" w:eastAsia="Times New Roman" w:hAnsi="Times New Roman" w:cs="Times New Roman"/>
          <w:color w:val="000000"/>
          <w:sz w:val="24"/>
          <w:szCs w:val="24"/>
          <w:lang w:val="sr-Cyrl-RS"/>
        </w:rPr>
        <w:footnoteReference w:id="147"/>
      </w:r>
      <w:r w:rsidRPr="0081082A">
        <w:rPr>
          <w:rFonts w:ascii="Times New Roman" w:eastAsia="Times New Roman" w:hAnsi="Times New Roman" w:cs="Times New Roman"/>
          <w:color w:val="000000"/>
          <w:sz w:val="24"/>
          <w:szCs w:val="24"/>
          <w:lang w:val="sr-Cyrl-RS"/>
        </w:rPr>
        <w:t>, Уредба о примени међународних рачуноводствених стандарда у јавном сектору (</w:t>
      </w:r>
      <w:r w:rsidRPr="0081082A">
        <w:rPr>
          <w:rFonts w:ascii="Times New Roman" w:eastAsia="Times New Roman" w:hAnsi="Times New Roman" w:cs="Times New Roman"/>
          <w:i/>
          <w:iCs/>
          <w:color w:val="000000"/>
          <w:sz w:val="24"/>
          <w:szCs w:val="24"/>
          <w:lang w:val="sr-Cyrl-RS"/>
        </w:rPr>
        <w:t>IPSAS</w:t>
      </w:r>
      <w:r w:rsidRPr="0081082A">
        <w:rPr>
          <w:rFonts w:ascii="Times New Roman" w:eastAsia="Times New Roman" w:hAnsi="Times New Roman" w:cs="Times New Roman"/>
          <w:color w:val="000000"/>
          <w:sz w:val="24"/>
          <w:szCs w:val="24"/>
          <w:lang w:val="sr-Cyrl-RS"/>
        </w:rPr>
        <w:t>)</w:t>
      </w:r>
      <w:r w:rsidRPr="0081082A">
        <w:rPr>
          <w:rStyle w:val="FootnoteReference"/>
          <w:rFonts w:ascii="Times New Roman" w:eastAsia="Times New Roman" w:hAnsi="Times New Roman" w:cs="Times New Roman"/>
          <w:color w:val="000000"/>
          <w:sz w:val="24"/>
          <w:szCs w:val="24"/>
          <w:lang w:val="sr-Cyrl-RS"/>
        </w:rPr>
        <w:footnoteReference w:id="148"/>
      </w:r>
      <w:r w:rsidRPr="0081082A">
        <w:rPr>
          <w:rFonts w:ascii="Times New Roman" w:eastAsia="Times New Roman" w:hAnsi="Times New Roman" w:cs="Times New Roman"/>
          <w:color w:val="000000"/>
          <w:sz w:val="24"/>
          <w:szCs w:val="24"/>
          <w:lang w:val="sr-Cyrl-RS"/>
        </w:rPr>
        <w:t>)</w:t>
      </w:r>
      <w:r w:rsidRPr="0081082A">
        <w:rPr>
          <w:rFonts w:ascii="Times New Roman" w:hAnsi="Times New Roman"/>
          <w:color w:val="000000"/>
          <w:sz w:val="24"/>
          <w:lang w:val="sr-Cyrl-RS"/>
        </w:rPr>
        <w:t xml:space="preserve"> </w:t>
      </w:r>
      <w:r w:rsidRPr="0081082A">
        <w:rPr>
          <w:rFonts w:ascii="Times New Roman" w:eastAsia="Times New Roman" w:hAnsi="Times New Roman" w:cs="Times New Roman"/>
          <w:color w:val="000000"/>
          <w:sz w:val="24"/>
          <w:szCs w:val="24"/>
          <w:lang w:val="sr-Cyrl-RS"/>
        </w:rPr>
        <w:t xml:space="preserve">требало је да буде унапређен. У том циљу, активности су усмерене на унапређење постојећег рачуноводства, заснованог на готовинској основи уз примену стандарда рачуноводства у јавном сектору. </w:t>
      </w:r>
    </w:p>
    <w:p w:rsidR="004D0595" w:rsidRPr="0081082A" w:rsidRDefault="004D0595" w:rsidP="004D0595">
      <w:pPr>
        <w:spacing w:after="0" w:line="240" w:lineRule="auto"/>
        <w:ind w:firstLine="708"/>
        <w:jc w:val="both"/>
        <w:rPr>
          <w:rFonts w:ascii="Times New Roman" w:eastAsia="Times New Roman" w:hAnsi="Times New Roman" w:cs="Times New Roman"/>
          <w:color w:val="000000"/>
          <w:sz w:val="24"/>
          <w:szCs w:val="24"/>
          <w:lang w:val="sr-Cyrl-RS"/>
        </w:rPr>
      </w:pPr>
      <w:r w:rsidRPr="0081082A">
        <w:rPr>
          <w:rFonts w:ascii="Times New Roman" w:eastAsia="Times New Roman" w:hAnsi="Times New Roman" w:cs="Times New Roman"/>
          <w:color w:val="000000"/>
          <w:sz w:val="24"/>
          <w:szCs w:val="24"/>
          <w:lang w:val="sr-Cyrl-RS"/>
        </w:rPr>
        <w:t xml:space="preserve">Уз стављање обрачунске основе у дугорочни времени оквир спроведена је Компаративна анализа </w:t>
      </w:r>
      <w:r w:rsidRPr="0081082A">
        <w:rPr>
          <w:rFonts w:ascii="Times New Roman" w:eastAsia="Times New Roman" w:hAnsi="Times New Roman" w:cs="Times New Roman"/>
          <w:iCs/>
          <w:color w:val="000000"/>
          <w:sz w:val="24"/>
          <w:szCs w:val="24"/>
          <w:lang w:val="sr-Cyrl-RS"/>
        </w:rPr>
        <w:t xml:space="preserve">примене </w:t>
      </w:r>
      <w:r w:rsidRPr="0081082A">
        <w:rPr>
          <w:rFonts w:ascii="Times New Roman" w:eastAsia="Times New Roman" w:hAnsi="Times New Roman" w:cs="Times New Roman"/>
          <w:i/>
          <w:iCs/>
          <w:color w:val="000000"/>
          <w:sz w:val="24"/>
          <w:szCs w:val="24"/>
          <w:lang w:val="sr-Cyrl-RS"/>
        </w:rPr>
        <w:t>IPSAS</w:t>
      </w:r>
      <w:r w:rsidRPr="0081082A">
        <w:rPr>
          <w:rFonts w:ascii="Times New Roman" w:eastAsia="Times New Roman" w:hAnsi="Times New Roman" w:cs="Times New Roman"/>
          <w:color w:val="000000"/>
          <w:sz w:val="24"/>
          <w:szCs w:val="24"/>
          <w:lang w:val="sr-Cyrl-RS"/>
        </w:rPr>
        <w:t xml:space="preserve"> узимајући у обзир земље у региону које су већ прешле на рачуноводство </w:t>
      </w:r>
      <w:r w:rsidR="00156518" w:rsidRPr="0081082A">
        <w:rPr>
          <w:rFonts w:ascii="Times New Roman" w:eastAsia="Times New Roman" w:hAnsi="Times New Roman" w:cs="Times New Roman"/>
          <w:color w:val="000000"/>
          <w:sz w:val="24"/>
          <w:szCs w:val="24"/>
          <w:lang w:val="sr-Cyrl-RS"/>
        </w:rPr>
        <w:t>засновано на обрачунској основи, посебно</w:t>
      </w:r>
      <w:r w:rsidRPr="0081082A">
        <w:rPr>
          <w:rFonts w:ascii="Times New Roman" w:eastAsia="Times New Roman" w:hAnsi="Times New Roman" w:cs="Times New Roman"/>
          <w:color w:val="000000"/>
          <w:sz w:val="24"/>
          <w:szCs w:val="24"/>
          <w:lang w:val="sr-Cyrl-RS"/>
        </w:rPr>
        <w:t xml:space="preserve"> имајући у виду </w:t>
      </w:r>
      <w:r w:rsidRPr="0081082A">
        <w:rPr>
          <w:rFonts w:ascii="Times New Roman" w:eastAsia="Times New Roman" w:hAnsi="Times New Roman" w:cs="Times New Roman"/>
          <w:color w:val="000000"/>
          <w:sz w:val="24"/>
          <w:szCs w:val="24"/>
          <w:lang w:val="sr-Cyrl-RS"/>
        </w:rPr>
        <w:lastRenderedPageBreak/>
        <w:t xml:space="preserve">неуједначену праксу у овој области у земљама чланицама ЕУ. На основу </w:t>
      </w:r>
      <w:r w:rsidR="00156518" w:rsidRPr="0081082A">
        <w:rPr>
          <w:rFonts w:ascii="Times New Roman" w:eastAsia="Times New Roman" w:hAnsi="Times New Roman" w:cs="Times New Roman"/>
          <w:color w:val="000000"/>
          <w:sz w:val="24"/>
          <w:szCs w:val="24"/>
          <w:lang w:val="sr-Cyrl-RS"/>
        </w:rPr>
        <w:t>тога, закључено</w:t>
      </w:r>
      <w:r w:rsidRPr="0081082A">
        <w:rPr>
          <w:rFonts w:ascii="Times New Roman" w:eastAsia="Times New Roman" w:hAnsi="Times New Roman" w:cs="Times New Roman"/>
          <w:color w:val="000000"/>
          <w:sz w:val="24"/>
          <w:szCs w:val="24"/>
          <w:lang w:val="sr-Cyrl-RS"/>
        </w:rPr>
        <w:t xml:space="preserve"> је да је потребно обезбедити законске, техничке и кадровске услове за адекватну примену стандарда у рачуноводству у </w:t>
      </w:r>
      <w:r w:rsidR="00156518" w:rsidRPr="0081082A">
        <w:rPr>
          <w:rFonts w:ascii="Times New Roman" w:eastAsia="Times New Roman" w:hAnsi="Times New Roman" w:cs="Times New Roman"/>
          <w:color w:val="000000"/>
          <w:sz w:val="24"/>
          <w:szCs w:val="24"/>
          <w:lang w:val="sr-Cyrl-RS"/>
        </w:rPr>
        <w:t>јавном сектору</w:t>
      </w:r>
      <w:r w:rsidRPr="0081082A">
        <w:rPr>
          <w:rFonts w:ascii="Times New Roman" w:eastAsia="Times New Roman" w:hAnsi="Times New Roman" w:cs="Times New Roman"/>
          <w:color w:val="000000"/>
          <w:sz w:val="24"/>
          <w:szCs w:val="24"/>
          <w:lang w:val="sr-Cyrl-RS"/>
        </w:rPr>
        <w:t>.</w:t>
      </w:r>
    </w:p>
    <w:p w:rsidR="004D0595" w:rsidRPr="0081082A" w:rsidRDefault="004D0595" w:rsidP="004D0595">
      <w:pPr>
        <w:spacing w:after="0" w:line="240" w:lineRule="auto"/>
        <w:ind w:firstLine="708"/>
        <w:jc w:val="both"/>
        <w:rPr>
          <w:rFonts w:ascii="Times New Roman" w:eastAsia="Times New Roman" w:hAnsi="Times New Roman" w:cs="Times New Roman"/>
          <w:color w:val="000000"/>
          <w:sz w:val="24"/>
          <w:szCs w:val="24"/>
          <w:lang w:val="sr-Cyrl-RS"/>
        </w:rPr>
      </w:pPr>
      <w:r w:rsidRPr="0081082A">
        <w:rPr>
          <w:rFonts w:ascii="Times New Roman" w:eastAsia="Times New Roman" w:hAnsi="Times New Roman" w:cs="Times New Roman"/>
          <w:color w:val="000000"/>
          <w:sz w:val="24"/>
          <w:szCs w:val="24"/>
          <w:lang w:val="sr-Cyrl-RS"/>
        </w:rPr>
        <w:t>Такође, израђен је нацрт</w:t>
      </w:r>
      <w:r w:rsidRPr="0081082A">
        <w:rPr>
          <w:rFonts w:ascii="Times New Roman" w:hAnsi="Times New Roman"/>
          <w:i/>
          <w:color w:val="000000"/>
          <w:sz w:val="24"/>
          <w:lang w:val="sr-Cyrl-RS"/>
        </w:rPr>
        <w:t xml:space="preserve"> </w:t>
      </w:r>
      <w:r w:rsidRPr="0081082A">
        <w:rPr>
          <w:rFonts w:ascii="Times New Roman" w:hAnsi="Times New Roman"/>
          <w:i/>
          <w:sz w:val="24"/>
          <w:lang w:val="sr-Cyrl-RS"/>
        </w:rPr>
        <w:t>Cost</w:t>
      </w:r>
      <w:r w:rsidRPr="0081082A">
        <w:rPr>
          <w:rFonts w:ascii="Times New Roman" w:eastAsia="Times New Roman" w:hAnsi="Times New Roman" w:cs="Times New Roman"/>
          <w:i/>
          <w:color w:val="000000"/>
          <w:sz w:val="24"/>
          <w:szCs w:val="24"/>
          <w:lang w:val="sr-Cyrl-RS"/>
        </w:rPr>
        <w:t>-benefit</w:t>
      </w:r>
      <w:r w:rsidRPr="0081082A">
        <w:rPr>
          <w:rFonts w:ascii="Times New Roman" w:eastAsia="Times New Roman" w:hAnsi="Times New Roman" w:cs="Times New Roman"/>
          <w:color w:val="000000"/>
          <w:sz w:val="24"/>
          <w:szCs w:val="24"/>
          <w:lang w:val="sr-Cyrl-RS"/>
        </w:rPr>
        <w:t xml:space="preserve"> анализе, односно анализа опција, њихових трошкова и користи и ризика, у вези са реформом рачуноводственог система и применом </w:t>
      </w:r>
      <w:r w:rsidRPr="0081082A">
        <w:rPr>
          <w:rFonts w:ascii="Times New Roman" w:eastAsia="Times New Roman" w:hAnsi="Times New Roman" w:cs="Times New Roman"/>
          <w:i/>
          <w:color w:val="000000"/>
          <w:sz w:val="24"/>
          <w:szCs w:val="24"/>
          <w:lang w:val="sr-Cyrl-RS"/>
        </w:rPr>
        <w:t>IPSAS</w:t>
      </w:r>
      <w:r w:rsidRPr="0081082A">
        <w:rPr>
          <w:rFonts w:ascii="Times New Roman" w:eastAsia="Times New Roman" w:hAnsi="Times New Roman" w:cs="Times New Roman"/>
          <w:color w:val="000000"/>
          <w:sz w:val="24"/>
          <w:szCs w:val="24"/>
          <w:lang w:val="sr-Cyrl-RS"/>
        </w:rPr>
        <w:t xml:space="preserve"> у </w:t>
      </w:r>
      <w:r w:rsidR="00F641AE" w:rsidRPr="0081082A">
        <w:rPr>
          <w:rFonts w:ascii="Times New Roman" w:hAnsi="Times New Roman" w:cs="Times New Roman"/>
          <w:sz w:val="24"/>
          <w:szCs w:val="24"/>
          <w:lang w:val="sr-Cyrl-RS"/>
        </w:rPr>
        <w:t>Републици Србији</w:t>
      </w:r>
      <w:r w:rsidRPr="0081082A">
        <w:rPr>
          <w:rFonts w:ascii="Times New Roman" w:eastAsia="Times New Roman" w:hAnsi="Times New Roman" w:cs="Times New Roman"/>
          <w:color w:val="000000"/>
          <w:sz w:val="24"/>
          <w:szCs w:val="24"/>
          <w:lang w:val="sr-Cyrl-RS"/>
        </w:rPr>
        <w:t xml:space="preserve">. </w:t>
      </w:r>
    </w:p>
    <w:p w:rsidR="004D0595" w:rsidRPr="0081082A" w:rsidRDefault="004D0595" w:rsidP="004D0595">
      <w:pPr>
        <w:spacing w:after="0" w:line="240" w:lineRule="auto"/>
        <w:ind w:firstLine="708"/>
        <w:jc w:val="both"/>
        <w:rPr>
          <w:rFonts w:ascii="Times New Roman" w:eastAsia="Times New Roman" w:hAnsi="Times New Roman" w:cs="Times New Roman"/>
          <w:color w:val="000000"/>
          <w:sz w:val="24"/>
          <w:szCs w:val="24"/>
          <w:lang w:val="sr-Cyrl-RS"/>
        </w:rPr>
      </w:pPr>
      <w:r w:rsidRPr="0081082A">
        <w:rPr>
          <w:rFonts w:ascii="Times New Roman" w:eastAsia="Times New Roman" w:hAnsi="Times New Roman" w:cs="Times New Roman"/>
          <w:color w:val="000000"/>
          <w:sz w:val="24"/>
          <w:szCs w:val="24"/>
          <w:lang w:val="sr-Cyrl-RS"/>
        </w:rPr>
        <w:t xml:space="preserve">Поред тога, </w:t>
      </w:r>
      <w:r w:rsidRPr="0081082A">
        <w:rPr>
          <w:rFonts w:ascii="Times New Roman" w:hAnsi="Times New Roman"/>
          <w:sz w:val="24"/>
          <w:lang w:val="sr-Cyrl-RS"/>
        </w:rPr>
        <w:t>Светска</w:t>
      </w:r>
      <w:r w:rsidRPr="0081082A">
        <w:rPr>
          <w:rFonts w:ascii="Times New Roman" w:eastAsia="Times New Roman" w:hAnsi="Times New Roman" w:cs="Times New Roman"/>
          <w:color w:val="000000"/>
          <w:sz w:val="24"/>
          <w:szCs w:val="24"/>
          <w:lang w:val="sr-Cyrl-RS"/>
        </w:rPr>
        <w:t xml:space="preserve"> банка је у оквиру Извештаја о побољшању финансијског извештавања у јавном сектору</w:t>
      </w:r>
      <w:r w:rsidRPr="0081082A">
        <w:rPr>
          <w:rFonts w:ascii="Times New Roman" w:eastAsia="Times New Roman" w:hAnsi="Times New Roman" w:cs="Times New Roman"/>
          <w:color w:val="000000"/>
          <w:sz w:val="24"/>
          <w:szCs w:val="24"/>
          <w:vertAlign w:val="superscript"/>
          <w:lang w:val="sr-Cyrl-RS"/>
        </w:rPr>
        <w:footnoteReference w:id="149"/>
      </w:r>
      <w:r w:rsidRPr="0081082A">
        <w:rPr>
          <w:rFonts w:ascii="Times New Roman" w:eastAsia="Times New Roman" w:hAnsi="Times New Roman" w:cs="Times New Roman"/>
          <w:color w:val="000000"/>
          <w:sz w:val="24"/>
          <w:szCs w:val="24"/>
          <w:lang w:val="sr-Cyrl-RS"/>
        </w:rPr>
        <w:t xml:space="preserve"> из 2018. године спровела Анализу јаза између опште прихваћених рачуноводствених принципа у јавном сектору </w:t>
      </w:r>
      <w:r w:rsidR="00F641AE" w:rsidRPr="0081082A">
        <w:rPr>
          <w:rFonts w:ascii="Times New Roman" w:hAnsi="Times New Roman" w:cs="Times New Roman"/>
          <w:sz w:val="24"/>
          <w:szCs w:val="24"/>
          <w:lang w:val="sr-Cyrl-RS"/>
        </w:rPr>
        <w:t>Републике Србије</w:t>
      </w:r>
      <w:r w:rsidRPr="0081082A">
        <w:rPr>
          <w:rFonts w:ascii="Times New Roman" w:eastAsia="Times New Roman" w:hAnsi="Times New Roman" w:cs="Times New Roman"/>
          <w:color w:val="000000"/>
          <w:sz w:val="24"/>
          <w:szCs w:val="24"/>
          <w:lang w:val="sr-Cyrl-RS"/>
        </w:rPr>
        <w:t xml:space="preserve"> и </w:t>
      </w:r>
      <w:r w:rsidRPr="0081082A">
        <w:rPr>
          <w:rFonts w:ascii="Times New Roman" w:eastAsia="Times New Roman" w:hAnsi="Times New Roman" w:cs="Times New Roman"/>
          <w:i/>
          <w:color w:val="000000"/>
          <w:sz w:val="24"/>
          <w:szCs w:val="24"/>
          <w:lang w:val="sr-Cyrl-RS"/>
        </w:rPr>
        <w:t>IPSAS</w:t>
      </w:r>
      <w:r w:rsidRPr="0081082A">
        <w:rPr>
          <w:rFonts w:ascii="Times New Roman" w:eastAsia="Times New Roman" w:hAnsi="Times New Roman" w:cs="Times New Roman"/>
          <w:color w:val="000000"/>
          <w:sz w:val="24"/>
          <w:szCs w:val="24"/>
          <w:lang w:val="sr-Cyrl-RS"/>
        </w:rPr>
        <w:t xml:space="preserve">, што је дало јасне показатеље који су принципи рачуноводства у јавном сектору </w:t>
      </w:r>
      <w:r w:rsidR="00F641AE" w:rsidRPr="0081082A">
        <w:rPr>
          <w:rFonts w:ascii="Times New Roman" w:hAnsi="Times New Roman" w:cs="Times New Roman"/>
          <w:sz w:val="24"/>
          <w:szCs w:val="24"/>
          <w:lang w:val="sr-Cyrl-RS"/>
        </w:rPr>
        <w:t>Републике Србије</w:t>
      </w:r>
      <w:r w:rsidRPr="0081082A">
        <w:rPr>
          <w:rFonts w:ascii="Times New Roman" w:eastAsia="Times New Roman" w:hAnsi="Times New Roman" w:cs="Times New Roman"/>
          <w:color w:val="000000"/>
          <w:sz w:val="24"/>
          <w:szCs w:val="24"/>
          <w:lang w:val="sr-Cyrl-RS"/>
        </w:rPr>
        <w:t xml:space="preserve"> усклађени са </w:t>
      </w:r>
      <w:r w:rsidRPr="0081082A">
        <w:rPr>
          <w:rFonts w:ascii="Times New Roman" w:eastAsia="Times New Roman" w:hAnsi="Times New Roman" w:cs="Times New Roman"/>
          <w:i/>
          <w:iCs/>
          <w:color w:val="000000"/>
          <w:sz w:val="24"/>
          <w:szCs w:val="24"/>
          <w:lang w:val="sr-Cyrl-RS"/>
        </w:rPr>
        <w:t>IPSAS</w:t>
      </w:r>
      <w:r w:rsidRPr="0081082A">
        <w:rPr>
          <w:rFonts w:ascii="Times New Roman" w:eastAsia="Times New Roman" w:hAnsi="Times New Roman" w:cs="Times New Roman"/>
          <w:color w:val="000000"/>
          <w:sz w:val="24"/>
          <w:szCs w:val="24"/>
          <w:lang w:val="sr-Cyrl-RS"/>
        </w:rPr>
        <w:t xml:space="preserve">. </w:t>
      </w:r>
      <w:r w:rsidRPr="0081082A">
        <w:rPr>
          <w:rStyle w:val="FootnoteReference"/>
          <w:rFonts w:ascii="Times New Roman" w:eastAsia="Times New Roman" w:hAnsi="Times New Roman" w:cs="Times New Roman"/>
          <w:color w:val="000000"/>
          <w:sz w:val="24"/>
          <w:szCs w:val="24"/>
          <w:lang w:val="sr-Cyrl-RS"/>
        </w:rPr>
        <w:footnoteReference w:id="150"/>
      </w:r>
    </w:p>
    <w:p w:rsidR="004D0595" w:rsidRPr="0081082A" w:rsidRDefault="004D0595" w:rsidP="004D0595">
      <w:pPr>
        <w:spacing w:after="0" w:line="240" w:lineRule="auto"/>
        <w:ind w:firstLine="708"/>
        <w:jc w:val="both"/>
        <w:rPr>
          <w:rFonts w:ascii="Times New Roman" w:eastAsia="Times New Roman" w:hAnsi="Times New Roman" w:cs="Times New Roman"/>
          <w:iCs/>
          <w:color w:val="000000"/>
          <w:sz w:val="24"/>
          <w:szCs w:val="24"/>
          <w:lang w:val="sr-Cyrl-RS"/>
        </w:rPr>
      </w:pPr>
      <w:r w:rsidRPr="0081082A">
        <w:rPr>
          <w:rFonts w:ascii="Times New Roman" w:eastAsia="Times New Roman" w:hAnsi="Times New Roman" w:cs="Times New Roman"/>
          <w:color w:val="000000"/>
          <w:sz w:val="24"/>
          <w:szCs w:val="24"/>
          <w:lang w:val="sr-Cyrl-RS"/>
        </w:rPr>
        <w:t xml:space="preserve">Паралелно са планом за унапређење рачуноводства, јасна је била и потреба за унапређењем вештина државних рачуновођа. Њихово недовољно познавање </w:t>
      </w:r>
      <w:r w:rsidRPr="0081082A">
        <w:rPr>
          <w:rFonts w:ascii="Times New Roman" w:eastAsia="Times New Roman" w:hAnsi="Times New Roman" w:cs="Times New Roman"/>
          <w:i/>
          <w:iCs/>
          <w:color w:val="000000"/>
          <w:sz w:val="24"/>
          <w:szCs w:val="24"/>
          <w:lang w:val="sr-Cyrl-RS"/>
        </w:rPr>
        <w:t>IPSAS</w:t>
      </w:r>
      <w:r w:rsidRPr="0081082A">
        <w:rPr>
          <w:rFonts w:ascii="Times New Roman" w:eastAsia="Times New Roman" w:hAnsi="Times New Roman" w:cs="Times New Roman"/>
          <w:color w:val="000000"/>
          <w:sz w:val="24"/>
          <w:szCs w:val="24"/>
          <w:lang w:val="sr-Cyrl-RS"/>
        </w:rPr>
        <w:t xml:space="preserve">  идентификовано је као ризик за постизање промене у систему, што је довело до потребе за редовним обукама за рачуновође. </w:t>
      </w:r>
      <w:r w:rsidRPr="0081082A">
        <w:rPr>
          <w:rFonts w:ascii="Times New Roman" w:eastAsia="Times New Roman" w:hAnsi="Times New Roman" w:cs="Times New Roman"/>
          <w:iCs/>
          <w:color w:val="000000"/>
          <w:sz w:val="24"/>
          <w:szCs w:val="24"/>
          <w:lang w:val="sr-Cyrl-RS"/>
        </w:rPr>
        <w:t xml:space="preserve">Јачање капацитета и ресурса како у Министарству финансија - Управи за трезор, тако и код корисника јавних </w:t>
      </w:r>
      <w:r w:rsidR="00156518" w:rsidRPr="0081082A">
        <w:rPr>
          <w:rFonts w:ascii="Times New Roman" w:eastAsia="Times New Roman" w:hAnsi="Times New Roman" w:cs="Times New Roman"/>
          <w:iCs/>
          <w:color w:val="000000"/>
          <w:sz w:val="24"/>
          <w:szCs w:val="24"/>
          <w:lang w:val="sr-Cyrl-RS"/>
        </w:rPr>
        <w:t>средстава један</w:t>
      </w:r>
      <w:r w:rsidRPr="0081082A">
        <w:rPr>
          <w:rFonts w:ascii="Times New Roman" w:eastAsia="Times New Roman" w:hAnsi="Times New Roman" w:cs="Times New Roman"/>
          <w:iCs/>
          <w:color w:val="000000"/>
          <w:sz w:val="24"/>
          <w:szCs w:val="24"/>
          <w:lang w:val="sr-Cyrl-RS"/>
        </w:rPr>
        <w:t xml:space="preserve"> је од главних предуслова за ефикасно спровођење реформе рачуноводства у јавном сектору. </w:t>
      </w:r>
    </w:p>
    <w:p w:rsidR="004D0595" w:rsidRPr="0081082A" w:rsidRDefault="004D0595" w:rsidP="004D0595">
      <w:pPr>
        <w:spacing w:after="0" w:line="240" w:lineRule="auto"/>
        <w:ind w:firstLine="708"/>
        <w:jc w:val="both"/>
        <w:rPr>
          <w:rFonts w:ascii="Times New Roman" w:eastAsia="Times New Roman" w:hAnsi="Times New Roman" w:cs="Times New Roman"/>
          <w:iCs/>
          <w:color w:val="000000"/>
          <w:sz w:val="24"/>
          <w:szCs w:val="24"/>
          <w:lang w:val="sr-Cyrl-RS"/>
        </w:rPr>
      </w:pPr>
      <w:r w:rsidRPr="0081082A">
        <w:rPr>
          <w:rFonts w:ascii="Times New Roman" w:eastAsia="Times New Roman" w:hAnsi="Times New Roman" w:cs="Times New Roman"/>
          <w:iCs/>
          <w:color w:val="000000"/>
          <w:sz w:val="24"/>
          <w:szCs w:val="24"/>
          <w:lang w:val="sr-Cyrl-RS"/>
        </w:rPr>
        <w:t xml:space="preserve">Препознато је да не постоје јасни и усклађени законски услови који се односе на професионално образовање рачуновођа, главних рачуновођа и руководилаца рачуноводствених служби. Једна од првих активности будуће </w:t>
      </w:r>
      <w:r w:rsidR="007F054D" w:rsidRPr="0081082A">
        <w:rPr>
          <w:rFonts w:ascii="Times New Roman" w:eastAsia="Times New Roman" w:hAnsi="Times New Roman" w:cs="Times New Roman"/>
          <w:iCs/>
          <w:color w:val="000000"/>
          <w:sz w:val="24"/>
          <w:szCs w:val="24"/>
          <w:lang w:val="sr-Cyrl-RS"/>
        </w:rPr>
        <w:t>к</w:t>
      </w:r>
      <w:r w:rsidRPr="0081082A">
        <w:rPr>
          <w:rFonts w:ascii="Times New Roman" w:eastAsia="Times New Roman" w:hAnsi="Times New Roman" w:cs="Times New Roman"/>
          <w:iCs/>
          <w:color w:val="000000"/>
          <w:sz w:val="24"/>
          <w:szCs w:val="24"/>
          <w:lang w:val="sr-Cyrl-RS"/>
        </w:rPr>
        <w:t>омисије за примену међународних рачуноводствених стандарда за јавни сектор ка јачању кадровских капацитета требало би да буде доношење националног стандарда едукације за професионалне рачуновође, којима се уређују стицање знања, образовни програми, лиценцирање професионалне оспособљености, право и обавеза континуиране едукације и друго. У претходном периоду, Управа за трезор је била укључена у међународни пилот пројекат сертификације рачуновођа у јавном сектору у оквиру којег је спроведен Програм обуке за стицање сертификата рачуновођа, у складу са међународним стандардима и праксом.</w:t>
      </w:r>
      <w:r w:rsidRPr="0081082A">
        <w:rPr>
          <w:rStyle w:val="FootnoteReference"/>
          <w:rFonts w:ascii="Times New Roman" w:eastAsia="Times New Roman" w:hAnsi="Times New Roman" w:cs="Times New Roman"/>
          <w:iCs/>
          <w:color w:val="000000"/>
          <w:sz w:val="24"/>
          <w:szCs w:val="24"/>
          <w:lang w:val="sr-Cyrl-RS"/>
        </w:rPr>
        <w:footnoteReference w:id="151"/>
      </w:r>
      <w:r w:rsidRPr="0081082A">
        <w:rPr>
          <w:rFonts w:ascii="Times New Roman" w:eastAsia="Times New Roman" w:hAnsi="Times New Roman" w:cs="Times New Roman"/>
          <w:iCs/>
          <w:color w:val="000000"/>
          <w:sz w:val="24"/>
          <w:szCs w:val="24"/>
          <w:lang w:val="sr-Cyrl-RS"/>
        </w:rPr>
        <w:t xml:space="preserve"> Међународни сертификат стекло је 25 полазника. Управа за трезор је </w:t>
      </w:r>
      <w:r w:rsidR="00156518" w:rsidRPr="0081082A">
        <w:rPr>
          <w:rFonts w:ascii="Times New Roman" w:eastAsia="Times New Roman" w:hAnsi="Times New Roman" w:cs="Times New Roman"/>
          <w:iCs/>
          <w:color w:val="000000"/>
          <w:sz w:val="24"/>
          <w:szCs w:val="24"/>
          <w:lang w:val="sr-Cyrl-RS"/>
        </w:rPr>
        <w:t>реализовала две</w:t>
      </w:r>
      <w:r w:rsidRPr="0081082A">
        <w:rPr>
          <w:rFonts w:ascii="Times New Roman" w:eastAsia="Times New Roman" w:hAnsi="Times New Roman" w:cs="Times New Roman"/>
          <w:iCs/>
          <w:color w:val="000000"/>
          <w:sz w:val="24"/>
          <w:szCs w:val="24"/>
          <w:lang w:val="sr-Cyrl-RS"/>
        </w:rPr>
        <w:t xml:space="preserve"> обуке о познавању </w:t>
      </w:r>
      <w:r w:rsidRPr="0081082A">
        <w:rPr>
          <w:rFonts w:ascii="Times New Roman" w:eastAsia="Times New Roman" w:hAnsi="Times New Roman" w:cs="Times New Roman"/>
          <w:i/>
          <w:iCs/>
          <w:color w:val="000000"/>
          <w:sz w:val="24"/>
          <w:szCs w:val="24"/>
          <w:lang w:val="sr-Cyrl-RS"/>
        </w:rPr>
        <w:t>IPSAS</w:t>
      </w:r>
      <w:r w:rsidRPr="0081082A">
        <w:rPr>
          <w:rFonts w:ascii="Times New Roman" w:eastAsia="Times New Roman" w:hAnsi="Times New Roman" w:cs="Times New Roman"/>
          <w:iCs/>
          <w:color w:val="000000"/>
          <w:sz w:val="24"/>
          <w:szCs w:val="24"/>
          <w:lang w:val="sr-Cyrl-RS"/>
        </w:rPr>
        <w:t xml:space="preserve"> које је похађало 138 учесника. </w:t>
      </w:r>
    </w:p>
    <w:p w:rsidR="004D0595" w:rsidRPr="0081082A" w:rsidRDefault="004D0595" w:rsidP="004D0595">
      <w:pPr>
        <w:spacing w:after="0" w:line="240" w:lineRule="auto"/>
        <w:ind w:firstLine="708"/>
        <w:jc w:val="both"/>
        <w:rPr>
          <w:rFonts w:ascii="Times New Roman" w:hAnsi="Times New Roman" w:cs="Times New Roman"/>
          <w:iCs/>
          <w:sz w:val="24"/>
          <w:szCs w:val="24"/>
          <w:lang w:val="sr-Cyrl-RS"/>
        </w:rPr>
      </w:pPr>
      <w:r w:rsidRPr="0081082A">
        <w:rPr>
          <w:rFonts w:ascii="Times New Roman" w:eastAsia="Calibri" w:hAnsi="Times New Roman" w:cs="Times New Roman"/>
          <w:sz w:val="24"/>
          <w:szCs w:val="24"/>
          <w:lang w:val="sr-Cyrl-RS"/>
        </w:rPr>
        <w:t xml:space="preserve">У циљу приближавања </w:t>
      </w:r>
      <w:r w:rsidR="00F641AE" w:rsidRPr="0081082A">
        <w:rPr>
          <w:rFonts w:ascii="Times New Roman" w:hAnsi="Times New Roman" w:cs="Times New Roman"/>
          <w:sz w:val="24"/>
          <w:szCs w:val="24"/>
          <w:lang w:val="sr-Cyrl-RS"/>
        </w:rPr>
        <w:t>Републике Србије</w:t>
      </w:r>
      <w:r w:rsidRPr="0081082A">
        <w:rPr>
          <w:rFonts w:ascii="Times New Roman" w:eastAsia="Calibri" w:hAnsi="Times New Roman" w:cs="Times New Roman"/>
          <w:sz w:val="24"/>
          <w:szCs w:val="24"/>
          <w:lang w:val="sr-Cyrl-RS"/>
        </w:rPr>
        <w:t xml:space="preserve"> рачуноводственим стандардима ЕУ на ширем плану, Министарство финансија, поред планова примене </w:t>
      </w:r>
      <w:r w:rsidRPr="0081082A">
        <w:rPr>
          <w:rFonts w:ascii="Times New Roman" w:eastAsia="Calibri" w:hAnsi="Times New Roman" w:cs="Times New Roman"/>
          <w:i/>
          <w:iCs/>
          <w:sz w:val="24"/>
          <w:szCs w:val="24"/>
          <w:lang w:val="sr-Cyrl-RS"/>
        </w:rPr>
        <w:t>IPSAS</w:t>
      </w:r>
      <w:r w:rsidRPr="0081082A">
        <w:rPr>
          <w:rFonts w:ascii="Times New Roman" w:eastAsia="Calibri" w:hAnsi="Times New Roman" w:cs="Times New Roman"/>
          <w:sz w:val="24"/>
          <w:szCs w:val="24"/>
          <w:lang w:val="sr-Cyrl-RS"/>
        </w:rPr>
        <w:t>, прати и активности везане за израду „Европских рачуноводствених стaндaрдa зa јавни сектор</w:t>
      </w:r>
      <w:r w:rsidR="007E728E"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(у даљем тексту: </w:t>
      </w:r>
      <w:r w:rsidRPr="0081082A">
        <w:rPr>
          <w:rFonts w:ascii="Times New Roman" w:eastAsia="Calibri" w:hAnsi="Times New Roman" w:cs="Times New Roman"/>
          <w:i/>
          <w:sz w:val="24"/>
          <w:szCs w:val="24"/>
          <w:lang w:val="sr-Cyrl-RS"/>
        </w:rPr>
        <w:t>EPSAS</w:t>
      </w:r>
      <w:r w:rsidRPr="0081082A">
        <w:rPr>
          <w:rFonts w:ascii="Times New Roman" w:eastAsia="Calibri" w:hAnsi="Times New Roman" w:cs="Times New Roman"/>
          <w:sz w:val="24"/>
          <w:szCs w:val="24"/>
          <w:lang w:val="sr-Cyrl-RS"/>
        </w:rPr>
        <w:t xml:space="preserve">) који још увек нису део Правних тековина ЕУ и чије увођење, према оцени </w:t>
      </w:r>
      <w:r w:rsidR="007F054D" w:rsidRPr="0081082A">
        <w:rPr>
          <w:rFonts w:ascii="Times New Roman" w:hAnsi="Times New Roman" w:cs="Times New Roman"/>
          <w:sz w:val="24"/>
          <w:szCs w:val="21"/>
          <w:lang w:val="sr-Cyrl-RS"/>
        </w:rPr>
        <w:t>ЕК</w:t>
      </w:r>
      <w:r w:rsidRPr="0081082A">
        <w:rPr>
          <w:rFonts w:ascii="Times New Roman" w:eastAsia="Calibri" w:hAnsi="Times New Roman" w:cs="Times New Roman"/>
          <w:sz w:val="24"/>
          <w:szCs w:val="24"/>
          <w:lang w:val="sr-Cyrl-RS"/>
        </w:rPr>
        <w:t>, представља једну од највећих реформи у историји Европе</w:t>
      </w:r>
      <w:r w:rsidRPr="0081082A">
        <w:rPr>
          <w:rStyle w:val="FootnoteReference"/>
          <w:rFonts w:ascii="Times New Roman" w:eastAsia="Calibri" w:hAnsi="Times New Roman" w:cs="Times New Roman"/>
          <w:sz w:val="24"/>
          <w:szCs w:val="24"/>
          <w:lang w:val="sr-Cyrl-RS"/>
        </w:rPr>
        <w:footnoteReference w:id="152"/>
      </w:r>
      <w:r w:rsidRPr="0081082A">
        <w:rPr>
          <w:rFonts w:ascii="Times New Roman" w:eastAsia="Calibri" w:hAnsi="Times New Roman" w:cs="Times New Roman"/>
          <w:sz w:val="24"/>
          <w:szCs w:val="24"/>
          <w:lang w:val="sr-Cyrl-RS"/>
        </w:rPr>
        <w:t xml:space="preserve">.  </w:t>
      </w:r>
      <w:r w:rsidRPr="0081082A">
        <w:rPr>
          <w:rFonts w:ascii="Times New Roman" w:hAnsi="Times New Roman" w:cs="Times New Roman"/>
          <w:iCs/>
          <w:sz w:val="24"/>
          <w:szCs w:val="24"/>
          <w:lang w:val="sr-Cyrl-RS"/>
        </w:rPr>
        <w:t xml:space="preserve"> </w:t>
      </w:r>
    </w:p>
    <w:p w:rsidR="004D0595" w:rsidRPr="0081082A" w:rsidRDefault="004D0595" w:rsidP="004D0595">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lastRenderedPageBreak/>
        <w:t xml:space="preserve">Управа за трезор, као главни носилац реформских </w:t>
      </w:r>
      <w:r w:rsidR="00156518" w:rsidRPr="0081082A">
        <w:rPr>
          <w:rFonts w:ascii="Times New Roman" w:hAnsi="Times New Roman" w:cs="Times New Roman"/>
          <w:sz w:val="24"/>
          <w:szCs w:val="24"/>
          <w:lang w:val="sr-Cyrl-RS"/>
        </w:rPr>
        <w:t>мера, крајем</w:t>
      </w:r>
      <w:r w:rsidRPr="0081082A">
        <w:rPr>
          <w:rFonts w:ascii="Times New Roman" w:hAnsi="Times New Roman" w:cs="Times New Roman"/>
          <w:sz w:val="24"/>
          <w:szCs w:val="24"/>
          <w:lang w:val="sr-Cyrl-RS"/>
        </w:rPr>
        <w:t xml:space="preserve"> 2017. године, усвојила је измене и допуне Правилника о систему извршења буџета </w:t>
      </w:r>
      <w:r w:rsidR="00F641AE" w:rsidRPr="0081082A">
        <w:rPr>
          <w:rFonts w:ascii="Times New Roman" w:hAnsi="Times New Roman" w:cs="Times New Roman"/>
          <w:sz w:val="24"/>
          <w:szCs w:val="24"/>
          <w:lang w:val="sr-Cyrl-RS"/>
        </w:rPr>
        <w:t>Републике Србије</w:t>
      </w:r>
      <w:r w:rsidRPr="0081082A">
        <w:rPr>
          <w:rStyle w:val="FootnoteReference"/>
          <w:rFonts w:ascii="Times New Roman" w:hAnsi="Times New Roman" w:cs="Times New Roman"/>
          <w:sz w:val="24"/>
          <w:szCs w:val="24"/>
          <w:lang w:val="sr-Cyrl-RS"/>
        </w:rPr>
        <w:footnoteReference w:id="153"/>
      </w:r>
      <w:r w:rsidRPr="0081082A">
        <w:rPr>
          <w:rFonts w:ascii="Times New Roman" w:hAnsi="Times New Roman" w:cs="Times New Roman"/>
          <w:sz w:val="24"/>
          <w:szCs w:val="24"/>
          <w:lang w:val="sr-Cyrl-RS"/>
        </w:rPr>
        <w:t xml:space="preserve">, а нови </w:t>
      </w:r>
      <w:r w:rsidRPr="0081082A">
        <w:rPr>
          <w:rFonts w:ascii="Times New Roman" w:hAnsi="Times New Roman"/>
          <w:sz w:val="24"/>
          <w:lang w:val="sr-Cyrl-RS"/>
        </w:rPr>
        <w:t>информациони систем за извршење буџета (</w:t>
      </w:r>
      <w:r w:rsidRPr="0081082A">
        <w:rPr>
          <w:rFonts w:ascii="Times New Roman" w:hAnsi="Times New Roman" w:cs="Times New Roman"/>
          <w:sz w:val="24"/>
          <w:szCs w:val="24"/>
          <w:lang w:val="sr-Cyrl-RS"/>
        </w:rPr>
        <w:t xml:space="preserve">у даљем тексту: </w:t>
      </w:r>
      <w:r w:rsidRPr="0081082A">
        <w:rPr>
          <w:rFonts w:ascii="Times New Roman" w:hAnsi="Times New Roman"/>
          <w:sz w:val="24"/>
          <w:lang w:val="sr-Cyrl-RS"/>
        </w:rPr>
        <w:t>ИСИБ</w:t>
      </w:r>
      <w:r w:rsidRPr="0081082A">
        <w:rPr>
          <w:rFonts w:ascii="Times New Roman" w:hAnsi="Times New Roman" w:cs="Times New Roman"/>
          <w:sz w:val="24"/>
          <w:szCs w:val="24"/>
          <w:lang w:val="sr-Cyrl-RS"/>
        </w:rPr>
        <w:t xml:space="preserve">) стављен је </w:t>
      </w:r>
      <w:r w:rsidR="00156518" w:rsidRPr="0081082A">
        <w:rPr>
          <w:rFonts w:ascii="Times New Roman" w:hAnsi="Times New Roman" w:cs="Times New Roman"/>
          <w:sz w:val="24"/>
          <w:szCs w:val="24"/>
          <w:lang w:val="sr-Cyrl-RS"/>
        </w:rPr>
        <w:t>у употребу</w:t>
      </w:r>
      <w:r w:rsidRPr="0081082A">
        <w:rPr>
          <w:rFonts w:ascii="Times New Roman" w:hAnsi="Times New Roman" w:cs="Times New Roman"/>
          <w:sz w:val="24"/>
          <w:szCs w:val="24"/>
          <w:lang w:val="sr-Cyrl-RS"/>
        </w:rPr>
        <w:t xml:space="preserve"> од 1.</w:t>
      </w:r>
      <w:r w:rsidR="007F054D" w:rsidRPr="0081082A">
        <w:rPr>
          <w:rFonts w:ascii="Times New Roman" w:hAnsi="Times New Roman" w:cs="Times New Roman"/>
          <w:sz w:val="24"/>
          <w:szCs w:val="24"/>
          <w:lang w:val="sr-Cyrl-RS"/>
        </w:rPr>
        <w:t xml:space="preserve"> јануара </w:t>
      </w:r>
      <w:r w:rsidRPr="0081082A">
        <w:rPr>
          <w:rFonts w:ascii="Times New Roman" w:hAnsi="Times New Roman" w:cs="Times New Roman"/>
          <w:sz w:val="24"/>
          <w:szCs w:val="24"/>
          <w:lang w:val="sr-Cyrl-RS"/>
        </w:rPr>
        <w:t xml:space="preserve">2018. године, што је омогућило да се у ИСИБ укључе нови индиректни корисници буџетских средстава (у даљем тексту: ИБК). </w:t>
      </w:r>
      <w:r w:rsidRPr="0081082A">
        <w:rPr>
          <w:rFonts w:ascii="Times New Roman" w:eastAsia="Calibri" w:hAnsi="Times New Roman" w:cs="Times New Roman"/>
          <w:sz w:val="24"/>
          <w:szCs w:val="24"/>
          <w:shd w:val="clear" w:color="auto" w:fill="FFFFFF"/>
          <w:lang w:val="sr-Cyrl-RS"/>
        </w:rPr>
        <w:t>У систем извршења буџета Управе за трезор у</w:t>
      </w:r>
      <w:r w:rsidRPr="0081082A">
        <w:rPr>
          <w:rFonts w:ascii="Times New Roman" w:hAnsi="Times New Roman"/>
          <w:sz w:val="24"/>
          <w:shd w:val="clear" w:color="auto" w:fill="FFFFFF"/>
          <w:lang w:val="sr-Cyrl-RS"/>
        </w:rPr>
        <w:t xml:space="preserve"> </w:t>
      </w:r>
      <w:r w:rsidRPr="0081082A">
        <w:rPr>
          <w:rFonts w:ascii="Times New Roman" w:eastAsia="Calibri" w:hAnsi="Times New Roman" w:cs="Times New Roman"/>
          <w:sz w:val="24"/>
          <w:szCs w:val="24"/>
          <w:shd w:val="clear" w:color="auto" w:fill="FFFFFF"/>
          <w:lang w:val="sr-Cyrl-RS"/>
        </w:rPr>
        <w:t>периоду од 2016. до 2020. године укључено је 529 ИБК (правосудни органи - судови и јавна тужилаштва, установе за извршење кривичних санкција, установе културе и установе за остваривање права запослених из радног односа, установе социјалне заштите).</w:t>
      </w:r>
      <w:r w:rsidR="0072491D">
        <w:rPr>
          <w:rFonts w:ascii="Times New Roman" w:eastAsia="Calibri" w:hAnsi="Times New Roman" w:cs="Times New Roman"/>
          <w:sz w:val="24"/>
          <w:szCs w:val="24"/>
          <w:shd w:val="clear" w:color="auto" w:fill="FFFFFF"/>
          <w:lang w:val="sr-Cyrl-RS"/>
        </w:rPr>
        <w:t xml:space="preserve"> </w:t>
      </w:r>
      <w:r w:rsidRPr="0081082A">
        <w:rPr>
          <w:rFonts w:ascii="Times New Roman" w:hAnsi="Times New Roman" w:cs="Times New Roman"/>
          <w:sz w:val="24"/>
          <w:szCs w:val="24"/>
          <w:lang w:val="sr-Cyrl-RS"/>
        </w:rPr>
        <w:t xml:space="preserve">Унапређено је финансијско планирање за све директне буџетске кориснике (у даљем тексту: ДБК и индиректне  буџетске  кориснике – ИБК), укључене у ИСИБ.  Престанком њиховог пословања преко сопствених рачуна, омогућен је већи ниво контроле њихових прихода и расхода, као и већа транспарентност услед већег обухвата, благовременог и прецизног </w:t>
      </w:r>
      <w:r w:rsidR="00156518" w:rsidRPr="0081082A">
        <w:rPr>
          <w:rFonts w:ascii="Times New Roman" w:hAnsi="Times New Roman" w:cs="Times New Roman"/>
          <w:sz w:val="24"/>
          <w:szCs w:val="24"/>
          <w:lang w:val="sr-Cyrl-RS"/>
        </w:rPr>
        <w:t>располагања њиховим</w:t>
      </w:r>
      <w:r w:rsidRPr="0081082A">
        <w:rPr>
          <w:rFonts w:ascii="Times New Roman" w:hAnsi="Times New Roman" w:cs="Times New Roman"/>
          <w:sz w:val="24"/>
          <w:szCs w:val="24"/>
          <w:lang w:val="sr-Cyrl-RS"/>
        </w:rPr>
        <w:t xml:space="preserve"> подацима. Ван система налазе се још само индиректни корисници Министарства просвете, науке и технолошког ра</w:t>
      </w:r>
      <w:r w:rsidR="00D71745">
        <w:rPr>
          <w:rFonts w:ascii="Times New Roman" w:hAnsi="Times New Roman" w:cs="Times New Roman"/>
          <w:sz w:val="24"/>
          <w:szCs w:val="24"/>
          <w:lang w:val="sr-Cyrl-RS"/>
        </w:rPr>
        <w:t>з</w:t>
      </w:r>
      <w:r w:rsidRPr="0081082A">
        <w:rPr>
          <w:rFonts w:ascii="Times New Roman" w:hAnsi="Times New Roman" w:cs="Times New Roman"/>
          <w:sz w:val="24"/>
          <w:szCs w:val="24"/>
          <w:lang w:val="sr-Cyrl-RS"/>
        </w:rPr>
        <w:t>воја. Систем је оспособљен да убудуће омогући интеграцију нових корисника.</w:t>
      </w:r>
    </w:p>
    <w:p w:rsidR="004D0595" w:rsidRPr="0081082A" w:rsidRDefault="004D0595" w:rsidP="004D0595">
      <w:pPr>
        <w:pStyle w:val="CommentText"/>
        <w:spacing w:after="0"/>
        <w:ind w:firstLine="720"/>
        <w:jc w:val="both"/>
        <w:rPr>
          <w:rFonts w:ascii="Calibri" w:eastAsia="Times New Roman" w:hAnsi="Calibri" w:cs="Times New Roman"/>
          <w:lang w:val="sr-Cyrl-RS"/>
        </w:rPr>
      </w:pPr>
      <w:r w:rsidRPr="0081082A">
        <w:rPr>
          <w:rFonts w:ascii="Times New Roman" w:hAnsi="Times New Roman" w:cs="Times New Roman"/>
          <w:sz w:val="24"/>
          <w:szCs w:val="24"/>
          <w:lang w:val="sr-Cyrl-RS"/>
        </w:rPr>
        <w:t>Праћење и извештавање о доспелим неизмиреним обавезама побољшано је успостављањем базе података за регистровање предметних фактура и других захтева за исплату, односно увођењем Централног регистра фактура (у даљем тексту: ЦРФ) Управе за трезор</w:t>
      </w:r>
      <w:r w:rsidRPr="0081082A">
        <w:rPr>
          <w:rStyle w:val="FootnoteReference"/>
          <w:rFonts w:ascii="Times New Roman" w:hAnsi="Times New Roman" w:cs="Times New Roman"/>
          <w:sz w:val="24"/>
          <w:szCs w:val="24"/>
          <w:lang w:val="sr-Cyrl-RS"/>
        </w:rPr>
        <w:footnoteReference w:id="154"/>
      </w:r>
      <w:r w:rsidRPr="0081082A">
        <w:rPr>
          <w:rFonts w:ascii="Times New Roman" w:hAnsi="Times New Roman" w:cs="Times New Roman"/>
          <w:sz w:val="24"/>
          <w:szCs w:val="24"/>
          <w:lang w:val="sr-Cyrl-RS"/>
        </w:rPr>
        <w:t>, док је унапређењем ИСИБ-а омогућено корисницима буџетских средстава евидентирање насталих обавеза у главној књизи што је допринело њиховом  објективном презентовању у финансијским извештајима. Успостављање ЦРФ допринело је ефикаснијем праћењу преузетих и неизмирених обавеза у оквиру рокова дефинисаних законом, што је довело до смањења броја закаснелих уплата, боље контроле над измирењем финансијских обавеза и побољшања планирања и управљања јавним средствима. Овим се омогућава и успешније планирање и управљање ликвидним средствима, како у привредним субјектима, тако и у јавном сектору, боља транспарентност података о потраживањима поверилаца од субјеката јавног сектора у комерцијалним трансакцијама и транспарентност података о обавезама субјеката јавног сектора у поменутим трансакцијама. Поред републичког нивоа, изменама</w:t>
      </w:r>
      <w:r w:rsidRPr="0081082A">
        <w:rPr>
          <w:rStyle w:val="FootnoteReference"/>
          <w:rFonts w:ascii="Times New Roman" w:hAnsi="Times New Roman" w:cs="Times New Roman"/>
          <w:sz w:val="24"/>
          <w:szCs w:val="24"/>
          <w:lang w:val="sr-Cyrl-RS"/>
        </w:rPr>
        <w:footnoteReference w:id="155"/>
      </w:r>
      <w:r w:rsidRPr="0081082A">
        <w:rPr>
          <w:rFonts w:ascii="Times New Roman" w:hAnsi="Times New Roman" w:cs="Times New Roman"/>
          <w:sz w:val="24"/>
          <w:szCs w:val="24"/>
          <w:lang w:val="sr-Cyrl-RS"/>
        </w:rPr>
        <w:t xml:space="preserve"> и доношењем нових прописа</w:t>
      </w:r>
      <w:r w:rsidRPr="0081082A">
        <w:rPr>
          <w:rStyle w:val="FootnoteReference"/>
          <w:rFonts w:ascii="Times New Roman" w:hAnsi="Times New Roman" w:cs="Times New Roman"/>
          <w:sz w:val="24"/>
          <w:szCs w:val="24"/>
          <w:lang w:val="sr-Cyrl-RS"/>
        </w:rPr>
        <w:footnoteReference w:id="156"/>
      </w:r>
      <w:r w:rsidRPr="0081082A">
        <w:rPr>
          <w:rFonts w:ascii="Times New Roman" w:hAnsi="Times New Roman" w:cs="Times New Roman"/>
          <w:sz w:val="24"/>
          <w:szCs w:val="24"/>
          <w:lang w:val="sr-Cyrl-RS"/>
        </w:rPr>
        <w:t xml:space="preserve"> омогућено је да у наредном периоду подаци о приходима и расходима јединица локалне самоуправе буду прецизнији и доступни правовремено</w:t>
      </w:r>
      <w:r w:rsidRPr="0081082A">
        <w:rPr>
          <w:rFonts w:ascii="Calibri" w:eastAsia="Times New Roman" w:hAnsi="Calibri" w:cs="Times New Roman"/>
          <w:lang w:val="sr-Cyrl-RS"/>
        </w:rPr>
        <w:t xml:space="preserve">. </w:t>
      </w:r>
    </w:p>
    <w:p w:rsidR="004D0595" w:rsidRPr="0081082A" w:rsidRDefault="004D0595" w:rsidP="004D0595">
      <w:pPr>
        <w:pStyle w:val="CommentText"/>
        <w:spacing w:after="0"/>
        <w:ind w:firstLine="720"/>
        <w:jc w:val="both"/>
        <w:rPr>
          <w:rFonts w:ascii="Calibri" w:eastAsia="Times New Roman" w:hAnsi="Calibri" w:cs="Times New Roman"/>
          <w:lang w:val="sr-Cyrl-RS"/>
        </w:rPr>
      </w:pPr>
    </w:p>
    <w:p w:rsidR="004D0595" w:rsidRPr="0081082A" w:rsidRDefault="004D0595" w:rsidP="004D0595">
      <w:pPr>
        <w:pStyle w:val="Heading2"/>
        <w:jc w:val="center"/>
        <w:rPr>
          <w:rFonts w:ascii="Times New Roman" w:hAnsi="Times New Roman"/>
          <w:sz w:val="24"/>
          <w:lang w:val="sr-Cyrl-RS"/>
        </w:rPr>
      </w:pPr>
      <w:r w:rsidRPr="0081082A">
        <w:rPr>
          <w:rFonts w:ascii="Times New Roman" w:hAnsi="Times New Roman"/>
          <w:sz w:val="24"/>
          <w:lang w:val="sr-Cyrl-RS"/>
        </w:rPr>
        <w:t>Планиране реформске мере у периоду 2021-2025</w:t>
      </w:r>
    </w:p>
    <w:p w:rsidR="004D0595" w:rsidRPr="0081082A" w:rsidRDefault="004D0595" w:rsidP="004D0595">
      <w:pPr>
        <w:spacing w:after="0" w:line="240" w:lineRule="auto"/>
        <w:jc w:val="both"/>
        <w:rPr>
          <w:rFonts w:ascii="Times New Roman" w:hAnsi="Times New Roman" w:cs="Times New Roman"/>
          <w:b/>
          <w:sz w:val="24"/>
          <w:szCs w:val="24"/>
          <w:u w:val="single"/>
          <w:lang w:val="sr-Cyrl-RS"/>
        </w:rPr>
      </w:pPr>
      <w:r w:rsidRPr="0081082A">
        <w:rPr>
          <w:rFonts w:ascii="Times New Roman" w:hAnsi="Times New Roman" w:cs="Times New Roman"/>
          <w:b/>
          <w:sz w:val="24"/>
          <w:szCs w:val="24"/>
          <w:u w:val="single"/>
          <w:lang w:val="sr-Cyrl-RS"/>
        </w:rPr>
        <w:t>Мера 5.1 - Анализа постојећег стања у рачуноводству у јавном сектору и развој и имплементација Плана унапређења рачуноводства у јавном сектору</w:t>
      </w:r>
    </w:p>
    <w:p w:rsidR="004D0595" w:rsidRPr="0081082A" w:rsidRDefault="004D0595" w:rsidP="004D0595">
      <w:pPr>
        <w:spacing w:after="0" w:line="240" w:lineRule="auto"/>
        <w:ind w:firstLine="708"/>
        <w:jc w:val="both"/>
        <w:rPr>
          <w:rFonts w:ascii="Times New Roman" w:hAnsi="Times New Roman" w:cs="Times New Roman"/>
          <w:iCs/>
          <w:sz w:val="24"/>
          <w:szCs w:val="24"/>
          <w:lang w:val="sr-Cyrl-RS"/>
        </w:rPr>
      </w:pPr>
      <w:r w:rsidRPr="0081082A">
        <w:rPr>
          <w:rFonts w:ascii="Times New Roman" w:hAnsi="Times New Roman" w:cs="Times New Roman"/>
          <w:sz w:val="24"/>
          <w:szCs w:val="24"/>
          <w:lang w:val="sr-Cyrl-RS"/>
        </w:rPr>
        <w:lastRenderedPageBreak/>
        <w:t xml:space="preserve">Влада и међународне финансијске институције препознале су да област буџетског рачуноводства и финансијског извештавања у </w:t>
      </w:r>
      <w:r w:rsidR="00F641AE" w:rsidRPr="0081082A">
        <w:rPr>
          <w:rFonts w:ascii="Times New Roman" w:hAnsi="Times New Roman" w:cs="Times New Roman"/>
          <w:sz w:val="24"/>
          <w:szCs w:val="24"/>
          <w:lang w:val="sr-Cyrl-RS"/>
        </w:rPr>
        <w:t>Републици Србији</w:t>
      </w:r>
      <w:r w:rsidR="00156518" w:rsidRPr="0081082A">
        <w:rPr>
          <w:rFonts w:ascii="Times New Roman" w:hAnsi="Times New Roman" w:cs="Times New Roman"/>
          <w:sz w:val="24"/>
          <w:szCs w:val="24"/>
          <w:lang w:val="sr-Cyrl-RS"/>
        </w:rPr>
        <w:t>, заснованих на</w:t>
      </w:r>
      <w:r w:rsidRPr="0081082A">
        <w:rPr>
          <w:rFonts w:ascii="Times New Roman" w:hAnsi="Times New Roman" w:cs="Times New Roman"/>
          <w:sz w:val="24"/>
          <w:szCs w:val="24"/>
          <w:lang w:val="sr-Cyrl-RS"/>
        </w:rPr>
        <w:t xml:space="preserve"> готовинској основи, </w:t>
      </w:r>
      <w:r w:rsidR="00156518" w:rsidRPr="0081082A">
        <w:rPr>
          <w:rFonts w:ascii="Times New Roman" w:hAnsi="Times New Roman" w:cs="Times New Roman"/>
          <w:sz w:val="24"/>
          <w:szCs w:val="24"/>
          <w:lang w:val="sr-Cyrl-RS"/>
        </w:rPr>
        <w:t>захтевају континуирано</w:t>
      </w:r>
      <w:r w:rsidRPr="0081082A">
        <w:rPr>
          <w:rFonts w:ascii="Times New Roman" w:hAnsi="Times New Roman" w:cs="Times New Roman"/>
          <w:sz w:val="24"/>
          <w:szCs w:val="24"/>
          <w:lang w:val="sr-Cyrl-RS"/>
        </w:rPr>
        <w:t xml:space="preserve"> унапређење. Рачуноводство на готовинској основи је традиционално признато због нагласка на усклађеност са </w:t>
      </w:r>
      <w:r w:rsidR="005F3255" w:rsidRPr="0081082A">
        <w:rPr>
          <w:rFonts w:ascii="Times New Roman" w:hAnsi="Times New Roman" w:cs="Times New Roman"/>
          <w:sz w:val="24"/>
          <w:szCs w:val="24"/>
          <w:lang w:val="sr-Cyrl-RS"/>
        </w:rPr>
        <w:t>з</w:t>
      </w:r>
      <w:r w:rsidRPr="0081082A">
        <w:rPr>
          <w:rFonts w:ascii="Times New Roman" w:hAnsi="Times New Roman" w:cs="Times New Roman"/>
          <w:sz w:val="24"/>
          <w:szCs w:val="24"/>
          <w:lang w:val="sr-Cyrl-RS"/>
        </w:rPr>
        <w:t>аконом о буџету на годишњој основи.</w:t>
      </w:r>
      <w:r w:rsidRPr="0081082A">
        <w:rPr>
          <w:rFonts w:ascii="Times New Roman" w:hAnsi="Times New Roman"/>
          <w:sz w:val="24"/>
          <w:lang w:val="sr-Cyrl-RS"/>
        </w:rPr>
        <w:t xml:space="preserve"> </w:t>
      </w:r>
      <w:r w:rsidRPr="0081082A">
        <w:rPr>
          <w:rFonts w:ascii="Times New Roman" w:hAnsi="Times New Roman" w:cs="Times New Roman"/>
          <w:sz w:val="24"/>
          <w:szCs w:val="24"/>
          <w:lang w:val="sr-Cyrl-RS"/>
        </w:rPr>
        <w:t xml:space="preserve">Реформа рачуноводства у јавном сектору </w:t>
      </w:r>
      <w:r w:rsidR="00F641AE" w:rsidRPr="0081082A">
        <w:rPr>
          <w:rFonts w:ascii="Times New Roman" w:hAnsi="Times New Roman" w:cs="Times New Roman"/>
          <w:sz w:val="24"/>
          <w:szCs w:val="24"/>
          <w:lang w:val="sr-Cyrl-RS"/>
        </w:rPr>
        <w:t>Републике Србије</w:t>
      </w:r>
      <w:r w:rsidRPr="0081082A">
        <w:rPr>
          <w:rFonts w:ascii="Times New Roman" w:hAnsi="Times New Roman" w:cs="Times New Roman"/>
          <w:sz w:val="24"/>
          <w:szCs w:val="24"/>
          <w:lang w:val="sr-Cyrl-RS"/>
        </w:rPr>
        <w:t xml:space="preserve">, дугорочно посматрано, има за циљ постепени прелазак са готовинске на обрачунску </w:t>
      </w:r>
      <w:r w:rsidR="00156518" w:rsidRPr="0081082A">
        <w:rPr>
          <w:rFonts w:ascii="Times New Roman" w:hAnsi="Times New Roman" w:cs="Times New Roman"/>
          <w:sz w:val="24"/>
          <w:szCs w:val="24"/>
          <w:lang w:val="sr-Cyrl-RS"/>
        </w:rPr>
        <w:t>основу рачуноводства и</w:t>
      </w:r>
      <w:r w:rsidRPr="0081082A">
        <w:rPr>
          <w:rFonts w:ascii="Times New Roman" w:hAnsi="Times New Roman" w:cs="Times New Roman"/>
          <w:sz w:val="24"/>
          <w:szCs w:val="24"/>
          <w:lang w:val="sr-Cyrl-RS"/>
        </w:rPr>
        <w:t xml:space="preserve"> финансијско извештавање, као и доследну примену захтева </w:t>
      </w:r>
      <w:r w:rsidRPr="0081082A">
        <w:rPr>
          <w:rFonts w:ascii="Times New Roman" w:hAnsi="Times New Roman" w:cs="Times New Roman"/>
          <w:i/>
          <w:sz w:val="24"/>
          <w:szCs w:val="24"/>
          <w:lang w:val="sr-Cyrl-RS"/>
        </w:rPr>
        <w:t>IPSAS.</w:t>
      </w:r>
      <w:r w:rsidRPr="0081082A">
        <w:rPr>
          <w:rFonts w:ascii="Times New Roman" w:hAnsi="Times New Roman" w:cs="Times New Roman"/>
          <w:sz w:val="24"/>
          <w:szCs w:val="24"/>
          <w:lang w:val="sr-Cyrl-RS"/>
        </w:rPr>
        <w:t xml:space="preserve"> Оцењено је да спровођење реформе рачуноводства у овом правцу захтева значајне финансијске и људске ресурсе, као и детаљан аналитички рад, док сама реформа треба да буде постепена и планирана да се изведе у средњем/дугом року, како би се обезбедило довољно времена за припрему детаљних планова спровођења, израду адекватних рачуноводствених политика и примену и тестирање нових система. У складу са препорукама СИГМА анализе, потребно је најпре ојачати систем рачуноводства заснован на готовинској основи у складу са </w:t>
      </w:r>
      <w:r w:rsidRPr="0081082A">
        <w:rPr>
          <w:rFonts w:ascii="Times New Roman" w:hAnsi="Times New Roman" w:cs="Times New Roman"/>
          <w:i/>
          <w:sz w:val="24"/>
          <w:szCs w:val="24"/>
          <w:lang w:val="sr-Cyrl-RS"/>
        </w:rPr>
        <w:t>IPSAS</w:t>
      </w:r>
      <w:r w:rsidRPr="0081082A">
        <w:rPr>
          <w:rFonts w:ascii="Times New Roman" w:hAnsi="Times New Roman" w:cs="Times New Roman"/>
          <w:sz w:val="24"/>
          <w:szCs w:val="24"/>
          <w:lang w:val="sr-Cyrl-RS"/>
        </w:rPr>
        <w:t>, како би се изградила добра полазна основа</w:t>
      </w:r>
      <w:r w:rsidRPr="0081082A">
        <w:rPr>
          <w:rFonts w:ascii="Times New Roman" w:hAnsi="Times New Roman" w:cs="Times New Roman"/>
          <w:iCs/>
          <w:sz w:val="24"/>
          <w:szCs w:val="24"/>
          <w:lang w:val="sr-Cyrl-RS"/>
        </w:rPr>
        <w:t xml:space="preserve"> за реформе у овом сегменту Управљања јавним финансијама. </w:t>
      </w:r>
    </w:p>
    <w:p w:rsidR="004D0595" w:rsidRPr="0081082A" w:rsidRDefault="004D0595" w:rsidP="004D0595">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 циљу даљег унапређења целокупног система рачуноводства у јавном сектору, Управа за трезор планира фазну припрему Плана унапређења рачуноводства у јавном сектору до краја 2022. године.</w:t>
      </w:r>
    </w:p>
    <w:p w:rsidR="004D0595" w:rsidRPr="0081082A" w:rsidRDefault="004D0595" w:rsidP="004D0595">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 Први предвиђени корак је формирање Комисије за примену међународних рачуноводствених стандарда за јавни сектор, чија ће улога бити надзор и подршка активностима усмереним ка усклађивању рачуноводствених стандарда </w:t>
      </w:r>
      <w:r w:rsidR="00F641AE" w:rsidRPr="0081082A">
        <w:rPr>
          <w:rFonts w:ascii="Times New Roman" w:hAnsi="Times New Roman" w:cs="Times New Roman"/>
          <w:sz w:val="24"/>
          <w:szCs w:val="24"/>
          <w:lang w:val="sr-Cyrl-RS"/>
        </w:rPr>
        <w:t>Републике Србије</w:t>
      </w:r>
      <w:r w:rsidRPr="0081082A">
        <w:rPr>
          <w:rFonts w:ascii="Times New Roman" w:hAnsi="Times New Roman" w:cs="Times New Roman"/>
          <w:sz w:val="24"/>
          <w:szCs w:val="24"/>
          <w:lang w:val="sr-Cyrl-RS"/>
        </w:rPr>
        <w:t xml:space="preserve">, са међународним стандардима и најбољом праксом. У опису послова ове </w:t>
      </w:r>
      <w:r w:rsidR="007F054D" w:rsidRPr="0081082A">
        <w:rPr>
          <w:rFonts w:ascii="Times New Roman" w:hAnsi="Times New Roman" w:cs="Times New Roman"/>
          <w:sz w:val="24"/>
          <w:szCs w:val="24"/>
          <w:lang w:val="sr-Cyrl-RS"/>
        </w:rPr>
        <w:t>к</w:t>
      </w:r>
      <w:r w:rsidRPr="0081082A">
        <w:rPr>
          <w:rFonts w:ascii="Times New Roman" w:hAnsi="Times New Roman" w:cs="Times New Roman"/>
          <w:sz w:val="24"/>
          <w:szCs w:val="24"/>
          <w:lang w:val="sr-Cyrl-RS"/>
        </w:rPr>
        <w:t xml:space="preserve">омисије је и верификација највећег дела активности предвиђених Мерама у оквиру стуба 5 ПРУЈФ. Правни основ за формирање </w:t>
      </w:r>
      <w:r w:rsidR="007F054D" w:rsidRPr="0081082A">
        <w:rPr>
          <w:rFonts w:ascii="Times New Roman" w:hAnsi="Times New Roman" w:cs="Times New Roman"/>
          <w:sz w:val="24"/>
          <w:szCs w:val="24"/>
          <w:lang w:val="sr-Cyrl-RS"/>
        </w:rPr>
        <w:t>Комисије за примену међународних рачуноводствених стандарда за јавни сектор</w:t>
      </w:r>
      <w:r w:rsidRPr="0081082A">
        <w:rPr>
          <w:rFonts w:ascii="Times New Roman" w:hAnsi="Times New Roman" w:cs="Times New Roman"/>
          <w:sz w:val="24"/>
          <w:szCs w:val="24"/>
          <w:lang w:val="sr-Cyrl-RS"/>
        </w:rPr>
        <w:t xml:space="preserve"> представља члан 75а Закона о буџетском систему. </w:t>
      </w:r>
    </w:p>
    <w:p w:rsidR="004238BD" w:rsidRPr="0081082A" w:rsidRDefault="004D0595" w:rsidP="004238B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Обезбеђивање адекватног превода сета међународних рачуноводствених стандарда </w:t>
      </w:r>
      <w:r w:rsidRPr="0081082A">
        <w:rPr>
          <w:rFonts w:ascii="Times New Roman" w:hAnsi="Times New Roman" w:cs="Times New Roman"/>
          <w:i/>
          <w:sz w:val="24"/>
          <w:szCs w:val="24"/>
          <w:lang w:val="sr-Cyrl-RS"/>
        </w:rPr>
        <w:t>IPSAS</w:t>
      </w:r>
      <w:r w:rsidRPr="0081082A">
        <w:rPr>
          <w:rFonts w:ascii="Times New Roman" w:hAnsi="Times New Roman" w:cs="Times New Roman"/>
          <w:sz w:val="24"/>
          <w:szCs w:val="24"/>
          <w:lang w:val="sr-Cyrl-RS"/>
        </w:rPr>
        <w:t xml:space="preserve"> је препознато као један од великих изазова у њиховом спровођењу, као и адекватна обученост рачуновођа у разумевању истих. Уредбом о примени међународних рачуноводствених стандарда за јавни сектор (МРС ЈС), која представља правни основ за примену ових стандарда, дефинише се да </w:t>
      </w:r>
      <w:r w:rsidR="00156518" w:rsidRPr="0081082A">
        <w:rPr>
          <w:rFonts w:ascii="Times New Roman" w:hAnsi="Times New Roman" w:cs="Times New Roman"/>
          <w:sz w:val="24"/>
          <w:szCs w:val="24"/>
          <w:lang w:val="sr-Cyrl-RS"/>
        </w:rPr>
        <w:t>су МРС</w:t>
      </w:r>
      <w:r w:rsidRPr="0081082A">
        <w:rPr>
          <w:rFonts w:ascii="Times New Roman" w:hAnsi="Times New Roman" w:cs="Times New Roman"/>
          <w:sz w:val="24"/>
          <w:szCs w:val="24"/>
          <w:lang w:val="sr-Cyrl-RS"/>
        </w:rPr>
        <w:t xml:space="preserve"> ЈС, заправо </w:t>
      </w:r>
      <w:r w:rsidRPr="0081082A">
        <w:rPr>
          <w:rFonts w:ascii="Times New Roman" w:hAnsi="Times New Roman" w:cs="Times New Roman"/>
          <w:i/>
          <w:iCs/>
          <w:sz w:val="24"/>
          <w:szCs w:val="24"/>
          <w:lang w:val="sr-Cyrl-RS"/>
        </w:rPr>
        <w:t>International Public Sector Accounting Standards</w:t>
      </w:r>
      <w:r w:rsidRPr="0081082A">
        <w:rPr>
          <w:rFonts w:ascii="Times New Roman" w:hAnsi="Times New Roman" w:cs="Times New Roman"/>
          <w:sz w:val="24"/>
          <w:szCs w:val="24"/>
          <w:lang w:val="sr-Cyrl-RS"/>
        </w:rPr>
        <w:t xml:space="preserve"> који су преведени на српски језик и објављени у Службеном гласнику Републике Србије. Даље се наводи да поменути превод МРС-ЈС утврђује и објављује Влада. </w:t>
      </w:r>
    </w:p>
    <w:p w:rsidR="004238BD" w:rsidRPr="0081082A" w:rsidRDefault="004D0595" w:rsidP="004238B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С тим у вези, Управа за трезор планира да предложи да се закључи Уговор за превод и примену међународних рачуноводствених стандарда за јавни сектор, са Савезом рачуновођа и ревизора Србије (јединог представника Републике Србије пред Mеђународном федерацијом рачуновођа </w:t>
      </w:r>
      <w:r w:rsidR="00156518" w:rsidRPr="0081082A">
        <w:rPr>
          <w:rFonts w:ascii="Times New Roman" w:hAnsi="Times New Roman" w:cs="Times New Roman"/>
          <w:sz w:val="24"/>
          <w:szCs w:val="24"/>
          <w:lang w:val="sr-Cyrl-RS"/>
        </w:rPr>
        <w:t xml:space="preserve">- </w:t>
      </w:r>
      <w:r w:rsidR="00156518" w:rsidRPr="0081082A">
        <w:rPr>
          <w:rFonts w:ascii="Times New Roman" w:hAnsi="Times New Roman" w:cs="Times New Roman"/>
          <w:i/>
          <w:iCs/>
          <w:sz w:val="24"/>
          <w:szCs w:val="24"/>
          <w:lang w:val="sr-Cyrl-RS"/>
        </w:rPr>
        <w:t>IFAC</w:t>
      </w:r>
      <w:r w:rsidRPr="0081082A">
        <w:rPr>
          <w:rFonts w:ascii="Times New Roman" w:hAnsi="Times New Roman" w:cs="Times New Roman"/>
          <w:i/>
          <w:iCs/>
          <w:sz w:val="24"/>
          <w:szCs w:val="24"/>
          <w:lang w:val="sr-Cyrl-RS"/>
        </w:rPr>
        <w:t xml:space="preserve"> </w:t>
      </w:r>
      <w:r w:rsidRPr="0081082A">
        <w:rPr>
          <w:rFonts w:ascii="Times New Roman" w:hAnsi="Times New Roman" w:cs="Times New Roman"/>
          <w:sz w:val="24"/>
          <w:szCs w:val="24"/>
          <w:lang w:val="sr-Cyrl-RS"/>
        </w:rPr>
        <w:t>(</w:t>
      </w:r>
      <w:r w:rsidRPr="0081082A">
        <w:rPr>
          <w:rFonts w:ascii="Times New Roman" w:hAnsi="Times New Roman" w:cs="Times New Roman"/>
          <w:i/>
          <w:iCs/>
          <w:sz w:val="24"/>
          <w:szCs w:val="24"/>
          <w:lang w:val="sr-Cyrl-RS"/>
        </w:rPr>
        <w:t>International Federation of Accountants</w:t>
      </w:r>
      <w:r w:rsidRPr="0081082A">
        <w:rPr>
          <w:rFonts w:ascii="Times New Roman" w:hAnsi="Times New Roman" w:cs="Times New Roman"/>
          <w:sz w:val="24"/>
          <w:szCs w:val="24"/>
          <w:lang w:val="sr-Cyrl-RS"/>
        </w:rPr>
        <w:t>).</w:t>
      </w:r>
    </w:p>
    <w:p w:rsidR="004D0595" w:rsidRPr="0081082A" w:rsidRDefault="004D0595" w:rsidP="004238B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До краја четвртог квартала 2022. године, кроз спровођење припремних активности и </w:t>
      </w:r>
      <w:r w:rsidR="00156518" w:rsidRPr="0081082A">
        <w:rPr>
          <w:rFonts w:ascii="Times New Roman" w:hAnsi="Times New Roman" w:cs="Times New Roman"/>
          <w:sz w:val="24"/>
          <w:szCs w:val="24"/>
          <w:lang w:val="sr-Cyrl-RS"/>
        </w:rPr>
        <w:t>превођења документа</w:t>
      </w:r>
      <w:r w:rsidRPr="0081082A">
        <w:rPr>
          <w:rFonts w:ascii="Times New Roman" w:hAnsi="Times New Roman" w:cs="Times New Roman"/>
          <w:sz w:val="24"/>
          <w:szCs w:val="24"/>
          <w:lang w:val="sr-Cyrl-RS"/>
        </w:rPr>
        <w:t xml:space="preserve">, Уредба о примени међународних рачуноводствених стандарда за јавни сектор Републике Србије, са правно формалне, прелази у фазу практичне примене. </w:t>
      </w:r>
    </w:p>
    <w:p w:rsidR="004D0595" w:rsidRPr="0081082A" w:rsidRDefault="004D0595" w:rsidP="004238BD">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Усвајање Плана унапређења рачуноводства у јавном сектору</w:t>
      </w:r>
      <w:r w:rsidR="006069E9" w:rsidRPr="0081082A">
        <w:rPr>
          <w:rFonts w:ascii="Times New Roman" w:hAnsi="Times New Roman" w:cs="Times New Roman"/>
          <w:sz w:val="24"/>
          <w:szCs w:val="24"/>
          <w:lang w:val="sr-Cyrl-RS"/>
        </w:rPr>
        <w:t>,</w:t>
      </w:r>
      <w:r w:rsidRPr="0081082A">
        <w:rPr>
          <w:rFonts w:ascii="Times New Roman" w:hAnsi="Times New Roman" w:cs="Times New Roman"/>
          <w:sz w:val="24"/>
          <w:szCs w:val="24"/>
          <w:lang w:val="sr-Cyrl-RS"/>
        </w:rPr>
        <w:t xml:space="preserve"> као и примена поменуте Уредбе ће значајно ојачати систем рачуноводства у јавном сектору, пружајући јасан оквир и план о даљим реформским корацима који морају бити </w:t>
      </w:r>
      <w:r w:rsidRPr="0081082A">
        <w:rPr>
          <w:rFonts w:ascii="Times New Roman" w:hAnsi="Times New Roman" w:cs="Times New Roman"/>
          <w:sz w:val="24"/>
          <w:szCs w:val="24"/>
          <w:lang w:val="sr-Cyrl-RS"/>
        </w:rPr>
        <w:lastRenderedPageBreak/>
        <w:t>спроведени како би рачуноводствени систем био у што већој мери усклађен са међународним стандардима.</w:t>
      </w:r>
    </w:p>
    <w:p w:rsidR="004D0595" w:rsidRPr="0081082A" w:rsidRDefault="004D0595" w:rsidP="004D0595">
      <w:pPr>
        <w:spacing w:after="0" w:line="240" w:lineRule="auto"/>
        <w:jc w:val="both"/>
        <w:rPr>
          <w:rFonts w:ascii="Times New Roman" w:hAnsi="Times New Roman" w:cs="Times New Roman"/>
          <w:b/>
          <w:sz w:val="24"/>
          <w:szCs w:val="24"/>
          <w:u w:val="single"/>
          <w:lang w:val="sr-Cyrl-RS"/>
        </w:rPr>
      </w:pPr>
      <w:r w:rsidRPr="0081082A">
        <w:rPr>
          <w:rFonts w:ascii="Times New Roman" w:hAnsi="Times New Roman" w:cs="Times New Roman"/>
          <w:b/>
          <w:sz w:val="24"/>
          <w:szCs w:val="24"/>
          <w:u w:val="single"/>
          <w:lang w:val="sr-Cyrl-RS"/>
        </w:rPr>
        <w:t xml:space="preserve">Мера 5.2 </w:t>
      </w:r>
      <w:r w:rsidR="004268D8" w:rsidRPr="0081082A">
        <w:rPr>
          <w:rFonts w:ascii="Times New Roman" w:hAnsi="Times New Roman" w:cs="Times New Roman"/>
          <w:b/>
          <w:sz w:val="24"/>
          <w:szCs w:val="24"/>
          <w:u w:val="single"/>
          <w:lang w:val="sr-Cyrl-RS"/>
        </w:rPr>
        <w:t>- Унапређење</w:t>
      </w:r>
      <w:r w:rsidRPr="0081082A">
        <w:rPr>
          <w:rFonts w:ascii="Times New Roman" w:hAnsi="Times New Roman" w:cs="Times New Roman"/>
          <w:b/>
          <w:sz w:val="24"/>
          <w:szCs w:val="24"/>
          <w:u w:val="single"/>
          <w:lang w:val="sr-Cyrl-RS"/>
        </w:rPr>
        <w:t xml:space="preserve"> професионалне компетентности </w:t>
      </w:r>
      <w:r w:rsidR="00984F1E" w:rsidRPr="0081082A">
        <w:rPr>
          <w:rFonts w:ascii="Times New Roman" w:hAnsi="Times New Roman" w:cs="Times New Roman"/>
          <w:b/>
          <w:sz w:val="24"/>
          <w:szCs w:val="24"/>
          <w:u w:val="single"/>
          <w:lang w:val="sr-Cyrl-RS"/>
        </w:rPr>
        <w:t>рачуновођа у</w:t>
      </w:r>
      <w:r w:rsidRPr="0081082A">
        <w:rPr>
          <w:rFonts w:ascii="Times New Roman" w:hAnsi="Times New Roman" w:cs="Times New Roman"/>
          <w:b/>
          <w:sz w:val="24"/>
          <w:szCs w:val="24"/>
          <w:u w:val="single"/>
          <w:lang w:val="sr-Cyrl-RS"/>
        </w:rPr>
        <w:t xml:space="preserve">  јавном  сектору  спровођењем  адекватних  обука</w:t>
      </w:r>
    </w:p>
    <w:p w:rsidR="004D0595" w:rsidRPr="0081082A" w:rsidRDefault="004D0595" w:rsidP="004D0595">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Ја</w:t>
      </w:r>
      <w:r w:rsidR="00E16E76">
        <w:rPr>
          <w:rFonts w:ascii="Times New Roman" w:hAnsi="Times New Roman" w:cs="Times New Roman"/>
          <w:sz w:val="24"/>
          <w:szCs w:val="24"/>
          <w:lang w:val="sr-Cyrl-RS"/>
        </w:rPr>
        <w:t xml:space="preserve">чање </w:t>
      </w:r>
      <w:r w:rsidRPr="0081082A">
        <w:rPr>
          <w:rFonts w:ascii="Times New Roman" w:hAnsi="Times New Roman" w:cs="Times New Roman"/>
          <w:sz w:val="24"/>
          <w:szCs w:val="24"/>
          <w:lang w:val="sr-Cyrl-RS"/>
        </w:rPr>
        <w:t>професионалне компетентности рачуновођа у јавном сектору је планирано да се настави као један од главних приоритета за побољшање целокупног система. НАЈУ</w:t>
      </w:r>
      <w:r w:rsidR="0006580D" w:rsidRPr="0081082A">
        <w:rPr>
          <w:rFonts w:ascii="Times New Roman" w:hAnsi="Times New Roman" w:cs="Times New Roman"/>
          <w:sz w:val="24"/>
          <w:szCs w:val="24"/>
          <w:lang w:val="sr-Cyrl-RS"/>
        </w:rPr>
        <w:t xml:space="preserve"> ће</w:t>
      </w:r>
      <w:r w:rsidRPr="0081082A">
        <w:rPr>
          <w:rFonts w:ascii="Times New Roman" w:hAnsi="Times New Roman" w:cs="Times New Roman"/>
          <w:sz w:val="24"/>
          <w:szCs w:val="24"/>
          <w:lang w:val="sr-Cyrl-RS"/>
        </w:rPr>
        <w:t xml:space="preserve"> спроводи опште обуке у циљу унапређења </w:t>
      </w:r>
      <w:r w:rsidR="00395168" w:rsidRPr="0081082A">
        <w:rPr>
          <w:rFonts w:ascii="Times New Roman" w:hAnsi="Times New Roman" w:cs="Times New Roman"/>
          <w:sz w:val="24"/>
          <w:szCs w:val="24"/>
          <w:lang w:val="sr-Cyrl-RS"/>
        </w:rPr>
        <w:t>рачуноводствених професионалних компетентности у</w:t>
      </w:r>
      <w:r w:rsidRPr="0081082A">
        <w:rPr>
          <w:rFonts w:ascii="Times New Roman" w:hAnsi="Times New Roman" w:cs="Times New Roman"/>
          <w:sz w:val="24"/>
          <w:szCs w:val="24"/>
          <w:lang w:val="sr-Cyrl-RS"/>
        </w:rPr>
        <w:t xml:space="preserve"> јавном сектору. С тим у вези, </w:t>
      </w:r>
      <w:r w:rsidRPr="0081082A">
        <w:rPr>
          <w:rFonts w:ascii="Times New Roman" w:eastAsia="Times New Roman" w:hAnsi="Times New Roman" w:cs="Times New Roman"/>
          <w:iCs/>
          <w:color w:val="000000"/>
          <w:sz w:val="24"/>
          <w:szCs w:val="24"/>
          <w:lang w:val="sr-Cyrl-RS"/>
        </w:rPr>
        <w:t xml:space="preserve">Управа за трезор ће наставити </w:t>
      </w:r>
      <w:r w:rsidR="00395168" w:rsidRPr="0081082A">
        <w:rPr>
          <w:rFonts w:ascii="Times New Roman" w:eastAsia="Times New Roman" w:hAnsi="Times New Roman" w:cs="Times New Roman"/>
          <w:iCs/>
          <w:color w:val="000000"/>
          <w:sz w:val="24"/>
          <w:szCs w:val="24"/>
          <w:lang w:val="sr-Cyrl-RS"/>
        </w:rPr>
        <w:t>реализацију обука</w:t>
      </w:r>
      <w:r w:rsidRPr="0081082A">
        <w:rPr>
          <w:rFonts w:ascii="Times New Roman" w:eastAsia="Times New Roman" w:hAnsi="Times New Roman" w:cs="Times New Roman"/>
          <w:iCs/>
          <w:color w:val="000000"/>
          <w:sz w:val="24"/>
          <w:szCs w:val="24"/>
          <w:lang w:val="sr-Cyrl-RS"/>
        </w:rPr>
        <w:t xml:space="preserve"> о међународним стандардима - </w:t>
      </w:r>
      <w:r w:rsidRPr="0081082A">
        <w:rPr>
          <w:rFonts w:ascii="Times New Roman" w:eastAsia="Times New Roman" w:hAnsi="Times New Roman" w:cs="Times New Roman"/>
          <w:i/>
          <w:iCs/>
          <w:color w:val="000000"/>
          <w:sz w:val="24"/>
          <w:szCs w:val="24"/>
          <w:lang w:val="sr-Cyrl-RS"/>
        </w:rPr>
        <w:t>IPSAS,</w:t>
      </w:r>
      <w:r w:rsidRPr="0081082A">
        <w:rPr>
          <w:rFonts w:ascii="Times New Roman" w:hAnsi="Times New Roman" w:cs="Times New Roman"/>
          <w:sz w:val="24"/>
          <w:szCs w:val="24"/>
          <w:lang w:val="sr-Cyrl-RS"/>
        </w:rPr>
        <w:t xml:space="preserve"> са континуираним развојем програма обуке у складу са напретком у имплементацији. Неопходна је </w:t>
      </w:r>
      <w:r w:rsidR="00395168" w:rsidRPr="0081082A">
        <w:rPr>
          <w:rFonts w:ascii="Times New Roman" w:hAnsi="Times New Roman" w:cs="Times New Roman"/>
          <w:sz w:val="24"/>
          <w:szCs w:val="24"/>
          <w:lang w:val="sr-Cyrl-RS"/>
        </w:rPr>
        <w:t>и обука</w:t>
      </w:r>
      <w:r w:rsidRPr="0081082A">
        <w:rPr>
          <w:rFonts w:ascii="Times New Roman" w:hAnsi="Times New Roman" w:cs="Times New Roman"/>
          <w:sz w:val="24"/>
          <w:szCs w:val="24"/>
          <w:lang w:val="sr-Cyrl-RS"/>
        </w:rPr>
        <w:t xml:space="preserve"> предавача у овој области.</w:t>
      </w:r>
    </w:p>
    <w:p w:rsidR="004D0595" w:rsidRPr="0081082A" w:rsidRDefault="004D0595" w:rsidP="004D0595">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 Планиране су и припремне активности за увођење сертификације за професију рачуновођа у јавном сектору. У складу са наставком предвиђених активности из претходног Програма реформе управљања јавним финансијама, до краја 2025. године планирано је сертификовање рачуновођа у јавном сектору.</w:t>
      </w:r>
    </w:p>
    <w:p w:rsidR="004D0595" w:rsidRPr="0081082A" w:rsidRDefault="004D0595" w:rsidP="004D0595">
      <w:pPr>
        <w:spacing w:after="0" w:line="240" w:lineRule="auto"/>
        <w:ind w:firstLine="708"/>
        <w:jc w:val="both"/>
        <w:rPr>
          <w:lang w:val="sr-Cyrl-RS"/>
        </w:rPr>
      </w:pPr>
      <w:r w:rsidRPr="0081082A">
        <w:rPr>
          <w:rFonts w:ascii="Times New Roman" w:hAnsi="Times New Roman" w:cs="Times New Roman"/>
          <w:sz w:val="24"/>
          <w:szCs w:val="24"/>
          <w:lang w:val="sr-Cyrl-RS"/>
        </w:rPr>
        <w:t xml:space="preserve">У реализацији активности мере 5.2 круцијалну улогу има Комисија за примену међународних рачуноводствених стандарда за јавни сектор. </w:t>
      </w:r>
      <w:r w:rsidR="007F054D" w:rsidRPr="0081082A">
        <w:rPr>
          <w:rFonts w:ascii="Times New Roman" w:hAnsi="Times New Roman" w:cs="Times New Roman"/>
          <w:sz w:val="24"/>
          <w:szCs w:val="24"/>
          <w:lang w:val="sr-Cyrl-RS"/>
        </w:rPr>
        <w:t>Комисије за примену међународних рачуноводствених стандарда за јавни сектор</w:t>
      </w:r>
      <w:r w:rsidR="00395168" w:rsidRPr="0081082A">
        <w:rPr>
          <w:rFonts w:ascii="Times New Roman" w:hAnsi="Times New Roman" w:cs="Times New Roman"/>
          <w:sz w:val="24"/>
          <w:szCs w:val="24"/>
          <w:lang w:val="sr-Cyrl-RS"/>
        </w:rPr>
        <w:t xml:space="preserve"> припрема</w:t>
      </w:r>
      <w:r w:rsidRPr="0081082A">
        <w:rPr>
          <w:rFonts w:ascii="Times New Roman" w:hAnsi="Times New Roman" w:cs="Times New Roman"/>
          <w:sz w:val="24"/>
          <w:szCs w:val="24"/>
          <w:lang w:val="sr-Cyrl-RS"/>
        </w:rPr>
        <w:t xml:space="preserve"> предлог начина и програма стручног оспособљавања и начин полагања стручног </w:t>
      </w:r>
      <w:r w:rsidR="00395168" w:rsidRPr="0081082A">
        <w:rPr>
          <w:rFonts w:ascii="Times New Roman" w:hAnsi="Times New Roman" w:cs="Times New Roman"/>
          <w:sz w:val="24"/>
          <w:szCs w:val="24"/>
          <w:lang w:val="sr-Cyrl-RS"/>
        </w:rPr>
        <w:t xml:space="preserve">испита </w:t>
      </w:r>
      <w:r w:rsidR="00395168" w:rsidRPr="0081082A">
        <w:rPr>
          <w:lang w:val="sr-Cyrl-RS"/>
        </w:rPr>
        <w:t>за</w:t>
      </w:r>
      <w:r w:rsidRPr="0081082A">
        <w:rPr>
          <w:rFonts w:ascii="Times New Roman" w:hAnsi="Times New Roman" w:cs="Times New Roman"/>
          <w:sz w:val="24"/>
          <w:szCs w:val="24"/>
          <w:lang w:val="sr-Cyrl-RS"/>
        </w:rPr>
        <w:t xml:space="preserve"> стицање сертификата стручних лица (рачуновођа, самостални рачуновођа и овлашћени рачуновођа за јавни сектор) за вођење пословних књига, саст</w:t>
      </w:r>
      <w:r w:rsidR="008D1672" w:rsidRPr="0081082A">
        <w:rPr>
          <w:rFonts w:ascii="Times New Roman" w:hAnsi="Times New Roman" w:cs="Times New Roman"/>
          <w:sz w:val="24"/>
          <w:szCs w:val="24"/>
          <w:lang w:val="sr-Cyrl-RS"/>
        </w:rPr>
        <w:t>ављање и презентацију финанс</w:t>
      </w:r>
      <w:r w:rsidRPr="0081082A">
        <w:rPr>
          <w:rFonts w:ascii="Times New Roman" w:hAnsi="Times New Roman" w:cs="Times New Roman"/>
          <w:sz w:val="24"/>
          <w:szCs w:val="24"/>
          <w:lang w:val="sr-Cyrl-RS"/>
        </w:rPr>
        <w:t>и</w:t>
      </w:r>
      <w:r w:rsidR="008D1672" w:rsidRPr="0081082A">
        <w:rPr>
          <w:rFonts w:ascii="Times New Roman" w:hAnsi="Times New Roman" w:cs="Times New Roman"/>
          <w:sz w:val="24"/>
          <w:szCs w:val="24"/>
          <w:lang w:val="sr-Cyrl-RS"/>
        </w:rPr>
        <w:t>јски</w:t>
      </w:r>
      <w:r w:rsidRPr="0081082A">
        <w:rPr>
          <w:rFonts w:ascii="Times New Roman" w:hAnsi="Times New Roman" w:cs="Times New Roman"/>
          <w:sz w:val="24"/>
          <w:szCs w:val="24"/>
          <w:lang w:val="sr-Cyrl-RS"/>
        </w:rPr>
        <w:t>х извештаја, у складу са МРС</w:t>
      </w:r>
      <w:r w:rsidR="00E16E76">
        <w:rPr>
          <w:rFonts w:ascii="Times New Roman" w:hAnsi="Times New Roman" w:cs="Times New Roman"/>
          <w:sz w:val="24"/>
          <w:szCs w:val="24"/>
          <w:lang w:val="sr-Cyrl-RS"/>
        </w:rPr>
        <w:t>-</w:t>
      </w:r>
      <w:r w:rsidRPr="0081082A">
        <w:rPr>
          <w:rFonts w:ascii="Times New Roman" w:hAnsi="Times New Roman" w:cs="Times New Roman"/>
          <w:sz w:val="24"/>
          <w:szCs w:val="24"/>
          <w:lang w:val="sr-Cyrl-RS"/>
        </w:rPr>
        <w:t>ЈС.</w:t>
      </w:r>
      <w:r w:rsidRPr="0081082A">
        <w:rPr>
          <w:lang w:val="sr-Cyrl-RS"/>
        </w:rPr>
        <w:t xml:space="preserve"> </w:t>
      </w:r>
    </w:p>
    <w:p w:rsidR="004D0595" w:rsidRPr="0081082A" w:rsidRDefault="004D0595" w:rsidP="004D0595">
      <w:pPr>
        <w:spacing w:after="0" w:line="240" w:lineRule="auto"/>
        <w:ind w:firstLine="708"/>
        <w:jc w:val="both"/>
        <w:rPr>
          <w:rFonts w:ascii="Times New Roman" w:hAnsi="Times New Roman"/>
          <w:sz w:val="24"/>
          <w:lang w:val="sr-Cyrl-RS"/>
        </w:rPr>
      </w:pPr>
    </w:p>
    <w:p w:rsidR="004D0595" w:rsidRPr="0081082A" w:rsidRDefault="004D0595" w:rsidP="007C5F98">
      <w:pPr>
        <w:spacing w:after="0" w:line="240" w:lineRule="auto"/>
        <w:jc w:val="both"/>
        <w:rPr>
          <w:rFonts w:ascii="Times New Roman" w:hAnsi="Times New Roman" w:cs="Times New Roman"/>
          <w:b/>
          <w:sz w:val="24"/>
          <w:szCs w:val="24"/>
          <w:u w:val="single"/>
          <w:lang w:val="sr-Cyrl-RS"/>
        </w:rPr>
      </w:pPr>
      <w:r w:rsidRPr="0081082A">
        <w:rPr>
          <w:rFonts w:ascii="Times New Roman" w:hAnsi="Times New Roman" w:cs="Times New Roman"/>
          <w:b/>
          <w:sz w:val="24"/>
          <w:szCs w:val="24"/>
          <w:u w:val="single"/>
          <w:lang w:val="sr-Cyrl-RS"/>
        </w:rPr>
        <w:t xml:space="preserve">Мера 5.3 - Унапређење обухвата рачуноводствених података кроз примену </w:t>
      </w:r>
      <w:r w:rsidR="004268D8" w:rsidRPr="0081082A">
        <w:rPr>
          <w:rFonts w:ascii="Times New Roman" w:hAnsi="Times New Roman" w:cs="Times New Roman"/>
          <w:b/>
          <w:sz w:val="24"/>
          <w:szCs w:val="24"/>
          <w:u w:val="single"/>
          <w:lang w:val="sr-Cyrl-RS"/>
        </w:rPr>
        <w:t>међународних рачуноводствених</w:t>
      </w:r>
      <w:r w:rsidRPr="0081082A">
        <w:rPr>
          <w:rFonts w:ascii="Times New Roman" w:hAnsi="Times New Roman" w:cs="Times New Roman"/>
          <w:b/>
          <w:sz w:val="24"/>
          <w:szCs w:val="24"/>
          <w:u w:val="single"/>
          <w:lang w:val="sr-Cyrl-RS"/>
        </w:rPr>
        <w:t xml:space="preserve"> стандарда за јавни сектор</w:t>
      </w:r>
    </w:p>
    <w:p w:rsidR="004D0595" w:rsidRPr="0081082A" w:rsidRDefault="004D0595" w:rsidP="004D0595">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Закони и подзаконска акта који регулишу област рачуноводства у јавном сектору захтевају међусобно усаглашавање ових правних аката, као и усаглашавање истих са Међународним рачуноводственим стандардима за јавни сектор (МРС-ЈС). Полазна тачка у дугорочном процесу пуне имплементације МРС-ЈС је усклађивање правне регулативе Републике Србије са МРС-ЈС на готовинској основи, као и доношење Рачуноводствене политике за финансијско </w:t>
      </w:r>
      <w:r w:rsidR="00395168" w:rsidRPr="0081082A">
        <w:rPr>
          <w:rFonts w:ascii="Times New Roman" w:hAnsi="Times New Roman" w:cs="Times New Roman"/>
          <w:sz w:val="24"/>
          <w:szCs w:val="24"/>
          <w:lang w:val="sr-Cyrl-RS"/>
        </w:rPr>
        <w:t>извештавање у</w:t>
      </w:r>
      <w:r w:rsidRPr="0081082A">
        <w:rPr>
          <w:rFonts w:ascii="Times New Roman" w:hAnsi="Times New Roman" w:cs="Times New Roman"/>
          <w:sz w:val="24"/>
          <w:szCs w:val="24"/>
          <w:lang w:val="sr-Cyrl-RS"/>
        </w:rPr>
        <w:t xml:space="preserve"> складу са </w:t>
      </w:r>
      <w:r w:rsidRPr="0081082A">
        <w:rPr>
          <w:rFonts w:ascii="Times New Roman" w:hAnsi="Times New Roman" w:cs="Times New Roman"/>
          <w:i/>
          <w:iCs/>
          <w:sz w:val="24"/>
          <w:szCs w:val="24"/>
          <w:lang w:val="sr-Cyrl-RS"/>
        </w:rPr>
        <w:t>IPSAS</w:t>
      </w:r>
      <w:r w:rsidRPr="0081082A">
        <w:rPr>
          <w:rFonts w:ascii="Times New Roman" w:hAnsi="Times New Roman" w:cs="Times New Roman"/>
          <w:sz w:val="24"/>
          <w:szCs w:val="24"/>
          <w:lang w:val="sr-Cyrl-RS"/>
        </w:rPr>
        <w:t xml:space="preserve"> за готовинску основу.</w:t>
      </w:r>
    </w:p>
    <w:p w:rsidR="004D0595" w:rsidRPr="0081082A" w:rsidRDefault="004D0595" w:rsidP="004D0595">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Иако рачуноводствени подаци о приходима и расходима који се воде у Главној књизи трезора омогућавају правовремено и свеобухватно извештавање о буџетским трансакцијама за директне и део индиректних корисника обухваћених системом извршења буџета, потребно је унапредити евиденцију података о променама на имовини, обавезама и капиталу кроз укључивање овог дела рачуноводствене евиденције у План унапређења рачуноводства у јавном сектору.</w:t>
      </w:r>
    </w:p>
    <w:p w:rsidR="004D0595" w:rsidRPr="0081082A" w:rsidRDefault="004D0595" w:rsidP="004D0595">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Управа за трезор ће у наредне четири године бити посвећена побољшању комплетности и обухвата рачуноводствених података кроз адекватно увођење рачуноводствених стандарда, као и њиховом приказивању у Завршном рачуну, што ће довести до унапређења свеобухватности финансијских извештаја заснованих на готовинској основи у складу са </w:t>
      </w:r>
      <w:r w:rsidRPr="0081082A">
        <w:rPr>
          <w:rFonts w:ascii="Times New Roman" w:hAnsi="Times New Roman"/>
          <w:i/>
          <w:iCs/>
          <w:sz w:val="24"/>
          <w:lang w:val="sr-Cyrl-RS"/>
        </w:rPr>
        <w:t>IPSAS</w:t>
      </w:r>
      <w:r w:rsidRPr="0081082A">
        <w:rPr>
          <w:rFonts w:ascii="Times New Roman" w:hAnsi="Times New Roman" w:cs="Times New Roman"/>
          <w:sz w:val="24"/>
          <w:szCs w:val="24"/>
          <w:lang w:val="sr-Cyrl-RS"/>
        </w:rPr>
        <w:t xml:space="preserve">. До средине 2022. године, Управа за трезор планира измену правних прописа ради међусобног усаглашавања и усаглашавање са Међународним рачуноводственим стандардима за јавни сектор </w:t>
      </w:r>
      <w:r w:rsidRPr="0081082A">
        <w:rPr>
          <w:rFonts w:ascii="Times New Roman" w:hAnsi="Times New Roman"/>
          <w:i/>
          <w:iCs/>
          <w:sz w:val="24"/>
          <w:lang w:val="sr-Cyrl-RS"/>
        </w:rPr>
        <w:t>IPSAS</w:t>
      </w:r>
      <w:r w:rsidRPr="0081082A">
        <w:rPr>
          <w:rFonts w:ascii="Times New Roman" w:hAnsi="Times New Roman"/>
          <w:i/>
          <w:sz w:val="24"/>
          <w:lang w:val="sr-Cyrl-RS"/>
        </w:rPr>
        <w:t xml:space="preserve">, </w:t>
      </w:r>
      <w:r w:rsidRPr="0081082A">
        <w:rPr>
          <w:rFonts w:ascii="Times New Roman" w:hAnsi="Times New Roman"/>
          <w:sz w:val="24"/>
          <w:lang w:val="sr-Cyrl-RS"/>
        </w:rPr>
        <w:t xml:space="preserve">Приручником за </w:t>
      </w:r>
      <w:r w:rsidRPr="0081082A">
        <w:rPr>
          <w:rFonts w:ascii="Times New Roman" w:hAnsi="Times New Roman"/>
          <w:sz w:val="24"/>
          <w:lang w:val="sr-Cyrl-RS"/>
        </w:rPr>
        <w:lastRenderedPageBreak/>
        <w:t>статистику државних финансија</w:t>
      </w:r>
      <w:r w:rsidRPr="0081082A">
        <w:rPr>
          <w:rFonts w:ascii="Times New Roman" w:hAnsi="Times New Roman"/>
          <w:i/>
          <w:sz w:val="24"/>
          <w:lang w:val="sr-Cyrl-RS"/>
        </w:rPr>
        <w:t xml:space="preserve"> </w:t>
      </w:r>
      <w:r w:rsidRPr="0081082A">
        <w:rPr>
          <w:rFonts w:ascii="Times New Roman" w:hAnsi="Times New Roman"/>
          <w:i/>
          <w:iCs/>
          <w:sz w:val="24"/>
          <w:lang w:val="sr-Cyrl-RS"/>
        </w:rPr>
        <w:t>GFSM</w:t>
      </w:r>
      <w:r w:rsidRPr="0081082A">
        <w:rPr>
          <w:rFonts w:ascii="Times New Roman" w:hAnsi="Times New Roman"/>
          <w:i/>
          <w:sz w:val="24"/>
          <w:lang w:val="sr-Cyrl-RS"/>
        </w:rPr>
        <w:t xml:space="preserve"> </w:t>
      </w:r>
      <w:r w:rsidRPr="0081082A">
        <w:rPr>
          <w:rFonts w:ascii="Times New Roman" w:hAnsi="Times New Roman"/>
          <w:sz w:val="24"/>
          <w:lang w:val="sr-Cyrl-RS"/>
        </w:rPr>
        <w:t>2014</w:t>
      </w:r>
      <w:r w:rsidRPr="0081082A">
        <w:rPr>
          <w:rFonts w:ascii="Times New Roman" w:hAnsi="Times New Roman" w:cs="Times New Roman"/>
          <w:sz w:val="24"/>
          <w:szCs w:val="24"/>
          <w:lang w:val="sr-Cyrl-RS"/>
        </w:rPr>
        <w:t xml:space="preserve"> и Европским системом националних и регионалних рачуна - </w:t>
      </w:r>
      <w:r w:rsidRPr="0081082A">
        <w:rPr>
          <w:rFonts w:ascii="Times New Roman" w:hAnsi="Times New Roman" w:cs="Times New Roman"/>
          <w:i/>
          <w:iCs/>
          <w:sz w:val="24"/>
          <w:szCs w:val="24"/>
          <w:lang w:val="sr-Cyrl-RS"/>
        </w:rPr>
        <w:t>ESA</w:t>
      </w:r>
      <w:r w:rsidRPr="0081082A">
        <w:rPr>
          <w:rFonts w:ascii="Times New Roman" w:hAnsi="Times New Roman" w:cs="Times New Roman"/>
          <w:sz w:val="24"/>
          <w:szCs w:val="24"/>
          <w:lang w:val="sr-Cyrl-RS"/>
        </w:rPr>
        <w:t xml:space="preserve"> 2010.</w:t>
      </w:r>
    </w:p>
    <w:p w:rsidR="004D0595" w:rsidRPr="0081082A" w:rsidRDefault="004D0595" w:rsidP="004D0595">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 Такође, уз подршку Комисије за примену међународних рачуноводствених стандарда за јавни сектор, планирано је доношење јасне рачуноводствене политике за финансијско извештавање у складу са </w:t>
      </w:r>
      <w:r w:rsidRPr="0081082A">
        <w:rPr>
          <w:rFonts w:ascii="Times New Roman" w:hAnsi="Times New Roman"/>
          <w:i/>
          <w:sz w:val="24"/>
          <w:lang w:val="sr-Cyrl-RS"/>
        </w:rPr>
        <w:t>IPSAS</w:t>
      </w:r>
      <w:r w:rsidRPr="0081082A">
        <w:rPr>
          <w:rFonts w:ascii="Times New Roman" w:hAnsi="Times New Roman" w:cs="Times New Roman"/>
          <w:sz w:val="24"/>
          <w:szCs w:val="24"/>
          <w:lang w:val="sr-Cyrl-RS"/>
        </w:rPr>
        <w:t xml:space="preserve"> за готовинску рачуноводствену основу, као и објављивање Финансијских извештаја заснованих на готовинској основи у складу са </w:t>
      </w:r>
      <w:r w:rsidRPr="0081082A">
        <w:rPr>
          <w:rFonts w:ascii="Times New Roman" w:hAnsi="Times New Roman"/>
          <w:i/>
          <w:sz w:val="24"/>
          <w:lang w:val="sr-Cyrl-RS"/>
        </w:rPr>
        <w:t>IPSAS</w:t>
      </w:r>
      <w:r w:rsidRPr="0081082A">
        <w:rPr>
          <w:rFonts w:ascii="Times New Roman" w:hAnsi="Times New Roman" w:cs="Times New Roman"/>
          <w:sz w:val="24"/>
          <w:szCs w:val="24"/>
          <w:lang w:val="sr-Cyrl-RS"/>
        </w:rPr>
        <w:t xml:space="preserve">. Ови реформски кораци ће омогућити даље усклађивање рачуноводствених стандарда за јавни сектор у Републици Србији са међународним </w:t>
      </w:r>
      <w:r w:rsidRPr="0081082A">
        <w:rPr>
          <w:rFonts w:ascii="Times New Roman" w:hAnsi="Times New Roman"/>
          <w:i/>
          <w:sz w:val="24"/>
          <w:lang w:val="sr-Cyrl-RS"/>
        </w:rPr>
        <w:t>IPSAS</w:t>
      </w:r>
      <w:r w:rsidRPr="0081082A">
        <w:rPr>
          <w:rFonts w:ascii="Times New Roman" w:hAnsi="Times New Roman" w:cs="Times New Roman"/>
          <w:i/>
          <w:iCs/>
          <w:sz w:val="24"/>
          <w:szCs w:val="24"/>
          <w:lang w:val="sr-Cyrl-RS"/>
        </w:rPr>
        <w:t xml:space="preserve"> </w:t>
      </w:r>
      <w:r w:rsidRPr="0081082A">
        <w:rPr>
          <w:rFonts w:ascii="Times New Roman" w:hAnsi="Times New Roman" w:cs="Times New Roman"/>
          <w:sz w:val="24"/>
          <w:szCs w:val="24"/>
          <w:lang w:val="sr-Cyrl-RS"/>
        </w:rPr>
        <w:t xml:space="preserve">у погледу квалитета финансијског извештавања које је важно за транспарентност јавних финансија. Поред тога, примена </w:t>
      </w:r>
      <w:r w:rsidRPr="0081082A">
        <w:rPr>
          <w:rFonts w:ascii="Times New Roman" w:hAnsi="Times New Roman"/>
          <w:i/>
          <w:iCs/>
          <w:sz w:val="24"/>
          <w:lang w:val="sr-Cyrl-RS"/>
        </w:rPr>
        <w:t>IPSAS</w:t>
      </w:r>
      <w:r w:rsidRPr="0081082A">
        <w:rPr>
          <w:rFonts w:ascii="Times New Roman" w:hAnsi="Times New Roman" w:cs="Times New Roman"/>
          <w:i/>
          <w:iCs/>
          <w:sz w:val="24"/>
          <w:szCs w:val="24"/>
          <w:lang w:val="sr-Cyrl-RS"/>
        </w:rPr>
        <w:t xml:space="preserve"> </w:t>
      </w:r>
      <w:r w:rsidRPr="0081082A">
        <w:rPr>
          <w:rFonts w:ascii="Times New Roman" w:hAnsi="Times New Roman" w:cs="Times New Roman"/>
          <w:sz w:val="24"/>
          <w:szCs w:val="24"/>
          <w:lang w:val="sr-Cyrl-RS"/>
        </w:rPr>
        <w:t>за готовинску основу кроз овај сегмент, је кључнa за даље реформске кораке у области рачуноводства и финансијског извештавања у јавном сектору, који са једне стране подразумевају јачање готовинске основе, а са друге, дугорочни постепени прелазак на обрачунско рачуноводство.</w:t>
      </w:r>
    </w:p>
    <w:p w:rsidR="004D0595" w:rsidRPr="0081082A" w:rsidRDefault="004D0595" w:rsidP="004D0595">
      <w:pPr>
        <w:pStyle w:val="CommentText"/>
        <w:spacing w:after="0"/>
        <w:ind w:firstLine="720"/>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И поред свог постигнутог </w:t>
      </w:r>
      <w:r w:rsidR="00395168" w:rsidRPr="0081082A">
        <w:rPr>
          <w:rFonts w:ascii="Times New Roman" w:hAnsi="Times New Roman" w:cs="Times New Roman"/>
          <w:sz w:val="24"/>
          <w:szCs w:val="24"/>
          <w:lang w:val="sr-Cyrl-RS"/>
        </w:rPr>
        <w:t>напретка у</w:t>
      </w:r>
      <w:r w:rsidRPr="0081082A">
        <w:rPr>
          <w:rFonts w:ascii="Times New Roman" w:hAnsi="Times New Roman" w:cs="Times New Roman"/>
          <w:sz w:val="24"/>
          <w:szCs w:val="24"/>
          <w:lang w:val="sr-Cyrl-RS"/>
        </w:rPr>
        <w:t xml:space="preserve"> делу извештавања, транспарентност </w:t>
      </w:r>
      <w:r w:rsidR="00395168" w:rsidRPr="0081082A">
        <w:rPr>
          <w:rFonts w:ascii="Times New Roman" w:hAnsi="Times New Roman" w:cs="Times New Roman"/>
          <w:sz w:val="24"/>
          <w:szCs w:val="24"/>
          <w:lang w:val="sr-Cyrl-RS"/>
        </w:rPr>
        <w:t>буџета је</w:t>
      </w:r>
      <w:r w:rsidRPr="0081082A">
        <w:rPr>
          <w:rFonts w:ascii="Times New Roman" w:hAnsi="Times New Roman" w:cs="Times New Roman"/>
          <w:sz w:val="24"/>
          <w:szCs w:val="24"/>
          <w:lang w:val="sr-Cyrl-RS"/>
        </w:rPr>
        <w:t xml:space="preserve"> потребно додатно унапредити у складу са најбољим међународним праксама. Из тог разлога планирано је да испуњење посебног циља V – Финансијски извештај припремљен и презентован Министарству финансија Републике Србије у складу </w:t>
      </w:r>
      <w:r w:rsidR="00395168" w:rsidRPr="0081082A">
        <w:rPr>
          <w:rFonts w:ascii="Times New Roman" w:hAnsi="Times New Roman" w:cs="Times New Roman"/>
          <w:sz w:val="24"/>
          <w:szCs w:val="24"/>
          <w:lang w:val="sr-Cyrl-RS"/>
        </w:rPr>
        <w:t>са захтевима</w:t>
      </w:r>
      <w:r w:rsidRPr="0081082A">
        <w:rPr>
          <w:rFonts w:ascii="Times New Roman" w:hAnsi="Times New Roman" w:cs="Times New Roman"/>
          <w:sz w:val="24"/>
          <w:szCs w:val="24"/>
          <w:lang w:val="sr-Cyrl-RS"/>
        </w:rPr>
        <w:t xml:space="preserve"> </w:t>
      </w:r>
      <w:r w:rsidRPr="0081082A">
        <w:rPr>
          <w:rFonts w:ascii="Times New Roman" w:hAnsi="Times New Roman" w:cs="Times New Roman"/>
          <w:i/>
          <w:iCs/>
          <w:sz w:val="24"/>
          <w:szCs w:val="24"/>
          <w:lang w:val="sr-Cyrl-RS"/>
        </w:rPr>
        <w:t xml:space="preserve">IPSAS </w:t>
      </w:r>
      <w:r w:rsidRPr="0081082A">
        <w:rPr>
          <w:rFonts w:ascii="Times New Roman" w:hAnsi="Times New Roman" w:cs="Times New Roman"/>
          <w:sz w:val="24"/>
          <w:szCs w:val="24"/>
          <w:lang w:val="sr-Cyrl-RS"/>
        </w:rPr>
        <w:t>за готовинску основу, буде објављен на сајту Управе за трезор. Извештај о извршењу буџета потребно је објављивати правовремено, са довољним нивоом детаља, тако да обухватају све кориснике општег нивоа државе, садрже извештај о учинку програма и друге податке неопходне првенствено за правилно доношења одлука.</w:t>
      </w:r>
    </w:p>
    <w:p w:rsidR="004238BD" w:rsidRPr="0081082A" w:rsidRDefault="004238BD" w:rsidP="00023FF2">
      <w:pPr>
        <w:rPr>
          <w:lang w:val="sr-Cyrl-RS"/>
        </w:rPr>
      </w:pPr>
    </w:p>
    <w:p w:rsidR="002220A7" w:rsidRPr="0081082A" w:rsidRDefault="00721398" w:rsidP="002220A7">
      <w:pPr>
        <w:pStyle w:val="Heading2"/>
        <w:jc w:val="center"/>
        <w:rPr>
          <w:rFonts w:ascii="Times New Roman" w:hAnsi="Times New Roman"/>
          <w:sz w:val="28"/>
          <w:lang w:val="sr-Cyrl-RS"/>
        </w:rPr>
      </w:pPr>
      <w:bookmarkStart w:id="46" w:name="_Toc72488826"/>
      <w:r w:rsidRPr="0081082A">
        <w:rPr>
          <w:rFonts w:ascii="Times New Roman" w:hAnsi="Times New Roman"/>
          <w:sz w:val="28"/>
          <w:lang w:val="sr-Cyrl-RS"/>
        </w:rPr>
        <w:t>ПОСЕБНИ ЦИЉ VI</w:t>
      </w:r>
      <w:bookmarkEnd w:id="46"/>
      <w:r w:rsidRPr="0081082A">
        <w:rPr>
          <w:rFonts w:ascii="Times New Roman" w:hAnsi="Times New Roman"/>
          <w:sz w:val="28"/>
          <w:lang w:val="sr-Cyrl-RS"/>
        </w:rPr>
        <w:t xml:space="preserve"> </w:t>
      </w:r>
    </w:p>
    <w:p w:rsidR="00721398" w:rsidRPr="0081082A" w:rsidRDefault="00442275" w:rsidP="002220A7">
      <w:pPr>
        <w:pStyle w:val="Heading2"/>
        <w:jc w:val="center"/>
        <w:rPr>
          <w:rFonts w:ascii="Times New Roman" w:hAnsi="Times New Roman"/>
          <w:sz w:val="28"/>
          <w:lang w:val="sr-Cyrl-RS"/>
        </w:rPr>
      </w:pPr>
      <w:bookmarkStart w:id="47" w:name="_Toc72488827"/>
      <w:r w:rsidRPr="0081082A">
        <w:rPr>
          <w:rFonts w:ascii="Times New Roman" w:eastAsia="Calibri" w:hAnsi="Times New Roman" w:cs="Times New Roman"/>
          <w:sz w:val="28"/>
          <w:szCs w:val="28"/>
          <w:lang w:val="sr-Cyrl-RS"/>
        </w:rPr>
        <w:t>ЈАЧАЊЕ СПОЉНОГ НАДЗОРА НАД ЈАВНИМ ФИНАНСИЈАМА</w:t>
      </w:r>
      <w:bookmarkEnd w:id="47"/>
    </w:p>
    <w:p w:rsidR="00B6213D" w:rsidRPr="0081082A" w:rsidRDefault="00721398" w:rsidP="001340DA">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Један од главних циљева у обезбеђивању стабилног система јавних финансија државе је ефикасан спољни надзор и</w:t>
      </w:r>
      <w:r w:rsidRPr="0081082A">
        <w:rPr>
          <w:rFonts w:ascii="Times New Roman" w:hAnsi="Times New Roman"/>
          <w:sz w:val="24"/>
          <w:lang w:val="sr-Cyrl-RS"/>
        </w:rPr>
        <w:t xml:space="preserve"> </w:t>
      </w:r>
      <w:r w:rsidRPr="0081082A">
        <w:rPr>
          <w:rFonts w:ascii="Times New Roman" w:hAnsi="Times New Roman" w:cs="Times New Roman"/>
          <w:sz w:val="24"/>
          <w:szCs w:val="24"/>
          <w:lang w:val="sr-Cyrl-RS"/>
        </w:rPr>
        <w:t xml:space="preserve">добро успостављени системи праћења, укључујући и строга правила о извештавању и транспарентности. Од успостављања Програма реформе управљања јавним финансијама, систем екстерног надзора над јавним финансијама успостављен је партнерским радом два независна органа, </w:t>
      </w:r>
      <w:r w:rsidR="00600253" w:rsidRPr="0081082A">
        <w:rPr>
          <w:rFonts w:ascii="Times New Roman" w:hAnsi="Times New Roman"/>
          <w:sz w:val="24"/>
          <w:lang w:val="sr-Cyrl-RS"/>
        </w:rPr>
        <w:t>ДРИ</w:t>
      </w:r>
      <w:r w:rsidR="00BC2C9D" w:rsidRPr="0081082A">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и Народне скупштине преко Одбора за финансије, републички буџет и контролу трошења јавних средстава. У јуну 2015. године, ове институције потписале су Меморандум о разумевању, чиме је регулисан начин размене информација у вези примене, усвајања и спровођења политика и прописа</w:t>
      </w:r>
      <w:r w:rsidR="006069E9" w:rsidRPr="0081082A">
        <w:rPr>
          <w:rFonts w:ascii="Times New Roman" w:hAnsi="Times New Roman" w:cs="Times New Roman"/>
          <w:sz w:val="24"/>
          <w:szCs w:val="24"/>
          <w:lang w:val="sr-Cyrl-RS"/>
        </w:rPr>
        <w:t>,</w:t>
      </w:r>
      <w:r w:rsidRPr="0081082A">
        <w:rPr>
          <w:rFonts w:ascii="Times New Roman" w:eastAsia="Calibri" w:hAnsi="Times New Roman" w:cs="Times New Roman"/>
          <w:sz w:val="24"/>
          <w:szCs w:val="24"/>
          <w:shd w:val="clear" w:color="auto" w:fill="FFFFFF"/>
          <w:lang w:val="sr-Cyrl-RS" w:eastAsia="en-GB"/>
        </w:rPr>
        <w:t xml:space="preserve"> </w:t>
      </w:r>
      <w:r w:rsidRPr="0081082A">
        <w:rPr>
          <w:rFonts w:ascii="Times New Roman" w:hAnsi="Times New Roman" w:cs="Times New Roman"/>
          <w:sz w:val="24"/>
          <w:szCs w:val="24"/>
          <w:lang w:val="sr-Cyrl-RS"/>
        </w:rPr>
        <w:t xml:space="preserve">као и у вези пројеката и других активности и иницијатива у области финансијске контроле и одговорности. Међусобна сарадња успостављена је тако да је ДРИ задужена за пружање подршке члановима Одбора у разумевању природе и важности ревизорских налаза и проналажењу одговарајућих корективних механизама за проблеме које ти налази покажу. </w:t>
      </w:r>
    </w:p>
    <w:p w:rsidR="00721398" w:rsidRPr="0081082A" w:rsidRDefault="002C2EF1" w:rsidP="001340DA">
      <w:pPr>
        <w:spacing w:after="0" w:line="240" w:lineRule="auto"/>
        <w:ind w:firstLine="708"/>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Парламентарна надзорна функција над јавним финансијама значајно је побољшана оснивањем Пододбора за разматрање извештаја о обављеним ревизијама </w:t>
      </w:r>
      <w:r w:rsidR="00600253" w:rsidRPr="0081082A">
        <w:rPr>
          <w:rFonts w:ascii="Times New Roman" w:hAnsi="Times New Roman"/>
          <w:sz w:val="24"/>
          <w:lang w:val="sr-Cyrl-RS"/>
        </w:rPr>
        <w:t>ДРИ</w:t>
      </w:r>
      <w:r w:rsidR="00600253" w:rsidRPr="0081082A" w:rsidDel="00600253">
        <w:rPr>
          <w:rFonts w:ascii="Times New Roman" w:hAnsi="Times New Roman" w:cs="Times New Roman"/>
          <w:sz w:val="24"/>
          <w:szCs w:val="24"/>
          <w:lang w:val="sr-Cyrl-RS"/>
        </w:rPr>
        <w:t xml:space="preserve"> </w:t>
      </w:r>
      <w:r w:rsidRPr="0081082A">
        <w:rPr>
          <w:rFonts w:ascii="Times New Roman" w:hAnsi="Times New Roman" w:cs="Times New Roman"/>
          <w:sz w:val="24"/>
          <w:szCs w:val="24"/>
          <w:lang w:val="sr-Cyrl-RS"/>
        </w:rPr>
        <w:t xml:space="preserve">и додатно унапређена усвајањем Смерница за разматрање извештаја </w:t>
      </w:r>
      <w:r w:rsidR="00600253" w:rsidRPr="0081082A">
        <w:rPr>
          <w:rFonts w:ascii="Times New Roman" w:hAnsi="Times New Roman"/>
          <w:sz w:val="24"/>
          <w:lang w:val="sr-Cyrl-RS"/>
        </w:rPr>
        <w:t>ДРИ</w:t>
      </w:r>
      <w:r w:rsidRPr="0081082A">
        <w:rPr>
          <w:rFonts w:ascii="Times New Roman" w:hAnsi="Times New Roman" w:cs="Times New Roman"/>
          <w:sz w:val="24"/>
          <w:szCs w:val="24"/>
          <w:lang w:val="sr-Cyrl-RS"/>
        </w:rPr>
        <w:t xml:space="preserve"> о обављеним ревизијама корисника јавних средстава.</w:t>
      </w:r>
      <w:r w:rsidRPr="0081082A">
        <w:rPr>
          <w:lang w:val="sr-Cyrl-RS"/>
        </w:rPr>
        <w:t xml:space="preserve"> </w:t>
      </w:r>
      <w:r w:rsidR="00721398" w:rsidRPr="0081082A">
        <w:rPr>
          <w:rFonts w:ascii="Times New Roman" w:hAnsi="Times New Roman" w:cs="Times New Roman"/>
          <w:sz w:val="24"/>
          <w:szCs w:val="24"/>
          <w:lang w:val="sr-Cyrl-RS"/>
        </w:rPr>
        <w:t>Одбор</w:t>
      </w:r>
      <w:r w:rsidR="00BD7319" w:rsidRPr="0081082A">
        <w:rPr>
          <w:rFonts w:ascii="Times New Roman" w:hAnsi="Times New Roman" w:cs="Times New Roman"/>
          <w:sz w:val="24"/>
          <w:szCs w:val="24"/>
          <w:lang w:val="sr-Cyrl-RS"/>
        </w:rPr>
        <w:t>,</w:t>
      </w:r>
      <w:r w:rsidR="00721398" w:rsidRPr="0081082A">
        <w:rPr>
          <w:rFonts w:ascii="Times New Roman" w:hAnsi="Times New Roman" w:cs="Times New Roman"/>
          <w:sz w:val="24"/>
          <w:szCs w:val="24"/>
          <w:lang w:val="sr-Cyrl-RS"/>
        </w:rPr>
        <w:t xml:space="preserve"> са друге стране</w:t>
      </w:r>
      <w:r w:rsidR="00DD66B7" w:rsidRPr="0081082A">
        <w:rPr>
          <w:rFonts w:ascii="Times New Roman" w:hAnsi="Times New Roman" w:cs="Times New Roman"/>
          <w:sz w:val="24"/>
          <w:szCs w:val="24"/>
          <w:lang w:val="sr-Cyrl-RS"/>
        </w:rPr>
        <w:t>,</w:t>
      </w:r>
      <w:r w:rsidR="00721398" w:rsidRPr="0081082A">
        <w:rPr>
          <w:rFonts w:ascii="Times New Roman" w:hAnsi="Times New Roman" w:cs="Times New Roman"/>
          <w:sz w:val="24"/>
          <w:szCs w:val="24"/>
          <w:lang w:val="sr-Cyrl-RS"/>
        </w:rPr>
        <w:t xml:space="preserve"> разматра активности ДРИ и о томе обавештава Народну скупштину и уједно ради на утврђивању и развоју механизама за праћење спровођења препорука које </w:t>
      </w:r>
      <w:r w:rsidR="00BD7319" w:rsidRPr="0081082A">
        <w:rPr>
          <w:rFonts w:ascii="Times New Roman" w:hAnsi="Times New Roman" w:cs="Times New Roman"/>
          <w:sz w:val="24"/>
          <w:szCs w:val="24"/>
          <w:lang w:val="sr-Cyrl-RS"/>
        </w:rPr>
        <w:t xml:space="preserve">су </w:t>
      </w:r>
      <w:r w:rsidR="00721398" w:rsidRPr="0081082A">
        <w:rPr>
          <w:rFonts w:ascii="Times New Roman" w:hAnsi="Times New Roman" w:cs="Times New Roman"/>
          <w:sz w:val="24"/>
          <w:szCs w:val="24"/>
          <w:lang w:val="sr-Cyrl-RS"/>
        </w:rPr>
        <w:t>дал</w:t>
      </w:r>
      <w:r w:rsidR="00BD7319" w:rsidRPr="0081082A">
        <w:rPr>
          <w:rFonts w:ascii="Times New Roman" w:hAnsi="Times New Roman" w:cs="Times New Roman"/>
          <w:sz w:val="24"/>
          <w:szCs w:val="24"/>
          <w:lang w:val="sr-Cyrl-RS"/>
        </w:rPr>
        <w:t>е</w:t>
      </w:r>
      <w:r w:rsidR="00721398" w:rsidRPr="0081082A">
        <w:rPr>
          <w:rFonts w:ascii="Times New Roman" w:hAnsi="Times New Roman" w:cs="Times New Roman"/>
          <w:sz w:val="24"/>
          <w:szCs w:val="24"/>
          <w:lang w:val="sr-Cyrl-RS"/>
        </w:rPr>
        <w:t xml:space="preserve"> ДРИ и Народна </w:t>
      </w:r>
      <w:r w:rsidR="00721398" w:rsidRPr="0081082A">
        <w:rPr>
          <w:rFonts w:ascii="Times New Roman" w:hAnsi="Times New Roman" w:cs="Times New Roman"/>
          <w:sz w:val="24"/>
          <w:szCs w:val="24"/>
          <w:lang w:val="sr-Cyrl-RS"/>
        </w:rPr>
        <w:lastRenderedPageBreak/>
        <w:t>скупштина, а на основу извештаја ДРИ. Како би се обезбедио ефикаснији систем екстерног надзора над јавним финансијама, установљено је да је неопходно:</w:t>
      </w:r>
    </w:p>
    <w:p w:rsidR="00721398" w:rsidRPr="0081082A" w:rsidRDefault="005E3443" w:rsidP="0015513C">
      <w:pPr>
        <w:numPr>
          <w:ilvl w:val="0"/>
          <w:numId w:val="5"/>
        </w:numPr>
        <w:spacing w:after="0" w:line="240" w:lineRule="auto"/>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Даље унапређивати </w:t>
      </w:r>
      <w:r w:rsidR="00721398" w:rsidRPr="0081082A">
        <w:rPr>
          <w:rFonts w:ascii="Times New Roman" w:hAnsi="Times New Roman" w:cs="Times New Roman"/>
          <w:sz w:val="24"/>
          <w:szCs w:val="24"/>
          <w:lang w:val="sr-Cyrl-RS"/>
        </w:rPr>
        <w:t>обухват, квалитет и утицај екстерних ревизија</w:t>
      </w:r>
      <w:r w:rsidR="00E16E76">
        <w:rPr>
          <w:rFonts w:ascii="Times New Roman" w:hAnsi="Times New Roman" w:cs="Times New Roman"/>
          <w:sz w:val="24"/>
          <w:szCs w:val="24"/>
          <w:lang w:val="sr-Cyrl-RS"/>
        </w:rPr>
        <w:t>,</w:t>
      </w:r>
      <w:r w:rsidR="00721398" w:rsidRPr="0081082A">
        <w:rPr>
          <w:rFonts w:ascii="Times New Roman" w:hAnsi="Times New Roman" w:cs="Times New Roman"/>
          <w:sz w:val="24"/>
          <w:szCs w:val="24"/>
          <w:lang w:val="sr-Cyrl-RS"/>
        </w:rPr>
        <w:t xml:space="preserve"> и</w:t>
      </w:r>
    </w:p>
    <w:p w:rsidR="00721398" w:rsidRPr="0081082A" w:rsidRDefault="00721398" w:rsidP="0015513C">
      <w:pPr>
        <w:numPr>
          <w:ilvl w:val="0"/>
          <w:numId w:val="5"/>
        </w:numPr>
        <w:spacing w:after="0" w:line="240" w:lineRule="auto"/>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Ојачати скупштински надзор над јавним финансијама.</w:t>
      </w:r>
    </w:p>
    <w:p w:rsidR="00721398" w:rsidRPr="0081082A" w:rsidRDefault="00721398" w:rsidP="005B6C61">
      <w:pPr>
        <w:spacing w:before="0" w:after="160"/>
        <w:ind w:left="720"/>
        <w:jc w:val="both"/>
        <w:rPr>
          <w:rFonts w:ascii="Times New Roman" w:hAnsi="Times New Roman"/>
          <w:sz w:val="24"/>
          <w:lang w:val="sr-Cyrl-RS"/>
        </w:rPr>
      </w:pPr>
    </w:p>
    <w:p w:rsidR="00721398" w:rsidRPr="0081082A" w:rsidRDefault="00721398" w:rsidP="00686A90">
      <w:pPr>
        <w:pStyle w:val="Heading2"/>
        <w:jc w:val="center"/>
        <w:rPr>
          <w:rFonts w:ascii="Times New Roman" w:hAnsi="Times New Roman"/>
          <w:color w:val="000000" w:themeColor="text1"/>
          <w:sz w:val="24"/>
          <w:lang w:val="sr-Cyrl-RS"/>
        </w:rPr>
      </w:pPr>
      <w:bookmarkStart w:id="48" w:name="_Toc72488828"/>
      <w:r w:rsidRPr="0081082A">
        <w:rPr>
          <w:rFonts w:ascii="Times New Roman" w:hAnsi="Times New Roman"/>
          <w:color w:val="000000" w:themeColor="text1"/>
          <w:sz w:val="24"/>
          <w:lang w:val="sr-Cyrl-RS"/>
        </w:rPr>
        <w:t>Постигнуто у претходном ПРУЈФ</w:t>
      </w:r>
      <w:bookmarkEnd w:id="48"/>
    </w:p>
    <w:p w:rsidR="00721398" w:rsidRPr="0081082A" w:rsidRDefault="00721398" w:rsidP="001340DA">
      <w:pPr>
        <w:spacing w:after="0" w:line="240" w:lineRule="auto"/>
        <w:ind w:firstLine="708"/>
        <w:jc w:val="both"/>
        <w:rPr>
          <w:rFonts w:ascii="Times New Roman" w:eastAsia="Calibri" w:hAnsi="Times New Roman"/>
          <w:sz w:val="24"/>
          <w:szCs w:val="24"/>
          <w:shd w:val="clear" w:color="auto" w:fill="FFFFFF"/>
          <w:lang w:val="sr-Cyrl-RS"/>
        </w:rPr>
      </w:pPr>
      <w:r w:rsidRPr="0081082A">
        <w:rPr>
          <w:rFonts w:ascii="Times New Roman" w:eastAsia="Calibri" w:hAnsi="Times New Roman"/>
          <w:sz w:val="24"/>
          <w:szCs w:val="24"/>
          <w:shd w:val="clear" w:color="auto" w:fill="FFFFFF"/>
          <w:lang w:val="sr-Cyrl-RS"/>
        </w:rPr>
        <w:t>Упркос томе што ДРИ није у могућности да ревидира све институције јавне управе</w:t>
      </w:r>
      <w:r w:rsidR="00E21EC6" w:rsidRPr="0081082A">
        <w:rPr>
          <w:rFonts w:ascii="Times New Roman" w:eastAsia="Calibri" w:hAnsi="Times New Roman"/>
          <w:sz w:val="24"/>
          <w:szCs w:val="24"/>
          <w:shd w:val="clear" w:color="auto" w:fill="FFFFFF"/>
          <w:lang w:val="sr-Cyrl-RS"/>
        </w:rPr>
        <w:t xml:space="preserve"> у оквиру своје надлежности сваке године</w:t>
      </w:r>
      <w:r w:rsidRPr="0081082A">
        <w:rPr>
          <w:rStyle w:val="FootnoteReference"/>
          <w:rFonts w:ascii="Times New Roman" w:eastAsia="Calibri" w:hAnsi="Times New Roman"/>
          <w:sz w:val="24"/>
          <w:szCs w:val="24"/>
          <w:shd w:val="clear" w:color="auto" w:fill="FFFFFF"/>
          <w:lang w:val="sr-Cyrl-RS"/>
        </w:rPr>
        <w:footnoteReference w:id="157"/>
      </w:r>
      <w:r w:rsidRPr="0081082A">
        <w:rPr>
          <w:rFonts w:ascii="Times New Roman" w:eastAsia="Calibri" w:hAnsi="Times New Roman"/>
          <w:sz w:val="24"/>
          <w:szCs w:val="24"/>
          <w:shd w:val="clear" w:color="auto" w:fill="FFFFFF"/>
          <w:lang w:val="sr-Cyrl-RS"/>
        </w:rPr>
        <w:t xml:space="preserve">, у претходном периоду ДРИ је уложила значајне напоре да обезбеди висококвалитетне ревизије које позитивно утичу на функционисање јавног сектора. Приликом планирања ревизије користи се приступ заснован на ризицима у својим одлукама, а </w:t>
      </w:r>
      <w:r w:rsidRPr="0081082A">
        <w:rPr>
          <w:rFonts w:ascii="Times New Roman" w:hAnsi="Times New Roman"/>
          <w:sz w:val="24"/>
          <w:lang w:val="sr-Cyrl-RS"/>
        </w:rPr>
        <w:t>значајно</w:t>
      </w:r>
      <w:r w:rsidRPr="0081082A">
        <w:rPr>
          <w:rFonts w:ascii="Times New Roman" w:eastAsia="Calibri" w:hAnsi="Times New Roman"/>
          <w:sz w:val="24"/>
          <w:szCs w:val="24"/>
          <w:shd w:val="clear" w:color="auto" w:fill="FFFFFF"/>
          <w:lang w:val="sr-Cyrl-RS"/>
        </w:rPr>
        <w:t xml:space="preserve"> унапређење рада ДРИ је у периоду покривеном ПРУЈФ 2016-2020 остварила кроз:</w:t>
      </w:r>
    </w:p>
    <w:p w:rsidR="00721398" w:rsidRPr="0081082A" w:rsidRDefault="00721398" w:rsidP="0015513C">
      <w:pPr>
        <w:pStyle w:val="ListParagraph"/>
        <w:numPr>
          <w:ilvl w:val="0"/>
          <w:numId w:val="7"/>
        </w:numPr>
        <w:spacing w:before="100" w:after="0" w:line="240" w:lineRule="auto"/>
        <w:jc w:val="both"/>
        <w:rPr>
          <w:rFonts w:ascii="Times New Roman" w:eastAsia="Calibri" w:hAnsi="Times New Roman"/>
          <w:sz w:val="24"/>
          <w:szCs w:val="24"/>
          <w:shd w:val="clear" w:color="auto" w:fill="FFFFFF"/>
          <w:lang w:val="sr-Cyrl-RS"/>
        </w:rPr>
      </w:pPr>
      <w:r w:rsidRPr="0081082A">
        <w:rPr>
          <w:rFonts w:ascii="Times New Roman" w:eastAsia="Calibri" w:hAnsi="Times New Roman"/>
          <w:sz w:val="24"/>
          <w:szCs w:val="24"/>
          <w:shd w:val="clear" w:color="auto" w:fill="FFFFFF"/>
          <w:lang w:val="sr-Cyrl-RS"/>
        </w:rPr>
        <w:t>повећање броја и квалитета ревизорских производа</w:t>
      </w:r>
      <w:r w:rsidR="002822B8" w:rsidRPr="0081082A">
        <w:rPr>
          <w:rFonts w:ascii="Times New Roman" w:eastAsia="Calibri" w:hAnsi="Times New Roman"/>
          <w:sz w:val="24"/>
          <w:szCs w:val="24"/>
          <w:shd w:val="clear" w:color="auto" w:fill="FFFFFF"/>
          <w:lang w:val="sr-Cyrl-RS"/>
        </w:rPr>
        <w:t>;</w:t>
      </w:r>
    </w:p>
    <w:p w:rsidR="00721398" w:rsidRPr="0081082A" w:rsidRDefault="00721398" w:rsidP="0015513C">
      <w:pPr>
        <w:pStyle w:val="ListParagraph"/>
        <w:numPr>
          <w:ilvl w:val="0"/>
          <w:numId w:val="7"/>
        </w:numPr>
        <w:spacing w:before="100" w:after="0" w:line="240" w:lineRule="auto"/>
        <w:jc w:val="both"/>
        <w:rPr>
          <w:rFonts w:ascii="Times New Roman" w:eastAsia="Calibri" w:hAnsi="Times New Roman"/>
          <w:sz w:val="24"/>
          <w:szCs w:val="24"/>
          <w:shd w:val="clear" w:color="auto" w:fill="FFFFFF"/>
          <w:lang w:val="sr-Cyrl-RS"/>
        </w:rPr>
      </w:pPr>
      <w:r w:rsidRPr="0081082A">
        <w:rPr>
          <w:rFonts w:ascii="Times New Roman" w:eastAsia="Calibri" w:hAnsi="Times New Roman"/>
          <w:sz w:val="24"/>
          <w:szCs w:val="24"/>
          <w:shd w:val="clear" w:color="auto" w:fill="FFFFFF"/>
          <w:lang w:val="sr-Cyrl-RS"/>
        </w:rPr>
        <w:t>повећање процента препорука по којима је поступљено од стране субјеката ревизије</w:t>
      </w:r>
      <w:r w:rsidR="002822B8" w:rsidRPr="0081082A">
        <w:rPr>
          <w:rFonts w:ascii="Times New Roman" w:eastAsia="Calibri" w:hAnsi="Times New Roman"/>
          <w:sz w:val="24"/>
          <w:szCs w:val="24"/>
          <w:shd w:val="clear" w:color="auto" w:fill="FFFFFF"/>
          <w:lang w:val="sr-Cyrl-RS"/>
        </w:rPr>
        <w:t>;</w:t>
      </w:r>
      <w:r w:rsidRPr="0081082A">
        <w:rPr>
          <w:rFonts w:ascii="Times New Roman" w:eastAsia="Calibri" w:hAnsi="Times New Roman"/>
          <w:sz w:val="24"/>
          <w:szCs w:val="24"/>
          <w:shd w:val="clear" w:color="auto" w:fill="FFFFFF"/>
          <w:lang w:val="sr-Cyrl-RS"/>
        </w:rPr>
        <w:t xml:space="preserve"> </w:t>
      </w:r>
    </w:p>
    <w:p w:rsidR="00721398" w:rsidRPr="0081082A" w:rsidRDefault="00721398" w:rsidP="0015513C">
      <w:pPr>
        <w:pStyle w:val="ListParagraph"/>
        <w:numPr>
          <w:ilvl w:val="0"/>
          <w:numId w:val="6"/>
        </w:numPr>
        <w:spacing w:before="100" w:after="0" w:line="240" w:lineRule="auto"/>
        <w:jc w:val="both"/>
        <w:rPr>
          <w:rFonts w:ascii="Times New Roman" w:eastAsia="Calibri" w:hAnsi="Times New Roman"/>
          <w:sz w:val="24"/>
          <w:szCs w:val="24"/>
          <w:shd w:val="clear" w:color="auto" w:fill="FFFFFF"/>
          <w:lang w:val="sr-Cyrl-RS"/>
        </w:rPr>
      </w:pPr>
      <w:r w:rsidRPr="0081082A">
        <w:rPr>
          <w:rFonts w:ascii="Times New Roman" w:eastAsia="Calibri" w:hAnsi="Times New Roman"/>
          <w:sz w:val="24"/>
          <w:szCs w:val="24"/>
          <w:shd w:val="clear" w:color="auto" w:fill="FFFFFF"/>
          <w:lang w:val="sr-Cyrl-RS"/>
        </w:rPr>
        <w:t>броја ревизора</w:t>
      </w:r>
      <w:r w:rsidR="002822B8" w:rsidRPr="0081082A">
        <w:rPr>
          <w:rFonts w:ascii="Times New Roman" w:eastAsia="Calibri" w:hAnsi="Times New Roman"/>
          <w:sz w:val="24"/>
          <w:szCs w:val="24"/>
          <w:shd w:val="clear" w:color="auto" w:fill="FFFFFF"/>
          <w:lang w:val="sr-Cyrl-RS"/>
        </w:rPr>
        <w:t>,</w:t>
      </w:r>
      <w:r w:rsidRPr="0081082A">
        <w:rPr>
          <w:rFonts w:ascii="Times New Roman" w:eastAsia="Calibri" w:hAnsi="Times New Roman"/>
          <w:sz w:val="24"/>
          <w:szCs w:val="24"/>
          <w:shd w:val="clear" w:color="auto" w:fill="FFFFFF"/>
          <w:lang w:val="sr-Cyrl-RS"/>
        </w:rPr>
        <w:t xml:space="preserve"> и</w:t>
      </w:r>
    </w:p>
    <w:p w:rsidR="00721398" w:rsidRPr="0081082A" w:rsidRDefault="00721398" w:rsidP="0015513C">
      <w:pPr>
        <w:pStyle w:val="ListParagraph"/>
        <w:numPr>
          <w:ilvl w:val="0"/>
          <w:numId w:val="6"/>
        </w:numPr>
        <w:spacing w:before="100" w:after="0" w:line="240" w:lineRule="auto"/>
        <w:jc w:val="both"/>
        <w:rPr>
          <w:rFonts w:ascii="Times New Roman" w:eastAsia="Calibri" w:hAnsi="Times New Roman"/>
          <w:sz w:val="24"/>
          <w:szCs w:val="24"/>
          <w:shd w:val="clear" w:color="auto" w:fill="FFFFFF"/>
          <w:lang w:val="sr-Cyrl-RS"/>
        </w:rPr>
      </w:pPr>
      <w:r w:rsidRPr="0081082A">
        <w:rPr>
          <w:rFonts w:ascii="Times New Roman" w:eastAsia="Calibri" w:hAnsi="Times New Roman"/>
          <w:sz w:val="24"/>
          <w:szCs w:val="24"/>
          <w:shd w:val="clear" w:color="auto" w:fill="FFFFFF"/>
          <w:lang w:val="sr-Cyrl-RS"/>
        </w:rPr>
        <w:t>обухват субјеката ревизије (детаљни преглед података за временски период 2017-2020</w:t>
      </w:r>
      <w:r w:rsidRPr="0081082A">
        <w:rPr>
          <w:rFonts w:ascii="Times New Roman" w:hAnsi="Times New Roman"/>
          <w:sz w:val="24"/>
          <w:shd w:val="clear" w:color="auto" w:fill="FFFFFF"/>
          <w:lang w:val="sr-Cyrl-RS"/>
        </w:rPr>
        <w:t>.</w:t>
      </w:r>
      <w:r w:rsidRPr="0081082A">
        <w:rPr>
          <w:rFonts w:ascii="Times New Roman" w:eastAsia="Calibri" w:hAnsi="Times New Roman"/>
          <w:sz w:val="24"/>
          <w:szCs w:val="24"/>
          <w:shd w:val="clear" w:color="auto" w:fill="FFFFFF"/>
          <w:lang w:val="sr-Cyrl-RS"/>
        </w:rPr>
        <w:t xml:space="preserve"> </w:t>
      </w:r>
      <w:r w:rsidR="00DD66B7" w:rsidRPr="0081082A">
        <w:rPr>
          <w:rFonts w:ascii="Times New Roman" w:eastAsia="Calibri" w:hAnsi="Times New Roman"/>
          <w:sz w:val="24"/>
          <w:szCs w:val="24"/>
          <w:shd w:val="clear" w:color="auto" w:fill="FFFFFF"/>
          <w:lang w:val="sr-Cyrl-RS"/>
        </w:rPr>
        <w:t xml:space="preserve">- </w:t>
      </w:r>
      <w:r w:rsidRPr="0081082A">
        <w:rPr>
          <w:rFonts w:ascii="Times New Roman" w:eastAsia="Calibri" w:hAnsi="Times New Roman"/>
          <w:sz w:val="24"/>
          <w:szCs w:val="24"/>
          <w:shd w:val="clear" w:color="auto" w:fill="FFFFFF"/>
          <w:lang w:val="sr-Cyrl-RS"/>
        </w:rPr>
        <w:t>погледати у графикону</w:t>
      </w:r>
      <w:r w:rsidR="006A76D5" w:rsidRPr="0081082A">
        <w:rPr>
          <w:rFonts w:ascii="Times New Roman" w:eastAsia="Calibri" w:hAnsi="Times New Roman"/>
          <w:sz w:val="24"/>
          <w:szCs w:val="24"/>
          <w:shd w:val="clear" w:color="auto" w:fill="FFFFFF"/>
          <w:lang w:val="sr-Cyrl-RS"/>
        </w:rPr>
        <w:t xml:space="preserve"> испод</w:t>
      </w:r>
      <w:r w:rsidRPr="0081082A">
        <w:rPr>
          <w:rFonts w:ascii="Times New Roman" w:eastAsia="Calibri" w:hAnsi="Times New Roman"/>
          <w:sz w:val="24"/>
          <w:szCs w:val="24"/>
          <w:shd w:val="clear" w:color="auto" w:fill="FFFFFF"/>
          <w:lang w:val="sr-Cyrl-RS"/>
        </w:rPr>
        <w:t xml:space="preserve">). </w:t>
      </w:r>
    </w:p>
    <w:p w:rsidR="00721398" w:rsidRPr="0081082A" w:rsidRDefault="00721398" w:rsidP="001340DA">
      <w:pPr>
        <w:pStyle w:val="ListParagraph"/>
        <w:spacing w:before="100" w:after="0" w:line="240" w:lineRule="auto"/>
        <w:jc w:val="both"/>
        <w:rPr>
          <w:rFonts w:ascii="Times New Roman" w:eastAsia="Calibri" w:hAnsi="Times New Roman"/>
          <w:sz w:val="24"/>
          <w:szCs w:val="24"/>
          <w:shd w:val="clear" w:color="auto" w:fill="FFFFFF"/>
          <w:lang w:val="sr-Cyrl-RS"/>
        </w:rPr>
      </w:pPr>
    </w:p>
    <w:p w:rsidR="00721398" w:rsidRPr="0081082A" w:rsidRDefault="00721398" w:rsidP="001340DA">
      <w:pPr>
        <w:pStyle w:val="ListParagraph"/>
        <w:spacing w:before="100" w:after="0" w:line="240" w:lineRule="auto"/>
        <w:jc w:val="both"/>
        <w:rPr>
          <w:rFonts w:ascii="Times New Roman" w:eastAsia="Calibri" w:hAnsi="Times New Roman"/>
          <w:sz w:val="24"/>
          <w:szCs w:val="24"/>
          <w:shd w:val="clear" w:color="auto" w:fill="FFFFFF"/>
          <w:lang w:val="sr-Cyrl-RS"/>
        </w:rPr>
      </w:pPr>
      <w:r w:rsidRPr="0081082A">
        <w:rPr>
          <w:rFonts w:ascii="Times New Roman" w:hAnsi="Times New Roman"/>
          <w:b/>
          <w:noProof/>
          <w:sz w:val="24"/>
          <w:szCs w:val="24"/>
        </w:rPr>
        <w:drawing>
          <wp:inline distT="0" distB="0" distL="0" distR="0" wp14:anchorId="4D10D5CA" wp14:editId="19E696EE">
            <wp:extent cx="5165090" cy="1609725"/>
            <wp:effectExtent l="0" t="0" r="16510" b="952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721398" w:rsidRPr="0081082A" w:rsidRDefault="00721398" w:rsidP="001340DA">
      <w:pPr>
        <w:spacing w:after="0" w:line="240" w:lineRule="auto"/>
        <w:jc w:val="both"/>
        <w:rPr>
          <w:rFonts w:ascii="Times New Roman" w:hAnsi="Times New Roman" w:cs="Times New Roman"/>
          <w:b/>
          <w:iCs/>
          <w:color w:val="2E74B5" w:themeColor="accent1" w:themeShade="BF"/>
          <w:lang w:val="sr-Cyrl-RS"/>
        </w:rPr>
      </w:pPr>
      <w:r w:rsidRPr="0081082A">
        <w:rPr>
          <w:rFonts w:ascii="Times New Roman" w:hAnsi="Times New Roman" w:cs="Times New Roman"/>
          <w:b/>
          <w:iCs/>
          <w:color w:val="2E74B5" w:themeColor="accent1" w:themeShade="BF"/>
          <w:lang w:val="sr-Cyrl-RS"/>
        </w:rPr>
        <w:t xml:space="preserve">             Графикон</w:t>
      </w:r>
      <w:r w:rsidR="006A76D5" w:rsidRPr="0081082A">
        <w:rPr>
          <w:rFonts w:ascii="Times New Roman" w:hAnsi="Times New Roman" w:cs="Times New Roman"/>
          <w:b/>
          <w:iCs/>
          <w:color w:val="2E74B5" w:themeColor="accent1" w:themeShade="BF"/>
          <w:lang w:val="sr-Cyrl-RS"/>
        </w:rPr>
        <w:t xml:space="preserve"> </w:t>
      </w:r>
      <w:r w:rsidR="0071256E" w:rsidRPr="0081082A">
        <w:rPr>
          <w:rFonts w:ascii="Times New Roman" w:hAnsi="Times New Roman" w:cs="Times New Roman"/>
          <w:b/>
          <w:iCs/>
          <w:color w:val="2E74B5" w:themeColor="accent1" w:themeShade="BF"/>
          <w:lang w:val="sr-Cyrl-RS"/>
        </w:rPr>
        <w:t>2</w:t>
      </w:r>
      <w:r w:rsidRPr="0081082A">
        <w:rPr>
          <w:rFonts w:ascii="Times New Roman" w:hAnsi="Times New Roman" w:cs="Times New Roman"/>
          <w:b/>
          <w:iCs/>
          <w:color w:val="2E74B5" w:themeColor="accent1" w:themeShade="BF"/>
          <w:lang w:val="sr-Cyrl-RS"/>
        </w:rPr>
        <w:t>:  Постигнућа ДРИ у процесу унапређења обухвата и квалитета екстерне ревизије</w:t>
      </w:r>
    </w:p>
    <w:p w:rsidR="00721398" w:rsidRPr="0081082A" w:rsidRDefault="00721398" w:rsidP="001340DA">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shd w:val="clear" w:color="auto" w:fill="FFFFFF"/>
          <w:lang w:val="sr-Cyrl-RS"/>
        </w:rPr>
        <w:t xml:space="preserve">Значајан напредак у области екстерне ревизије огледа се у усвајању </w:t>
      </w:r>
      <w:r w:rsidR="00003FA8" w:rsidRPr="0081082A">
        <w:rPr>
          <w:rFonts w:ascii="Times New Roman" w:eastAsia="Calibri" w:hAnsi="Times New Roman" w:cs="Times New Roman"/>
          <w:sz w:val="24"/>
          <w:szCs w:val="24"/>
          <w:shd w:val="clear" w:color="auto" w:fill="FFFFFF"/>
          <w:lang w:val="sr-Cyrl-RS"/>
        </w:rPr>
        <w:t xml:space="preserve">докумената </w:t>
      </w:r>
      <w:r w:rsidRPr="0081082A">
        <w:rPr>
          <w:rFonts w:ascii="Times New Roman" w:eastAsia="Calibri" w:hAnsi="Times New Roman" w:cs="Times New Roman"/>
          <w:sz w:val="24"/>
          <w:szCs w:val="24"/>
          <w:shd w:val="clear" w:color="auto" w:fill="FFFFFF"/>
          <w:lang w:val="sr-Cyrl-RS"/>
        </w:rPr>
        <w:t>који покривају ревизију финансијских извештаја и правилност пословања, као и ревизију сврсисходности пословања. Приручници за ревизију су усклађени са</w:t>
      </w:r>
      <w:r w:rsidRPr="0081082A">
        <w:rPr>
          <w:lang w:val="sr-Cyrl-RS"/>
        </w:rPr>
        <w:t xml:space="preserve"> </w:t>
      </w:r>
      <w:r w:rsidR="001962F5" w:rsidRPr="0081082A">
        <w:rPr>
          <w:rFonts w:ascii="Times New Roman" w:eastAsia="Calibri" w:hAnsi="Times New Roman" w:cs="Times New Roman"/>
          <w:sz w:val="24"/>
          <w:szCs w:val="24"/>
          <w:shd w:val="clear" w:color="auto" w:fill="FFFFFF"/>
          <w:lang w:val="sr-Cyrl-RS"/>
        </w:rPr>
        <w:t>Међународним</w:t>
      </w:r>
      <w:r w:rsidRPr="0081082A">
        <w:rPr>
          <w:rFonts w:ascii="Times New Roman" w:eastAsia="Calibri" w:hAnsi="Times New Roman" w:cs="Times New Roman"/>
          <w:sz w:val="24"/>
          <w:szCs w:val="24"/>
          <w:shd w:val="clear" w:color="auto" w:fill="FFFFFF"/>
          <w:lang w:val="sr-Cyrl-RS"/>
        </w:rPr>
        <w:t xml:space="preserve"> стандардима</w:t>
      </w:r>
      <w:r w:rsidR="001962F5" w:rsidRPr="0081082A">
        <w:rPr>
          <w:rFonts w:ascii="Times New Roman" w:eastAsia="Calibri" w:hAnsi="Times New Roman" w:cs="Times New Roman"/>
          <w:sz w:val="24"/>
          <w:szCs w:val="24"/>
          <w:shd w:val="clear" w:color="auto" w:fill="FFFFFF"/>
          <w:lang w:val="sr-Cyrl-RS"/>
        </w:rPr>
        <w:t xml:space="preserve"> врховних ревизорских институција</w:t>
      </w:r>
      <w:r w:rsidRPr="0081082A">
        <w:rPr>
          <w:rFonts w:ascii="Times New Roman" w:eastAsia="Calibri" w:hAnsi="Times New Roman" w:cs="Times New Roman"/>
          <w:sz w:val="24"/>
          <w:szCs w:val="24"/>
          <w:shd w:val="clear" w:color="auto" w:fill="FFFFFF"/>
          <w:lang w:val="sr-Cyrl-RS"/>
        </w:rPr>
        <w:t xml:space="preserve"> </w:t>
      </w:r>
      <w:r w:rsidR="001962F5" w:rsidRPr="0081082A">
        <w:rPr>
          <w:rFonts w:ascii="Times New Roman" w:eastAsia="Calibri" w:hAnsi="Times New Roman" w:cs="Times New Roman"/>
          <w:sz w:val="24"/>
          <w:szCs w:val="24"/>
          <w:shd w:val="clear" w:color="auto" w:fill="FFFFFF"/>
          <w:lang w:val="sr-Cyrl-RS"/>
        </w:rPr>
        <w:t xml:space="preserve">(у даљем тексту: </w:t>
      </w:r>
      <w:r w:rsidRPr="0081082A">
        <w:rPr>
          <w:rFonts w:ascii="Times New Roman" w:eastAsia="Calibri" w:hAnsi="Times New Roman" w:cs="Times New Roman"/>
          <w:i/>
          <w:sz w:val="24"/>
          <w:szCs w:val="24"/>
          <w:shd w:val="clear" w:color="auto" w:fill="FFFFFF"/>
          <w:lang w:val="sr-Cyrl-RS"/>
        </w:rPr>
        <w:t>ISSAI</w:t>
      </w:r>
      <w:r w:rsidRPr="0081082A">
        <w:rPr>
          <w:rFonts w:ascii="Times New Roman" w:eastAsia="Calibri" w:hAnsi="Times New Roman" w:cs="Times New Roman"/>
          <w:sz w:val="24"/>
          <w:szCs w:val="24"/>
          <w:shd w:val="clear" w:color="auto" w:fill="FFFFFF"/>
          <w:lang w:val="sr-Cyrl-RS"/>
        </w:rPr>
        <w:t xml:space="preserve"> стандарди</w:t>
      </w:r>
      <w:r w:rsidR="001962F5" w:rsidRPr="0081082A">
        <w:rPr>
          <w:rFonts w:ascii="Times New Roman" w:eastAsia="Calibri" w:hAnsi="Times New Roman" w:cs="Times New Roman"/>
          <w:sz w:val="24"/>
          <w:szCs w:val="24"/>
          <w:shd w:val="clear" w:color="auto" w:fill="FFFFFF"/>
          <w:lang w:val="sr-Cyrl-RS"/>
        </w:rPr>
        <w:t>)</w:t>
      </w:r>
      <w:r w:rsidRPr="0081082A">
        <w:rPr>
          <w:rFonts w:ascii="Times New Roman" w:eastAsia="Calibri" w:hAnsi="Times New Roman" w:cs="Times New Roman"/>
          <w:sz w:val="24"/>
          <w:szCs w:val="24"/>
          <w:shd w:val="clear" w:color="auto" w:fill="FFFFFF"/>
          <w:lang w:val="sr-Cyrl-RS"/>
        </w:rPr>
        <w:t>. Током 2018. године, израђен је и посебан Приручник за ревизију правилности пословања, чијом применом је, са фокусом на области у којима су утврђени највећи ризици, објављено 58 извештаја о ревизији</w:t>
      </w:r>
      <w:r w:rsidRPr="0081082A">
        <w:rPr>
          <w:rFonts w:ascii="Times New Roman" w:eastAsia="Calibri" w:hAnsi="Times New Roman" w:cs="Times New Roman"/>
          <w:sz w:val="24"/>
          <w:szCs w:val="24"/>
          <w:lang w:val="sr-Cyrl-RS"/>
        </w:rPr>
        <w:t xml:space="preserve">. </w:t>
      </w:r>
      <w:r w:rsidR="002B24DA" w:rsidRPr="0081082A">
        <w:rPr>
          <w:rFonts w:ascii="Times New Roman" w:eastAsia="Calibri" w:hAnsi="Times New Roman" w:cs="Times New Roman"/>
          <w:sz w:val="24"/>
          <w:szCs w:val="24"/>
          <w:lang w:val="sr-Cyrl-RS"/>
        </w:rPr>
        <w:t>У</w:t>
      </w:r>
      <w:r w:rsidRPr="0081082A">
        <w:rPr>
          <w:rFonts w:ascii="Times New Roman" w:eastAsia="Calibri" w:hAnsi="Times New Roman" w:cs="Times New Roman"/>
          <w:sz w:val="24"/>
          <w:szCs w:val="24"/>
          <w:lang w:val="sr-Cyrl-RS"/>
        </w:rPr>
        <w:t xml:space="preserve">својен је </w:t>
      </w:r>
      <w:r w:rsidR="002B24DA" w:rsidRPr="0081082A">
        <w:rPr>
          <w:rFonts w:ascii="Times New Roman" w:eastAsia="Calibri" w:hAnsi="Times New Roman" w:cs="Times New Roman"/>
          <w:sz w:val="24"/>
          <w:szCs w:val="24"/>
          <w:lang w:val="sr-Cyrl-RS"/>
        </w:rPr>
        <w:t>и</w:t>
      </w:r>
      <w:r w:rsidRPr="0081082A">
        <w:rPr>
          <w:rFonts w:ascii="Times New Roman" w:eastAsia="Calibri" w:hAnsi="Times New Roman" w:cs="Times New Roman"/>
          <w:sz w:val="24"/>
          <w:szCs w:val="24"/>
          <w:lang w:val="sr-Cyrl-RS"/>
        </w:rPr>
        <w:t xml:space="preserve"> Приручник за уверавање у квалитет и контролу квалитета</w:t>
      </w:r>
      <w:r w:rsidR="002B24DA" w:rsidRPr="0081082A">
        <w:rPr>
          <w:rStyle w:val="FootnoteReference"/>
          <w:rFonts w:ascii="Times New Roman" w:eastAsia="Calibri" w:hAnsi="Times New Roman" w:cs="Times New Roman"/>
          <w:sz w:val="24"/>
          <w:szCs w:val="24"/>
          <w:lang w:val="sr-Cyrl-RS"/>
        </w:rPr>
        <w:footnoteReference w:id="158"/>
      </w:r>
      <w:r w:rsidRPr="0081082A">
        <w:rPr>
          <w:rFonts w:ascii="Times New Roman" w:eastAsia="Calibri" w:hAnsi="Times New Roman" w:cs="Times New Roman"/>
          <w:sz w:val="24"/>
          <w:szCs w:val="24"/>
          <w:lang w:val="sr-Cyrl-RS"/>
        </w:rPr>
        <w:t>, на основу</w:t>
      </w:r>
      <w:r w:rsidR="00E21EC6" w:rsidRPr="0081082A">
        <w:rPr>
          <w:rFonts w:ascii="Times New Roman" w:eastAsia="Calibri" w:hAnsi="Times New Roman" w:cs="Times New Roman"/>
          <w:sz w:val="24"/>
          <w:szCs w:val="24"/>
          <w:lang w:val="sr-Cyrl-RS"/>
        </w:rPr>
        <w:t xml:space="preserve"> којег</w:t>
      </w:r>
      <w:r w:rsidRPr="0081082A">
        <w:rPr>
          <w:rFonts w:ascii="Times New Roman" w:eastAsia="Calibri" w:hAnsi="Times New Roman" w:cs="Times New Roman"/>
          <w:sz w:val="24"/>
          <w:szCs w:val="24"/>
          <w:lang w:val="sr-Cyrl-RS"/>
        </w:rPr>
        <w:t xml:space="preserve"> је у 2018. години, обављено шест „хладних</w:t>
      </w:r>
      <w:r w:rsidR="007E728E"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и 39 „топлих</w:t>
      </w:r>
      <w:r w:rsidR="007E728E"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прегледа извештаја о ревизији. </w:t>
      </w:r>
    </w:p>
    <w:p w:rsidR="00721398" w:rsidRPr="0081082A" w:rsidRDefault="00721398" w:rsidP="001340DA">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shd w:val="clear" w:color="auto" w:fill="FFFFFF"/>
          <w:lang w:val="sr-Cyrl-RS"/>
        </w:rPr>
        <w:lastRenderedPageBreak/>
        <w:t>Поред поменутог, унапређење ефикасности ДРИ је постигнуто и сталним развојем капацитета запослених</w:t>
      </w:r>
      <w:r w:rsidRPr="0081082A">
        <w:rPr>
          <w:rFonts w:ascii="Times New Roman" w:eastAsia="Calibri" w:hAnsi="Times New Roman" w:cs="Times New Roman"/>
          <w:sz w:val="24"/>
          <w:szCs w:val="24"/>
          <w:lang w:val="sr-Cyrl-RS"/>
        </w:rPr>
        <w:t xml:space="preserve"> кроз спровођење интерних и међународних обука, као и њиховим учешћем у различитим организацијама и радним групама </w:t>
      </w:r>
      <w:r w:rsidRPr="0081082A">
        <w:rPr>
          <w:rFonts w:ascii="Times New Roman" w:eastAsia="Calibri" w:hAnsi="Times New Roman" w:cs="Times New Roman"/>
          <w:i/>
          <w:sz w:val="24"/>
          <w:szCs w:val="24"/>
          <w:lang w:val="sr-Cyrl-RS"/>
        </w:rPr>
        <w:t>INTOSAI</w:t>
      </w:r>
      <w:r w:rsidR="00E15AF6" w:rsidRPr="0081082A">
        <w:rPr>
          <w:rStyle w:val="FootnoteReference"/>
          <w:rFonts w:ascii="Times New Roman" w:eastAsia="Calibri" w:hAnsi="Times New Roman" w:cs="Times New Roman"/>
          <w:i/>
          <w:sz w:val="24"/>
          <w:szCs w:val="24"/>
          <w:lang w:val="sr-Cyrl-RS"/>
        </w:rPr>
        <w:footnoteReference w:id="159"/>
      </w:r>
      <w:r w:rsidRPr="0081082A">
        <w:rPr>
          <w:rFonts w:ascii="Times New Roman" w:eastAsia="Calibri" w:hAnsi="Times New Roman" w:cs="Times New Roman"/>
          <w:sz w:val="24"/>
          <w:szCs w:val="24"/>
          <w:lang w:val="sr-Cyrl-RS"/>
        </w:rPr>
        <w:t xml:space="preserve"> и </w:t>
      </w:r>
      <w:r w:rsidRPr="0081082A">
        <w:rPr>
          <w:rFonts w:ascii="Times New Roman" w:eastAsia="Calibri" w:hAnsi="Times New Roman" w:cs="Times New Roman"/>
          <w:i/>
          <w:sz w:val="24"/>
          <w:szCs w:val="24"/>
          <w:lang w:val="sr-Cyrl-RS"/>
        </w:rPr>
        <w:t>EUROSAI</w:t>
      </w:r>
      <w:r w:rsidR="00E15AF6" w:rsidRPr="0081082A">
        <w:rPr>
          <w:rStyle w:val="FootnoteReference"/>
          <w:rFonts w:ascii="Times New Roman" w:eastAsia="Calibri" w:hAnsi="Times New Roman" w:cs="Times New Roman"/>
          <w:i/>
          <w:sz w:val="24"/>
          <w:szCs w:val="24"/>
          <w:lang w:val="sr-Cyrl-RS"/>
        </w:rPr>
        <w:footnoteReference w:id="160"/>
      </w:r>
      <w:r w:rsidRPr="0081082A">
        <w:rPr>
          <w:rFonts w:ascii="Times New Roman" w:eastAsia="Calibri" w:hAnsi="Times New Roman" w:cs="Times New Roman"/>
          <w:sz w:val="24"/>
          <w:szCs w:val="24"/>
          <w:lang w:val="sr-Cyrl-RS"/>
        </w:rPr>
        <w:t>. Током 2018. године</w:t>
      </w:r>
      <w:r w:rsidRPr="0081082A">
        <w:rPr>
          <w:rFonts w:ascii="Times New Roman" w:hAnsi="Times New Roman"/>
          <w:sz w:val="24"/>
          <w:lang w:val="sr-Cyrl-RS"/>
        </w:rPr>
        <w:t>,</w:t>
      </w:r>
      <w:r w:rsidRPr="0081082A">
        <w:rPr>
          <w:rFonts w:ascii="Times New Roman" w:eastAsia="Calibri" w:hAnsi="Times New Roman" w:cs="Times New Roman"/>
          <w:sz w:val="24"/>
          <w:szCs w:val="24"/>
          <w:lang w:val="sr-Cyrl-RS"/>
        </w:rPr>
        <w:t xml:space="preserve"> ДРИ је спровела обуке о ревизији сврсисходности</w:t>
      </w:r>
      <w:r w:rsidRPr="0081082A">
        <w:rPr>
          <w:rFonts w:ascii="Times New Roman" w:hAnsi="Times New Roman"/>
          <w:sz w:val="24"/>
          <w:lang w:val="sr-Cyrl-RS"/>
        </w:rPr>
        <w:t>,</w:t>
      </w:r>
      <w:r w:rsidRPr="0081082A">
        <w:rPr>
          <w:rFonts w:ascii="Times New Roman" w:eastAsia="Calibri" w:hAnsi="Times New Roman" w:cs="Times New Roman"/>
          <w:sz w:val="24"/>
          <w:szCs w:val="24"/>
          <w:lang w:val="sr-Cyrl-RS"/>
        </w:rPr>
        <w:t xml:space="preserve"> које су резултирале повећањем </w:t>
      </w:r>
      <w:r w:rsidRPr="0081082A">
        <w:rPr>
          <w:rFonts w:ascii="Times New Roman" w:hAnsi="Times New Roman"/>
          <w:sz w:val="24"/>
          <w:shd w:val="clear" w:color="auto" w:fill="FFFFFF"/>
          <w:lang w:val="sr-Cyrl-RS"/>
        </w:rPr>
        <w:t>броја</w:t>
      </w:r>
      <w:r w:rsidRPr="0081082A">
        <w:rPr>
          <w:rFonts w:ascii="Times New Roman" w:eastAsia="Calibri" w:hAnsi="Times New Roman" w:cs="Times New Roman"/>
          <w:sz w:val="24"/>
          <w:szCs w:val="24"/>
          <w:lang w:val="sr-Cyrl-RS"/>
        </w:rPr>
        <w:t xml:space="preserve"> ревизора сврсисходности са девет на 48, као и организовање обуке за стицање звања „државни ревизор</w:t>
      </w:r>
      <w:r w:rsidR="007E728E"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w:t>
      </w:r>
    </w:p>
    <w:p w:rsidR="00003FA8" w:rsidRPr="0081082A" w:rsidRDefault="00721398" w:rsidP="001340DA">
      <w:pPr>
        <w:spacing w:after="0" w:line="240" w:lineRule="auto"/>
        <w:ind w:firstLine="708"/>
        <w:jc w:val="both"/>
        <w:rPr>
          <w:rFonts w:ascii="Times New Roman" w:eastAsia="Times New Roman" w:hAnsi="Times New Roman" w:cs="Times New Roman"/>
          <w:sz w:val="24"/>
          <w:szCs w:val="24"/>
          <w:lang w:val="sr-Cyrl-RS" w:eastAsia="en-GB"/>
        </w:rPr>
      </w:pPr>
      <w:r w:rsidRPr="0081082A">
        <w:rPr>
          <w:rFonts w:ascii="Times New Roman" w:eastAsia="Calibri" w:hAnsi="Times New Roman" w:cs="Times New Roman"/>
          <w:sz w:val="24"/>
          <w:szCs w:val="24"/>
          <w:lang w:val="sr-Cyrl-RS"/>
        </w:rPr>
        <w:t xml:space="preserve">Узимајући у обзир да </w:t>
      </w:r>
      <w:r w:rsidRPr="0081082A">
        <w:rPr>
          <w:rFonts w:ascii="Times New Roman" w:hAnsi="Times New Roman"/>
          <w:sz w:val="24"/>
          <w:shd w:val="clear" w:color="auto" w:fill="FFFFFF"/>
          <w:lang w:val="sr-Cyrl-RS"/>
        </w:rPr>
        <w:t>извештаји</w:t>
      </w:r>
      <w:r w:rsidRPr="0081082A">
        <w:rPr>
          <w:rFonts w:ascii="Times New Roman" w:eastAsia="Calibri" w:hAnsi="Times New Roman" w:cs="Times New Roman"/>
          <w:sz w:val="24"/>
          <w:szCs w:val="24"/>
          <w:lang w:val="sr-Cyrl-RS"/>
        </w:rPr>
        <w:t xml:space="preserve"> о ревизији нису циљ сами по себи, већ </w:t>
      </w:r>
      <w:r w:rsidR="00FE4054" w:rsidRPr="0081082A">
        <w:rPr>
          <w:rFonts w:ascii="Times New Roman" w:eastAsia="Calibri" w:hAnsi="Times New Roman" w:cs="Times New Roman"/>
          <w:sz w:val="24"/>
          <w:szCs w:val="24"/>
          <w:lang w:val="sr-Cyrl-RS"/>
        </w:rPr>
        <w:t xml:space="preserve">да </w:t>
      </w:r>
      <w:r w:rsidRPr="0081082A">
        <w:rPr>
          <w:rFonts w:ascii="Times New Roman" w:eastAsia="Calibri" w:hAnsi="Times New Roman" w:cs="Times New Roman"/>
          <w:sz w:val="24"/>
          <w:szCs w:val="24"/>
          <w:lang w:val="sr-Cyrl-RS"/>
        </w:rPr>
        <w:t>треба да допринесу добром управљању, транспарентности и одговорности у јавном сектору, било је неопходно предузети додатне активности за повећање реализације препорука датих субјектима ревизије</w:t>
      </w:r>
      <w:r w:rsidR="00FE4054"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на чему се континуирано радило уз подршку Народне скупштине. Проценат препорука ДРИ по којима су </w:t>
      </w:r>
      <w:r w:rsidR="00E21EC6" w:rsidRPr="0081082A">
        <w:rPr>
          <w:rFonts w:ascii="Times New Roman" w:eastAsia="Calibri" w:hAnsi="Times New Roman" w:cs="Times New Roman"/>
          <w:sz w:val="24"/>
          <w:szCs w:val="24"/>
          <w:lang w:val="sr-Cyrl-RS"/>
        </w:rPr>
        <w:t>субјекти</w:t>
      </w:r>
      <w:r w:rsidRPr="0081082A">
        <w:rPr>
          <w:rFonts w:ascii="Times New Roman" w:eastAsia="Calibri" w:hAnsi="Times New Roman" w:cs="Times New Roman"/>
          <w:sz w:val="24"/>
          <w:szCs w:val="24"/>
          <w:lang w:val="sr-Cyrl-RS"/>
        </w:rPr>
        <w:t xml:space="preserve"> ревизије поступили је у 2015. години износио 69.6</w:t>
      </w:r>
      <w:r w:rsidR="004A44A6" w:rsidRPr="0081082A">
        <w:rPr>
          <w:rFonts w:ascii="Times New Roman" w:eastAsia="Calibri" w:hAnsi="Times New Roman" w:cs="Times New Roman"/>
          <w:sz w:val="24"/>
          <w:szCs w:val="24"/>
          <w:lang w:val="sr-Cyrl-RS"/>
        </w:rPr>
        <w:t>6%, док је у 2019. години износ</w:t>
      </w:r>
      <w:r w:rsidRPr="0081082A">
        <w:rPr>
          <w:rFonts w:ascii="Times New Roman" w:eastAsia="Calibri" w:hAnsi="Times New Roman" w:cs="Times New Roman"/>
          <w:sz w:val="24"/>
          <w:szCs w:val="24"/>
          <w:lang w:val="sr-Cyrl-RS"/>
        </w:rPr>
        <w:t xml:space="preserve">ио 78%. </w:t>
      </w:r>
      <w:r w:rsidR="00003FA8" w:rsidRPr="0081082A">
        <w:rPr>
          <w:rFonts w:ascii="Times New Roman" w:eastAsia="Times New Roman" w:hAnsi="Times New Roman" w:cs="Times New Roman"/>
          <w:sz w:val="24"/>
          <w:szCs w:val="24"/>
          <w:lang w:val="sr-Cyrl-RS" w:eastAsia="en-GB"/>
        </w:rPr>
        <w:t xml:space="preserve"> Од укупно 1.970 препорука датих субјектима на основу ревизија спроведених 2019. године, 971 препорука је „првог приоритета </w:t>
      </w:r>
      <w:r w:rsidR="007E728E" w:rsidRPr="0081082A">
        <w:rPr>
          <w:rFonts w:ascii="Times New Roman" w:eastAsia="Times New Roman" w:hAnsi="Times New Roman" w:cs="Times New Roman"/>
          <w:sz w:val="24"/>
          <w:szCs w:val="24"/>
          <w:lang w:val="sr-Cyrl-RS" w:eastAsia="en-GB"/>
        </w:rPr>
        <w:t>“</w:t>
      </w:r>
      <w:r w:rsidR="00003FA8" w:rsidRPr="0081082A">
        <w:rPr>
          <w:rFonts w:ascii="Times New Roman" w:eastAsia="Times New Roman" w:hAnsi="Times New Roman" w:cs="Times New Roman"/>
          <w:sz w:val="24"/>
          <w:szCs w:val="24"/>
          <w:lang w:val="sr-Cyrl-RS" w:eastAsia="en-GB"/>
        </w:rPr>
        <w:t xml:space="preserve">, које се морају спровести у року од 90 дана, 834 „другог приоритета </w:t>
      </w:r>
      <w:r w:rsidR="007E728E" w:rsidRPr="0081082A">
        <w:rPr>
          <w:rFonts w:ascii="Times New Roman" w:eastAsia="Times New Roman" w:hAnsi="Times New Roman" w:cs="Times New Roman"/>
          <w:sz w:val="24"/>
          <w:szCs w:val="24"/>
          <w:lang w:val="sr-Cyrl-RS" w:eastAsia="en-GB"/>
        </w:rPr>
        <w:t>“</w:t>
      </w:r>
      <w:r w:rsidR="00003FA8" w:rsidRPr="0081082A">
        <w:rPr>
          <w:rFonts w:ascii="Times New Roman" w:eastAsia="Times New Roman" w:hAnsi="Times New Roman" w:cs="Times New Roman"/>
          <w:sz w:val="24"/>
          <w:szCs w:val="24"/>
          <w:lang w:val="sr-Cyrl-RS" w:eastAsia="en-GB"/>
        </w:rPr>
        <w:t xml:space="preserve">, које се морају спровести у року до годину дана и 165 препорука „трећег </w:t>
      </w:r>
      <w:r w:rsidR="00DD66B7" w:rsidRPr="0081082A">
        <w:rPr>
          <w:rFonts w:ascii="Times New Roman" w:eastAsia="Times New Roman" w:hAnsi="Times New Roman" w:cs="Times New Roman"/>
          <w:sz w:val="24"/>
          <w:szCs w:val="24"/>
          <w:lang w:val="sr-Cyrl-RS" w:eastAsia="en-GB"/>
        </w:rPr>
        <w:t>приоритета</w:t>
      </w:r>
      <w:r w:rsidR="007E728E" w:rsidRPr="0081082A">
        <w:rPr>
          <w:rFonts w:ascii="Times New Roman" w:eastAsia="Times New Roman" w:hAnsi="Times New Roman" w:cs="Times New Roman"/>
          <w:sz w:val="24"/>
          <w:szCs w:val="24"/>
          <w:lang w:val="sr-Cyrl-RS" w:eastAsia="en-GB"/>
        </w:rPr>
        <w:t>”</w:t>
      </w:r>
      <w:r w:rsidR="00DD66B7" w:rsidRPr="0081082A">
        <w:rPr>
          <w:rFonts w:ascii="Times New Roman" w:eastAsia="Times New Roman" w:hAnsi="Times New Roman" w:cs="Times New Roman"/>
          <w:sz w:val="24"/>
          <w:szCs w:val="24"/>
          <w:lang w:val="sr-Cyrl-RS" w:eastAsia="en-GB"/>
        </w:rPr>
        <w:t xml:space="preserve"> за</w:t>
      </w:r>
      <w:r w:rsidR="00003FA8" w:rsidRPr="0081082A">
        <w:rPr>
          <w:rFonts w:ascii="Times New Roman" w:eastAsia="Times New Roman" w:hAnsi="Times New Roman" w:cs="Times New Roman"/>
          <w:sz w:val="24"/>
          <w:szCs w:val="24"/>
          <w:lang w:val="sr-Cyrl-RS" w:eastAsia="en-GB"/>
        </w:rPr>
        <w:t xml:space="preserve"> чије је спровођење потребно до три године. Проценат извршења препорука првог приоритета износи </w:t>
      </w:r>
      <w:r w:rsidR="00003FA8" w:rsidRPr="0081082A">
        <w:rPr>
          <w:rFonts w:ascii="Times New Roman" w:eastAsia="Times New Roman" w:hAnsi="Times New Roman" w:cs="Times New Roman"/>
          <w:b/>
          <w:sz w:val="24"/>
          <w:szCs w:val="24"/>
          <w:lang w:val="sr-Cyrl-RS" w:eastAsia="en-GB"/>
        </w:rPr>
        <w:t>87,53%.</w:t>
      </w:r>
      <w:r w:rsidR="00003FA8" w:rsidRPr="0081082A">
        <w:rPr>
          <w:rFonts w:ascii="Times New Roman" w:eastAsia="Times New Roman" w:hAnsi="Times New Roman" w:cs="Times New Roman"/>
          <w:sz w:val="24"/>
          <w:szCs w:val="24"/>
          <w:lang w:val="sr-Cyrl-RS" w:eastAsia="en-GB"/>
        </w:rPr>
        <w:t xml:space="preserve"> </w:t>
      </w:r>
    </w:p>
    <w:p w:rsidR="00721398" w:rsidRPr="0081082A" w:rsidRDefault="00721398" w:rsidP="001340DA">
      <w:pPr>
        <w:spacing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У циљу јачања партнерских односа са кључним заинтересованим странама, пре свега са Народном скупштином, </w:t>
      </w:r>
      <w:r w:rsidRPr="0081082A">
        <w:rPr>
          <w:rFonts w:ascii="Times New Roman" w:eastAsia="Calibri" w:hAnsi="Times New Roman" w:cs="Times New Roman"/>
          <w:sz w:val="24"/>
          <w:szCs w:val="24"/>
          <w:shd w:val="clear" w:color="auto" w:fill="FFFFFF"/>
          <w:lang w:val="sr-Cyrl-RS"/>
        </w:rPr>
        <w:t>ДРИ је паралелно радила на побољшању системског праћења спровођења препорука ревизије и на дигитализацији процеса ревизије</w:t>
      </w:r>
      <w:r w:rsidRPr="0081082A">
        <w:rPr>
          <w:rFonts w:ascii="Times New Roman" w:eastAsia="Calibri" w:hAnsi="Times New Roman" w:cs="Times New Roman"/>
          <w:sz w:val="24"/>
          <w:szCs w:val="24"/>
          <w:lang w:val="sr-Cyrl-RS"/>
        </w:rPr>
        <w:t>. У склопу развоја прилагођеног софтвера за управљање ревизијама (</w:t>
      </w:r>
      <w:r w:rsidR="002B0623" w:rsidRPr="0081082A">
        <w:rPr>
          <w:rFonts w:ascii="Times New Roman" w:eastAsia="Calibri" w:hAnsi="Times New Roman" w:cs="Times New Roman"/>
          <w:sz w:val="24"/>
          <w:szCs w:val="24"/>
          <w:lang w:val="sr-Cyrl-RS"/>
        </w:rPr>
        <w:t xml:space="preserve">у даљем тексту: </w:t>
      </w:r>
      <w:r w:rsidRPr="0081082A">
        <w:rPr>
          <w:rFonts w:ascii="Times New Roman" w:eastAsia="Calibri" w:hAnsi="Times New Roman" w:cs="Times New Roman"/>
          <w:i/>
          <w:sz w:val="24"/>
          <w:szCs w:val="24"/>
          <w:lang w:val="sr-Cyrl-RS"/>
        </w:rPr>
        <w:t>Audit Managment System</w:t>
      </w:r>
      <w:r w:rsidR="00E16E76">
        <w:rPr>
          <w:rFonts w:ascii="Times New Roman" w:eastAsia="Calibri" w:hAnsi="Times New Roman" w:cs="Times New Roman"/>
          <w:i/>
          <w:sz w:val="24"/>
          <w:szCs w:val="24"/>
          <w:lang w:val="sr-Cyrl-RS"/>
        </w:rPr>
        <w:t xml:space="preserve"> –</w:t>
      </w:r>
      <w:r w:rsidRPr="0081082A">
        <w:rPr>
          <w:rFonts w:ascii="Times New Roman" w:eastAsia="Calibri" w:hAnsi="Times New Roman" w:cs="Times New Roman"/>
          <w:i/>
          <w:sz w:val="24"/>
          <w:szCs w:val="24"/>
          <w:lang w:val="sr-Cyrl-RS"/>
        </w:rPr>
        <w:t xml:space="preserve"> AMS</w:t>
      </w:r>
      <w:r w:rsidRPr="0081082A">
        <w:rPr>
          <w:rFonts w:ascii="Times New Roman" w:eastAsia="Calibri" w:hAnsi="Times New Roman" w:cs="Times New Roman"/>
          <w:sz w:val="24"/>
          <w:szCs w:val="24"/>
          <w:lang w:val="sr-Cyrl-RS"/>
        </w:rPr>
        <w:t xml:space="preserve">), завршено је мапирање процеса ревизије и утврђивање захтева. </w:t>
      </w:r>
    </w:p>
    <w:p w:rsidR="00721398" w:rsidRPr="0081082A" w:rsidRDefault="00721398" w:rsidP="001340DA">
      <w:pPr>
        <w:spacing w:after="0" w:line="240" w:lineRule="auto"/>
        <w:ind w:firstLine="708"/>
        <w:jc w:val="both"/>
        <w:rPr>
          <w:rFonts w:ascii="Times New Roman" w:hAnsi="Times New Roman"/>
          <w:sz w:val="24"/>
          <w:lang w:val="sr-Cyrl-RS"/>
        </w:rPr>
      </w:pPr>
      <w:r w:rsidRPr="0081082A">
        <w:rPr>
          <w:rFonts w:ascii="Times New Roman" w:eastAsia="Calibri" w:hAnsi="Times New Roman" w:cs="Times New Roman"/>
          <w:sz w:val="24"/>
          <w:szCs w:val="24"/>
          <w:lang w:val="sr-Cyrl-RS"/>
        </w:rPr>
        <w:t>Истовремено, ДРИ је, у току рада на повећању транспарентности, на свом сајту објавила образац за Одазивни извештај субјеката ревизије</w:t>
      </w:r>
      <w:r w:rsidRPr="0081082A">
        <w:rPr>
          <w:rFonts w:ascii="Times New Roman" w:eastAsia="Calibri" w:hAnsi="Times New Roman" w:cs="Times New Roman"/>
          <w:sz w:val="24"/>
          <w:szCs w:val="24"/>
          <w:vertAlign w:val="superscript"/>
          <w:lang w:val="sr-Cyrl-RS"/>
        </w:rPr>
        <w:footnoteReference w:id="161"/>
      </w:r>
      <w:r w:rsidRPr="0081082A">
        <w:rPr>
          <w:rFonts w:ascii="Times New Roman" w:eastAsia="Calibri" w:hAnsi="Times New Roman" w:cs="Times New Roman"/>
          <w:sz w:val="24"/>
          <w:szCs w:val="24"/>
          <w:lang w:val="sr-Cyrl-RS"/>
        </w:rPr>
        <w:t xml:space="preserve">, који садржи утврђене неправилности и предузете мере исправљања од стране субјеката ревизије, односно поступање по препорукама које је дала </w:t>
      </w:r>
      <w:r w:rsidRPr="0081082A">
        <w:rPr>
          <w:rFonts w:ascii="Times New Roman" w:hAnsi="Times New Roman"/>
          <w:sz w:val="24"/>
          <w:shd w:val="clear" w:color="auto" w:fill="FFFFFF"/>
          <w:lang w:val="sr-Cyrl-RS"/>
        </w:rPr>
        <w:t>ДРИ</w:t>
      </w:r>
      <w:r w:rsidRPr="0081082A">
        <w:rPr>
          <w:rFonts w:ascii="Times New Roman" w:eastAsia="Calibri" w:hAnsi="Times New Roman" w:cs="Times New Roman"/>
          <w:sz w:val="24"/>
          <w:szCs w:val="24"/>
          <w:lang w:val="sr-Cyrl-RS"/>
        </w:rPr>
        <w:t>. У току 2019. године, ДРИ је започела објављивање послеревизионих извештаја</w:t>
      </w:r>
      <w:r w:rsidR="00152E82" w:rsidRPr="0081082A">
        <w:rPr>
          <w:rStyle w:val="FootnoteReference"/>
          <w:rFonts w:ascii="Times New Roman" w:eastAsia="Calibri" w:hAnsi="Times New Roman" w:cs="Times New Roman"/>
          <w:sz w:val="24"/>
          <w:szCs w:val="24"/>
          <w:lang w:val="sr-Cyrl-RS"/>
        </w:rPr>
        <w:footnoteReference w:id="162"/>
      </w:r>
      <w:r w:rsidRPr="0081082A">
        <w:rPr>
          <w:rFonts w:ascii="Times New Roman" w:eastAsia="Calibri" w:hAnsi="Times New Roman" w:cs="Times New Roman"/>
          <w:sz w:val="24"/>
          <w:szCs w:val="24"/>
          <w:lang w:val="sr-Cyrl-RS"/>
        </w:rPr>
        <w:t xml:space="preserve"> који садрже оцену сваке појединачне</w:t>
      </w:r>
      <w:r w:rsidRPr="0081082A">
        <w:rPr>
          <w:rFonts w:ascii="Times New Roman" w:hAnsi="Times New Roman"/>
          <w:sz w:val="24"/>
          <w:lang w:val="sr-Cyrl-RS"/>
        </w:rPr>
        <w:t xml:space="preserve"> </w:t>
      </w:r>
      <w:r w:rsidRPr="0081082A">
        <w:rPr>
          <w:rFonts w:ascii="Times New Roman" w:eastAsia="Calibri" w:hAnsi="Times New Roman" w:cs="Times New Roman"/>
          <w:sz w:val="24"/>
          <w:szCs w:val="24"/>
          <w:lang w:val="sr-Cyrl-RS"/>
        </w:rPr>
        <w:t>мере исправљања, мишљење да ли су мере исправљања задовољавајуће и мишљење да ли субјект ревизије крши обавезу доброг пословања у случају да су мере исправљања незадовољавајуће. Започето је и са новим начином објављивања извештаја о ревизији, где поред сваког извештаја, ДРИ објављује, на интернет страници, и резиме извештаја, ради трансп</w:t>
      </w:r>
      <w:r w:rsidR="00D03967" w:rsidRPr="0081082A">
        <w:rPr>
          <w:rFonts w:ascii="Times New Roman" w:eastAsia="Calibri" w:hAnsi="Times New Roman" w:cs="Times New Roman"/>
          <w:sz w:val="24"/>
          <w:szCs w:val="24"/>
          <w:lang w:val="sr-Cyrl-RS"/>
        </w:rPr>
        <w:t>ар</w:t>
      </w:r>
      <w:r w:rsidRPr="0081082A">
        <w:rPr>
          <w:rFonts w:ascii="Times New Roman" w:eastAsia="Calibri" w:hAnsi="Times New Roman" w:cs="Times New Roman"/>
          <w:sz w:val="24"/>
          <w:szCs w:val="24"/>
          <w:lang w:val="sr-Cyrl-RS"/>
        </w:rPr>
        <w:t>ентнијег, jeднoстaвнијег и рaзумљивијег нaчина презентовања ревизорских препорука јавности.</w:t>
      </w:r>
      <w:r w:rsidRPr="0081082A">
        <w:rPr>
          <w:rStyle w:val="FootnoteReference"/>
          <w:rFonts w:ascii="Times New Roman" w:eastAsia="Calibri" w:hAnsi="Times New Roman" w:cs="Times New Roman"/>
          <w:sz w:val="24"/>
          <w:szCs w:val="24"/>
          <w:lang w:val="sr-Cyrl-RS"/>
        </w:rPr>
        <w:footnoteReference w:id="163"/>
      </w:r>
    </w:p>
    <w:p w:rsidR="00721398" w:rsidRPr="0081082A" w:rsidRDefault="00721398" w:rsidP="001340DA">
      <w:pPr>
        <w:spacing w:after="0" w:line="240" w:lineRule="auto"/>
        <w:ind w:firstLine="708"/>
        <w:jc w:val="both"/>
        <w:rPr>
          <w:rFonts w:ascii="Times New Roman" w:hAnsi="Times New Roman"/>
          <w:sz w:val="24"/>
          <w:lang w:val="sr-Cyrl-RS"/>
        </w:rPr>
      </w:pPr>
      <w:r w:rsidRPr="0081082A">
        <w:rPr>
          <w:rFonts w:ascii="Times New Roman" w:eastAsia="Calibri" w:hAnsi="Times New Roman" w:cs="Times New Roman"/>
          <w:sz w:val="24"/>
          <w:szCs w:val="24"/>
          <w:lang w:val="sr-Cyrl-RS"/>
        </w:rPr>
        <w:t>Парламентарни надзор над јавним финансијама</w:t>
      </w:r>
      <w:r w:rsidR="00113C29"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као важан елемент целокуп</w:t>
      </w:r>
      <w:r w:rsidR="00D03967" w:rsidRPr="0081082A">
        <w:rPr>
          <w:rFonts w:ascii="Times New Roman" w:eastAsia="Calibri" w:hAnsi="Times New Roman" w:cs="Times New Roman"/>
          <w:sz w:val="24"/>
          <w:szCs w:val="24"/>
          <w:lang w:val="sr-Cyrl-RS"/>
        </w:rPr>
        <w:t>н</w:t>
      </w:r>
      <w:r w:rsidRPr="0081082A">
        <w:rPr>
          <w:rFonts w:ascii="Times New Roman" w:eastAsia="Calibri" w:hAnsi="Times New Roman" w:cs="Times New Roman"/>
          <w:sz w:val="24"/>
          <w:szCs w:val="24"/>
          <w:lang w:val="sr-Cyrl-RS"/>
        </w:rPr>
        <w:t>ог екстерног надзора</w:t>
      </w:r>
      <w:r w:rsidR="00113C29"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од почетка ПРУЈФ 2016-2020 значајно </w:t>
      </w:r>
      <w:r w:rsidR="00113C29" w:rsidRPr="0081082A">
        <w:rPr>
          <w:rFonts w:ascii="Times New Roman" w:eastAsia="Calibri" w:hAnsi="Times New Roman" w:cs="Times New Roman"/>
          <w:sz w:val="24"/>
          <w:szCs w:val="24"/>
          <w:lang w:val="sr-Cyrl-RS"/>
        </w:rPr>
        <w:t xml:space="preserve">је </w:t>
      </w:r>
      <w:r w:rsidRPr="0081082A">
        <w:rPr>
          <w:rFonts w:ascii="Times New Roman" w:eastAsia="Calibri" w:hAnsi="Times New Roman" w:cs="Times New Roman"/>
          <w:sz w:val="24"/>
          <w:szCs w:val="24"/>
          <w:lang w:val="sr-Cyrl-RS"/>
        </w:rPr>
        <w:t xml:space="preserve">побољшан, што је потврђено кроз Извештаје </w:t>
      </w:r>
      <w:r w:rsidR="007F054D" w:rsidRPr="0081082A">
        <w:rPr>
          <w:rFonts w:ascii="Times New Roman" w:eastAsia="Calibri" w:hAnsi="Times New Roman" w:cs="Times New Roman"/>
          <w:sz w:val="24"/>
          <w:szCs w:val="24"/>
          <w:lang w:val="sr-Cyrl-RS"/>
        </w:rPr>
        <w:t>ЕК</w:t>
      </w:r>
      <w:r w:rsidRPr="0081082A">
        <w:rPr>
          <w:rFonts w:ascii="Times New Roman" w:eastAsia="Calibri" w:hAnsi="Times New Roman" w:cs="Times New Roman"/>
          <w:sz w:val="24"/>
          <w:szCs w:val="24"/>
          <w:lang w:val="sr-Cyrl-RS"/>
        </w:rPr>
        <w:t xml:space="preserve"> о напретку за </w:t>
      </w:r>
      <w:r w:rsidR="00F641AE" w:rsidRPr="0081082A">
        <w:rPr>
          <w:rFonts w:ascii="Times New Roman" w:hAnsi="Times New Roman" w:cs="Times New Roman"/>
          <w:sz w:val="24"/>
          <w:szCs w:val="24"/>
          <w:lang w:val="sr-Cyrl-RS"/>
        </w:rPr>
        <w:t>Републику Србију</w:t>
      </w:r>
      <w:r w:rsidRPr="0081082A">
        <w:rPr>
          <w:rFonts w:ascii="Times New Roman" w:eastAsia="Calibri" w:hAnsi="Times New Roman" w:cs="Times New Roman"/>
          <w:sz w:val="24"/>
          <w:szCs w:val="24"/>
          <w:lang w:val="sr-Cyrl-RS"/>
        </w:rPr>
        <w:t xml:space="preserve">. Главно тело за одржавање ефикасног </w:t>
      </w:r>
      <w:r w:rsidRPr="0081082A">
        <w:rPr>
          <w:rFonts w:ascii="Times New Roman" w:hAnsi="Times New Roman"/>
          <w:sz w:val="24"/>
          <w:shd w:val="clear" w:color="auto" w:fill="FFFFFF"/>
          <w:lang w:val="sr-Cyrl-RS"/>
        </w:rPr>
        <w:t>скупштинског</w:t>
      </w:r>
      <w:r w:rsidRPr="0081082A">
        <w:rPr>
          <w:rFonts w:ascii="Times New Roman" w:eastAsia="Calibri" w:hAnsi="Times New Roman" w:cs="Times New Roman"/>
          <w:sz w:val="24"/>
          <w:szCs w:val="24"/>
          <w:lang w:val="sr-Cyrl-RS"/>
        </w:rPr>
        <w:t xml:space="preserve"> надзора над јавним финансијама је Одбор за </w:t>
      </w:r>
      <w:r w:rsidRPr="0081082A">
        <w:rPr>
          <w:rFonts w:ascii="Times New Roman" w:eastAsia="Calibri" w:hAnsi="Times New Roman" w:cs="Times New Roman"/>
          <w:sz w:val="24"/>
          <w:szCs w:val="24"/>
          <w:lang w:val="sr-Cyrl-RS"/>
        </w:rPr>
        <w:lastRenderedPageBreak/>
        <w:t xml:space="preserve">финансије, републички буџет и контролу трошења јавних средстава (у даљем тексту: Одбор), чија је улога додатно ојачана успостављањем Пододбора за разматрање извештаја о обављеним ревизијама ДРИ (у даљем тексту: Пододбор) у фебруару 2015. године. </w:t>
      </w:r>
    </w:p>
    <w:p w:rsidR="00721398" w:rsidRPr="0081082A" w:rsidRDefault="00721398" w:rsidP="003509C7">
      <w:pPr>
        <w:pStyle w:val="CommentText"/>
        <w:ind w:firstLine="708"/>
        <w:jc w:val="both"/>
        <w:rPr>
          <w:rFonts w:ascii="Times New Roman" w:hAnsi="Times New Roman" w:cs="Times New Roman"/>
          <w:sz w:val="24"/>
          <w:szCs w:val="24"/>
          <w:shd w:val="clear" w:color="auto" w:fill="FFFFFF"/>
          <w:lang w:val="sr-Cyrl-RS"/>
        </w:rPr>
      </w:pPr>
      <w:r w:rsidRPr="0081082A">
        <w:rPr>
          <w:rFonts w:ascii="Times New Roman" w:eastAsia="Calibri" w:hAnsi="Times New Roman" w:cs="Times New Roman"/>
          <w:sz w:val="24"/>
          <w:szCs w:val="24"/>
          <w:lang w:val="sr-Cyrl-RS"/>
        </w:rPr>
        <w:t>Кључне активности које је Одбор спровео у периоду трајања ПРУЈФ 2016-2020 јес</w:t>
      </w:r>
      <w:r w:rsidR="005D33E8" w:rsidRPr="0081082A">
        <w:rPr>
          <w:rFonts w:ascii="Times New Roman" w:eastAsia="Calibri" w:hAnsi="Times New Roman" w:cs="Times New Roman"/>
          <w:sz w:val="24"/>
          <w:szCs w:val="24"/>
          <w:lang w:val="sr-Cyrl-RS"/>
        </w:rPr>
        <w:t>у</w:t>
      </w:r>
      <w:r w:rsidRPr="0081082A">
        <w:rPr>
          <w:rFonts w:ascii="Times New Roman" w:eastAsia="Calibri" w:hAnsi="Times New Roman" w:cs="Times New Roman"/>
          <w:sz w:val="24"/>
          <w:szCs w:val="24"/>
          <w:lang w:val="sr-Cyrl-RS"/>
        </w:rPr>
        <w:t xml:space="preserve"> одржавање седница</w:t>
      </w:r>
      <w:r w:rsidR="000C2C78" w:rsidRPr="0081082A">
        <w:rPr>
          <w:rFonts w:ascii="Times New Roman" w:eastAsia="Calibri" w:hAnsi="Times New Roman" w:cs="Times New Roman"/>
          <w:sz w:val="24"/>
          <w:szCs w:val="24"/>
          <w:lang w:val="sr-Cyrl-RS"/>
        </w:rPr>
        <w:t xml:space="preserve"> ван седишта Народне скупштине</w:t>
      </w:r>
      <w:r w:rsidRPr="0081082A">
        <w:rPr>
          <w:rFonts w:ascii="Times New Roman" w:eastAsia="Calibri" w:hAnsi="Times New Roman" w:cs="Times New Roman"/>
          <w:sz w:val="24"/>
          <w:szCs w:val="24"/>
          <w:lang w:val="sr-Cyrl-RS"/>
        </w:rPr>
        <w:t xml:space="preserve"> (тзв. </w:t>
      </w:r>
      <w:r w:rsidR="004452F6" w:rsidRPr="0081082A">
        <w:rPr>
          <w:rFonts w:ascii="Times New Roman" w:eastAsia="Calibri" w:hAnsi="Times New Roman" w:cs="Times New Roman"/>
          <w:sz w:val="24"/>
          <w:szCs w:val="24"/>
          <w:lang w:val="sr-Cyrl-RS"/>
        </w:rPr>
        <w:t>с</w:t>
      </w:r>
      <w:r w:rsidRPr="0081082A">
        <w:rPr>
          <w:rFonts w:ascii="Times New Roman" w:eastAsia="Calibri" w:hAnsi="Times New Roman" w:cs="Times New Roman"/>
          <w:sz w:val="24"/>
          <w:szCs w:val="24"/>
          <w:lang w:val="sr-Cyrl-RS"/>
        </w:rPr>
        <w:t>лушања) за разматрање извештаја ДРИ</w:t>
      </w:r>
      <w:r w:rsidR="004452F6" w:rsidRPr="0081082A">
        <w:rPr>
          <w:rFonts w:ascii="Times New Roman" w:eastAsia="Calibri" w:hAnsi="Times New Roman" w:cs="Times New Roman"/>
          <w:sz w:val="24"/>
          <w:szCs w:val="24"/>
          <w:lang w:val="sr-Cyrl-RS"/>
        </w:rPr>
        <w:t>, а</w:t>
      </w:r>
      <w:r w:rsidRPr="0081082A">
        <w:rPr>
          <w:rFonts w:ascii="Times New Roman" w:eastAsia="Calibri" w:hAnsi="Times New Roman" w:cs="Times New Roman"/>
          <w:sz w:val="24"/>
          <w:szCs w:val="24"/>
          <w:lang w:val="sr-Cyrl-RS"/>
        </w:rPr>
        <w:t xml:space="preserve"> за чије одржавање је био предуслов усвајање писаних правила (Смерница за рад). </w:t>
      </w:r>
      <w:r w:rsidR="000C2C78" w:rsidRPr="0081082A">
        <w:rPr>
          <w:rFonts w:ascii="Times New Roman" w:eastAsia="Calibri" w:hAnsi="Times New Roman" w:cs="Times New Roman"/>
          <w:sz w:val="24"/>
          <w:szCs w:val="24"/>
          <w:lang w:val="sr-Cyrl-RS"/>
        </w:rPr>
        <w:t xml:space="preserve">Седнице ван седишта </w:t>
      </w:r>
      <w:r w:rsidRPr="0081082A">
        <w:rPr>
          <w:rFonts w:ascii="Times New Roman" w:eastAsia="Calibri" w:hAnsi="Times New Roman" w:cs="Times New Roman"/>
          <w:sz w:val="24"/>
          <w:szCs w:val="24"/>
          <w:lang w:val="sr-Cyrl-RS"/>
        </w:rPr>
        <w:t xml:space="preserve">се одржавају у виду расправа о </w:t>
      </w:r>
      <w:r w:rsidRPr="0081082A">
        <w:rPr>
          <w:rFonts w:ascii="Times New Roman" w:hAnsi="Times New Roman" w:cs="Times New Roman"/>
          <w:sz w:val="24"/>
          <w:szCs w:val="24"/>
          <w:shd w:val="clear" w:color="auto" w:fill="FFFFFF"/>
          <w:lang w:val="sr-Cyrl-RS"/>
        </w:rPr>
        <w:t>извештајима у којима</w:t>
      </w:r>
      <w:r w:rsidR="004452F6" w:rsidRPr="0081082A">
        <w:rPr>
          <w:rFonts w:ascii="Times New Roman" w:hAnsi="Times New Roman" w:cs="Times New Roman"/>
          <w:sz w:val="24"/>
          <w:szCs w:val="24"/>
          <w:shd w:val="clear" w:color="auto" w:fill="FFFFFF"/>
          <w:lang w:val="sr-Cyrl-RS"/>
        </w:rPr>
        <w:t>,</w:t>
      </w:r>
      <w:r w:rsidRPr="0081082A">
        <w:rPr>
          <w:rFonts w:ascii="Times New Roman" w:hAnsi="Times New Roman" w:cs="Times New Roman"/>
          <w:sz w:val="24"/>
          <w:szCs w:val="24"/>
          <w:shd w:val="clear" w:color="auto" w:fill="FFFFFF"/>
          <w:lang w:val="sr-Cyrl-RS"/>
        </w:rPr>
        <w:t xml:space="preserve"> поред представника ДРИ, треба да учествују и</w:t>
      </w:r>
      <w:r w:rsidR="00DD5CAF" w:rsidRPr="0081082A">
        <w:rPr>
          <w:rFonts w:ascii="Times New Roman" w:hAnsi="Times New Roman" w:cs="Times New Roman"/>
          <w:sz w:val="24"/>
          <w:szCs w:val="24"/>
          <w:shd w:val="clear" w:color="auto" w:fill="FFFFFF"/>
          <w:lang w:val="sr-Cyrl-RS"/>
        </w:rPr>
        <w:t xml:space="preserve"> представници јединица локалне самоуправе</w:t>
      </w:r>
      <w:r w:rsidR="00D03967" w:rsidRPr="0081082A">
        <w:rPr>
          <w:rFonts w:ascii="Times New Roman" w:hAnsi="Times New Roman" w:cs="Times New Roman"/>
          <w:sz w:val="24"/>
          <w:szCs w:val="24"/>
          <w:shd w:val="clear" w:color="auto" w:fill="FFFFFF"/>
          <w:lang w:val="sr-Cyrl-RS"/>
        </w:rPr>
        <w:t>,</w:t>
      </w:r>
      <w:r w:rsidR="00DD5CAF" w:rsidRPr="0081082A">
        <w:rPr>
          <w:rFonts w:ascii="Times New Roman" w:hAnsi="Times New Roman" w:cs="Times New Roman"/>
          <w:sz w:val="24"/>
          <w:szCs w:val="24"/>
          <w:shd w:val="clear" w:color="auto" w:fill="FFFFFF"/>
          <w:lang w:val="sr-Cyrl-RS"/>
        </w:rPr>
        <w:t xml:space="preserve"> као ревидирани субјекти</w:t>
      </w:r>
      <w:r w:rsidR="00D03967" w:rsidRPr="0081082A">
        <w:rPr>
          <w:rFonts w:ascii="Times New Roman" w:hAnsi="Times New Roman" w:cs="Times New Roman"/>
          <w:sz w:val="24"/>
          <w:szCs w:val="24"/>
          <w:shd w:val="clear" w:color="auto" w:fill="FFFFFF"/>
          <w:lang w:val="sr-Cyrl-RS"/>
        </w:rPr>
        <w:t>,</w:t>
      </w:r>
      <w:r w:rsidR="00DD5CAF" w:rsidRPr="0081082A">
        <w:rPr>
          <w:rFonts w:ascii="Times New Roman" w:hAnsi="Times New Roman" w:cs="Times New Roman"/>
          <w:sz w:val="24"/>
          <w:szCs w:val="24"/>
          <w:shd w:val="clear" w:color="auto" w:fill="FFFFFF"/>
          <w:lang w:val="sr-Cyrl-RS"/>
        </w:rPr>
        <w:t xml:space="preserve"> и</w:t>
      </w:r>
      <w:r w:rsidR="00D03967" w:rsidRPr="0081082A">
        <w:rPr>
          <w:rFonts w:ascii="Times New Roman" w:hAnsi="Times New Roman" w:cs="Times New Roman"/>
          <w:sz w:val="24"/>
          <w:szCs w:val="24"/>
          <w:shd w:val="clear" w:color="auto" w:fill="FFFFFF"/>
          <w:lang w:val="sr-Cyrl-RS"/>
        </w:rPr>
        <w:t>,</w:t>
      </w:r>
      <w:r w:rsidR="00DD5CAF" w:rsidRPr="0081082A">
        <w:rPr>
          <w:rFonts w:ascii="Times New Roman" w:hAnsi="Times New Roman" w:cs="Times New Roman"/>
          <w:sz w:val="24"/>
          <w:szCs w:val="24"/>
          <w:shd w:val="clear" w:color="auto" w:fill="FFFFFF"/>
          <w:lang w:val="sr-Cyrl-RS"/>
        </w:rPr>
        <w:t xml:space="preserve"> по потреби</w:t>
      </w:r>
      <w:r w:rsidR="00D03967" w:rsidRPr="0081082A">
        <w:rPr>
          <w:rFonts w:ascii="Times New Roman" w:hAnsi="Times New Roman" w:cs="Times New Roman"/>
          <w:sz w:val="24"/>
          <w:szCs w:val="24"/>
          <w:shd w:val="clear" w:color="auto" w:fill="FFFFFF"/>
          <w:lang w:val="sr-Cyrl-RS"/>
        </w:rPr>
        <w:t>,</w:t>
      </w:r>
      <w:r w:rsidR="00DD5CAF" w:rsidRPr="0081082A">
        <w:rPr>
          <w:rFonts w:ascii="Times New Roman" w:hAnsi="Times New Roman" w:cs="Times New Roman"/>
          <w:sz w:val="24"/>
          <w:szCs w:val="24"/>
          <w:shd w:val="clear" w:color="auto" w:fill="FFFFFF"/>
          <w:lang w:val="sr-Cyrl-RS"/>
        </w:rPr>
        <w:t xml:space="preserve"> представници надлежних министарстава и други релевантни учесници.</w:t>
      </w:r>
      <w:r w:rsidRPr="0081082A">
        <w:rPr>
          <w:rFonts w:ascii="Times New Roman" w:hAnsi="Times New Roman" w:cs="Times New Roman"/>
          <w:sz w:val="24"/>
          <w:szCs w:val="24"/>
          <w:shd w:val="clear" w:color="auto" w:fill="FFFFFF"/>
          <w:lang w:val="sr-Cyrl-RS"/>
        </w:rPr>
        <w:t xml:space="preserve"> Циљ одржавања седница, на којима се разматрају извештаји о ревизији консолидованих фина</w:t>
      </w:r>
      <w:r w:rsidR="00D03967" w:rsidRPr="0081082A">
        <w:rPr>
          <w:rFonts w:ascii="Times New Roman" w:hAnsi="Times New Roman" w:cs="Times New Roman"/>
          <w:sz w:val="24"/>
          <w:szCs w:val="24"/>
          <w:shd w:val="clear" w:color="auto" w:fill="FFFFFF"/>
          <w:lang w:val="sr-Cyrl-RS"/>
        </w:rPr>
        <w:t>н</w:t>
      </w:r>
      <w:r w:rsidRPr="0081082A">
        <w:rPr>
          <w:rFonts w:ascii="Times New Roman" w:hAnsi="Times New Roman" w:cs="Times New Roman"/>
          <w:sz w:val="24"/>
          <w:szCs w:val="24"/>
          <w:shd w:val="clear" w:color="auto" w:fill="FFFFFF"/>
          <w:lang w:val="sr-Cyrl-RS"/>
        </w:rPr>
        <w:t>сијских извештаја буџета и правилности пословања ревидираних субјеката јесте подизање свести на централном и локалном нивоу власти о значају налаза ревизије и препорука ДРИ, као и о улози парламент</w:t>
      </w:r>
      <w:r w:rsidR="00D03967" w:rsidRPr="0081082A">
        <w:rPr>
          <w:rFonts w:ascii="Times New Roman" w:hAnsi="Times New Roman" w:cs="Times New Roman"/>
          <w:sz w:val="24"/>
          <w:szCs w:val="24"/>
          <w:shd w:val="clear" w:color="auto" w:fill="FFFFFF"/>
          <w:lang w:val="sr-Cyrl-RS"/>
        </w:rPr>
        <w:t>а</w:t>
      </w:r>
      <w:r w:rsidRPr="0081082A">
        <w:rPr>
          <w:rFonts w:ascii="Times New Roman" w:hAnsi="Times New Roman" w:cs="Times New Roman"/>
          <w:sz w:val="24"/>
          <w:szCs w:val="24"/>
          <w:shd w:val="clear" w:color="auto" w:fill="FFFFFF"/>
          <w:lang w:val="sr-Cyrl-RS"/>
        </w:rPr>
        <w:t>рног надзора над јавним финансијама. Након разматрања, Одбор, на предлог Пододбора, утврђује Предлог закључка који упућује Народној скупштини на разматрање и усвајање. Предлози закључака, између осталог, садрже сугестије корективних мера ради обезбеђивања несметаног спровођења препорука ДРИ у циљу усклађивања свих релевантних правних аката са Законом о буџетском систему</w:t>
      </w:r>
      <w:r w:rsidR="00D03967" w:rsidRPr="0081082A">
        <w:rPr>
          <w:rFonts w:ascii="Times New Roman" w:hAnsi="Times New Roman" w:cs="Times New Roman"/>
          <w:sz w:val="24"/>
          <w:szCs w:val="24"/>
          <w:shd w:val="clear" w:color="auto" w:fill="FFFFFF"/>
          <w:lang w:val="sr-Cyrl-RS"/>
        </w:rPr>
        <w:t>,</w:t>
      </w:r>
      <w:r w:rsidRPr="0081082A">
        <w:rPr>
          <w:rFonts w:ascii="Times New Roman" w:hAnsi="Times New Roman" w:cs="Times New Roman"/>
          <w:sz w:val="24"/>
          <w:szCs w:val="24"/>
          <w:shd w:val="clear" w:color="auto" w:fill="FFFFFF"/>
          <w:lang w:val="sr-Cyrl-RS"/>
        </w:rPr>
        <w:t xml:space="preserve"> ради отклањања њихове међусобне неусклађености, као и неопходне измене и допуне појединих одредаба закона које могу произвести негативне последице. </w:t>
      </w:r>
      <w:r w:rsidR="00854839" w:rsidRPr="0081082A">
        <w:rPr>
          <w:rFonts w:ascii="Times New Roman" w:hAnsi="Times New Roman" w:cs="Times New Roman"/>
          <w:sz w:val="24"/>
          <w:szCs w:val="24"/>
          <w:shd w:val="clear" w:color="auto" w:fill="FFFFFF"/>
          <w:lang w:val="sr-Cyrl-RS"/>
        </w:rPr>
        <w:t xml:space="preserve"> У периоду 2016-2020</w:t>
      </w:r>
      <w:r w:rsidR="00595125">
        <w:rPr>
          <w:rFonts w:ascii="Times New Roman" w:hAnsi="Times New Roman" w:cs="Times New Roman"/>
          <w:sz w:val="24"/>
          <w:szCs w:val="24"/>
          <w:shd w:val="clear" w:color="auto" w:fill="FFFFFF"/>
          <w:lang w:val="sr-Cyrl-RS"/>
        </w:rPr>
        <w:t>. године</w:t>
      </w:r>
      <w:r w:rsidR="00854839" w:rsidRPr="0081082A">
        <w:rPr>
          <w:rFonts w:ascii="Times New Roman" w:hAnsi="Times New Roman" w:cs="Times New Roman"/>
          <w:sz w:val="24"/>
          <w:szCs w:val="24"/>
          <w:shd w:val="clear" w:color="auto" w:fill="FFFFFF"/>
          <w:lang w:val="sr-Cyrl-RS"/>
        </w:rPr>
        <w:t xml:space="preserve"> Одбор за финансије, републички буџет и контролу трошења јавних средстава одржао је </w:t>
      </w:r>
      <w:r w:rsidR="00A60906" w:rsidRPr="0081082A">
        <w:rPr>
          <w:rFonts w:ascii="Times New Roman" w:hAnsi="Times New Roman" w:cs="Times New Roman"/>
          <w:sz w:val="24"/>
          <w:szCs w:val="24"/>
          <w:shd w:val="clear" w:color="auto" w:fill="FFFFFF"/>
          <w:lang w:val="sr-Cyrl-RS"/>
        </w:rPr>
        <w:t xml:space="preserve">више </w:t>
      </w:r>
      <w:r w:rsidR="00854839" w:rsidRPr="0081082A">
        <w:rPr>
          <w:rFonts w:ascii="Times New Roman" w:hAnsi="Times New Roman" w:cs="Times New Roman"/>
          <w:sz w:val="24"/>
          <w:szCs w:val="24"/>
          <w:shd w:val="clear" w:color="auto" w:fill="FFFFFF"/>
          <w:lang w:val="sr-Cyrl-RS"/>
        </w:rPr>
        <w:t xml:space="preserve">седница ван седишта Народне скупштине на којима су, у присуству представника ДРИ, представљени и разматрани извештаји о ревизији консолидованих финансијских извештаја завршног рачуна </w:t>
      </w:r>
      <w:r w:rsidR="003F6CBC" w:rsidRPr="0081082A">
        <w:rPr>
          <w:rFonts w:ascii="Times New Roman" w:hAnsi="Times New Roman" w:cs="Times New Roman"/>
          <w:sz w:val="24"/>
          <w:szCs w:val="24"/>
          <w:shd w:val="clear" w:color="auto" w:fill="FFFFFF"/>
          <w:lang w:val="sr-Cyrl-RS"/>
        </w:rPr>
        <w:t xml:space="preserve">буџета </w:t>
      </w:r>
      <w:r w:rsidR="00854839" w:rsidRPr="0081082A">
        <w:rPr>
          <w:rFonts w:ascii="Times New Roman" w:hAnsi="Times New Roman" w:cs="Times New Roman"/>
          <w:sz w:val="24"/>
          <w:szCs w:val="24"/>
          <w:shd w:val="clear" w:color="auto" w:fill="FFFFFF"/>
          <w:lang w:val="sr-Cyrl-RS"/>
        </w:rPr>
        <w:t>локалних самоуправа, секторски извештаји ДРИ, годишњи извештаји о раду ДРИ</w:t>
      </w:r>
      <w:r w:rsidR="006069E9" w:rsidRPr="0081082A">
        <w:rPr>
          <w:rFonts w:ascii="Times New Roman" w:hAnsi="Times New Roman" w:cs="Times New Roman"/>
          <w:sz w:val="24"/>
          <w:szCs w:val="24"/>
          <w:shd w:val="clear" w:color="auto" w:fill="FFFFFF"/>
          <w:lang w:val="sr-Cyrl-RS"/>
        </w:rPr>
        <w:t>,</w:t>
      </w:r>
      <w:r w:rsidR="00854839" w:rsidRPr="0081082A">
        <w:rPr>
          <w:rFonts w:ascii="Times New Roman" w:hAnsi="Times New Roman" w:cs="Times New Roman"/>
          <w:sz w:val="24"/>
          <w:szCs w:val="24"/>
          <w:shd w:val="clear" w:color="auto" w:fill="FFFFFF"/>
          <w:lang w:val="sr-Cyrl-RS"/>
        </w:rPr>
        <w:t xml:space="preserve"> као и извештаји о ревизији завршних рачуна буџета Републике Србије.</w:t>
      </w:r>
      <w:r w:rsidR="00854839" w:rsidRPr="0081082A">
        <w:rPr>
          <w:rStyle w:val="FootnoteReference"/>
          <w:rFonts w:ascii="Times New Roman" w:hAnsi="Times New Roman" w:cs="Times New Roman"/>
          <w:sz w:val="24"/>
          <w:szCs w:val="24"/>
          <w:shd w:val="clear" w:color="auto" w:fill="FFFFFF"/>
          <w:lang w:val="sr-Cyrl-RS"/>
        </w:rPr>
        <w:footnoteReference w:id="164"/>
      </w:r>
    </w:p>
    <w:p w:rsidR="00721398" w:rsidRPr="0081082A" w:rsidRDefault="00721398" w:rsidP="001340DA">
      <w:pPr>
        <w:spacing w:after="0" w:line="240" w:lineRule="auto"/>
        <w:ind w:firstLine="708"/>
        <w:jc w:val="both"/>
        <w:rPr>
          <w:rFonts w:ascii="Times New Roman" w:hAnsi="Times New Roman" w:cs="Times New Roman"/>
          <w:sz w:val="24"/>
          <w:szCs w:val="24"/>
          <w:shd w:val="clear" w:color="auto" w:fill="FFFFFF"/>
          <w:lang w:val="sr-Cyrl-RS"/>
        </w:rPr>
      </w:pPr>
      <w:r w:rsidRPr="0081082A">
        <w:rPr>
          <w:rFonts w:ascii="Times New Roman" w:eastAsia="Calibri" w:hAnsi="Times New Roman" w:cs="Times New Roman"/>
          <w:sz w:val="24"/>
          <w:szCs w:val="24"/>
          <w:lang w:val="sr-Cyrl-RS"/>
        </w:rPr>
        <w:t xml:space="preserve">Поред сарадње са ДРИ, Одбор је потписао </w:t>
      </w:r>
      <w:r w:rsidRPr="0081082A">
        <w:rPr>
          <w:rFonts w:ascii="Times New Roman" w:hAnsi="Times New Roman" w:cs="Times New Roman"/>
          <w:sz w:val="24"/>
          <w:szCs w:val="24"/>
          <w:shd w:val="clear" w:color="auto" w:fill="FFFFFF"/>
          <w:lang w:val="sr-Cyrl-RS"/>
        </w:rPr>
        <w:t xml:space="preserve">Меморандум о сарадњи са Министарством финансија у јуну 2015. године, обезбеђујући на тај начин систем преноса одређених података и информација о томе како се троше средства из буџета </w:t>
      </w:r>
      <w:r w:rsidR="00F641AE" w:rsidRPr="0081082A">
        <w:rPr>
          <w:rFonts w:ascii="Times New Roman" w:hAnsi="Times New Roman" w:cs="Times New Roman"/>
          <w:sz w:val="24"/>
          <w:szCs w:val="24"/>
          <w:lang w:val="sr-Cyrl-RS"/>
        </w:rPr>
        <w:t>Републике Србије</w:t>
      </w:r>
      <w:r w:rsidRPr="0081082A">
        <w:rPr>
          <w:rFonts w:ascii="Times New Roman" w:hAnsi="Times New Roman" w:cs="Times New Roman"/>
          <w:sz w:val="24"/>
          <w:szCs w:val="24"/>
          <w:shd w:val="clear" w:color="auto" w:fill="FFFFFF"/>
          <w:lang w:val="sr-Cyrl-RS"/>
        </w:rPr>
        <w:t xml:space="preserve">. На основу Меморандума о сарадњи, потписан је и Протокол о преузимању података </w:t>
      </w:r>
      <w:r w:rsidR="00E54D70">
        <w:rPr>
          <w:rFonts w:ascii="Times New Roman" w:hAnsi="Times New Roman" w:cs="Times New Roman"/>
          <w:sz w:val="24"/>
          <w:szCs w:val="24"/>
          <w:shd w:val="clear" w:color="auto" w:fill="FFFFFF"/>
          <w:lang w:val="sr-Cyrl-RS"/>
        </w:rPr>
        <w:t>и</w:t>
      </w:r>
      <w:r w:rsidRPr="0081082A">
        <w:rPr>
          <w:rFonts w:ascii="Times New Roman" w:hAnsi="Times New Roman" w:cs="Times New Roman"/>
          <w:sz w:val="24"/>
          <w:szCs w:val="24"/>
          <w:shd w:val="clear" w:color="auto" w:fill="FFFFFF"/>
          <w:lang w:val="sr-Cyrl-RS"/>
        </w:rPr>
        <w:t xml:space="preserve">змеђу Oдбора и Управе за трезор Министарства финансија у децембру 2015. године. </w:t>
      </w:r>
      <w:r w:rsidRPr="0081082A">
        <w:rPr>
          <w:rFonts w:ascii="Times New Roman" w:hAnsi="Times New Roman"/>
          <w:sz w:val="24"/>
          <w:lang w:val="sr-Cyrl-RS"/>
        </w:rPr>
        <w:t>Потписивање</w:t>
      </w:r>
      <w:r w:rsidRPr="0081082A">
        <w:rPr>
          <w:rFonts w:ascii="Times New Roman" w:hAnsi="Times New Roman" w:cs="Times New Roman"/>
          <w:sz w:val="24"/>
          <w:szCs w:val="24"/>
          <w:shd w:val="clear" w:color="auto" w:fill="FFFFFF"/>
          <w:lang w:val="sr-Cyrl-RS"/>
        </w:rPr>
        <w:t xml:space="preserve"> протокола био је део важног процеса израде информационог система</w:t>
      </w:r>
      <w:r w:rsidR="00A2602B" w:rsidRPr="0081082A">
        <w:rPr>
          <w:rFonts w:ascii="Times New Roman" w:hAnsi="Times New Roman" w:cs="Times New Roman"/>
          <w:sz w:val="24"/>
          <w:szCs w:val="24"/>
          <w:shd w:val="clear" w:color="auto" w:fill="FFFFFF"/>
          <w:lang w:val="sr-Cyrl-RS"/>
        </w:rPr>
        <w:t xml:space="preserve"> -</w:t>
      </w:r>
      <w:r w:rsidRPr="0081082A">
        <w:rPr>
          <w:rFonts w:ascii="Times New Roman" w:hAnsi="Times New Roman" w:cs="Times New Roman"/>
          <w:sz w:val="24"/>
          <w:szCs w:val="24"/>
          <w:shd w:val="clear" w:color="auto" w:fill="FFFFFF"/>
          <w:lang w:val="sr-Cyrl-RS"/>
        </w:rPr>
        <w:t xml:space="preserve"> Портала за надзор над јавним финансијама</w:t>
      </w:r>
      <w:r w:rsidR="00A2602B" w:rsidRPr="0081082A">
        <w:rPr>
          <w:rFonts w:ascii="Times New Roman" w:hAnsi="Times New Roman" w:cs="Times New Roman"/>
          <w:sz w:val="24"/>
          <w:szCs w:val="24"/>
          <w:shd w:val="clear" w:color="auto" w:fill="FFFFFF"/>
          <w:lang w:val="sr-Cyrl-RS"/>
        </w:rPr>
        <w:t>.</w:t>
      </w:r>
      <w:r w:rsidR="00A2602B" w:rsidRPr="0081082A">
        <w:rPr>
          <w:rStyle w:val="FootnoteReference"/>
          <w:rFonts w:ascii="Times New Roman" w:hAnsi="Times New Roman" w:cs="Times New Roman"/>
          <w:sz w:val="24"/>
          <w:szCs w:val="24"/>
          <w:shd w:val="clear" w:color="auto" w:fill="FFFFFF"/>
          <w:lang w:val="sr-Cyrl-RS"/>
        </w:rPr>
        <w:footnoteReference w:id="165"/>
      </w:r>
      <w:r w:rsidRPr="0081082A">
        <w:rPr>
          <w:rFonts w:ascii="Times New Roman" w:hAnsi="Times New Roman" w:cs="Times New Roman"/>
          <w:sz w:val="24"/>
          <w:szCs w:val="24"/>
          <w:shd w:val="clear" w:color="auto" w:fill="FFFFFF"/>
          <w:lang w:val="sr-Cyrl-RS"/>
        </w:rPr>
        <w:t xml:space="preserve"> Према Протоколу, Одбор преузима податке од Управе за трезор Министарства финансија путем извештаја које Управа </w:t>
      </w:r>
      <w:r w:rsidR="00A2602B" w:rsidRPr="0081082A">
        <w:rPr>
          <w:rFonts w:ascii="Times New Roman" w:hAnsi="Times New Roman" w:cs="Times New Roman"/>
          <w:sz w:val="24"/>
          <w:szCs w:val="24"/>
          <w:shd w:val="clear" w:color="auto" w:fill="FFFFFF"/>
          <w:lang w:val="sr-Cyrl-RS"/>
        </w:rPr>
        <w:t xml:space="preserve">за трезор </w:t>
      </w:r>
      <w:r w:rsidRPr="0081082A">
        <w:rPr>
          <w:rFonts w:ascii="Times New Roman" w:hAnsi="Times New Roman" w:cs="Times New Roman"/>
          <w:sz w:val="24"/>
          <w:szCs w:val="24"/>
          <w:shd w:val="clear" w:color="auto" w:fill="FFFFFF"/>
          <w:lang w:val="sr-Cyrl-RS"/>
        </w:rPr>
        <w:t>обрађује и форматира и које, са шиф</w:t>
      </w:r>
      <w:r w:rsidR="00D03967" w:rsidRPr="0081082A">
        <w:rPr>
          <w:rFonts w:ascii="Times New Roman" w:hAnsi="Times New Roman" w:cs="Times New Roman"/>
          <w:sz w:val="24"/>
          <w:szCs w:val="24"/>
          <w:shd w:val="clear" w:color="auto" w:fill="FFFFFF"/>
          <w:lang w:val="sr-Cyrl-RS"/>
        </w:rPr>
        <w:t>р</w:t>
      </w:r>
      <w:r w:rsidRPr="0081082A">
        <w:rPr>
          <w:rFonts w:ascii="Times New Roman" w:hAnsi="Times New Roman" w:cs="Times New Roman"/>
          <w:sz w:val="24"/>
          <w:szCs w:val="24"/>
          <w:shd w:val="clear" w:color="auto" w:fill="FFFFFF"/>
          <w:lang w:val="sr-Cyrl-RS"/>
        </w:rPr>
        <w:t xml:space="preserve">арницима, поставља на екстерни сервер за потребе Одбора. Електронске фајлове са извештајем са екстерног сервера Управе, Народна скупштина, односно Одбор, мрежним путем преузима у сопствени информациони систем. </w:t>
      </w:r>
    </w:p>
    <w:p w:rsidR="00E21EC6" w:rsidRPr="0081082A" w:rsidRDefault="00E21EC6" w:rsidP="001340DA">
      <w:pPr>
        <w:spacing w:after="0" w:line="240" w:lineRule="auto"/>
        <w:ind w:firstLine="708"/>
        <w:jc w:val="both"/>
        <w:rPr>
          <w:rFonts w:ascii="Times New Roman" w:hAnsi="Times New Roman" w:cs="Times New Roman"/>
          <w:lang w:val="sr-Cyrl-RS"/>
        </w:rPr>
      </w:pPr>
    </w:p>
    <w:p w:rsidR="00830DA2" w:rsidRPr="0081082A" w:rsidRDefault="00830DA2" w:rsidP="001340DA">
      <w:pPr>
        <w:spacing w:after="0" w:line="240" w:lineRule="auto"/>
        <w:ind w:firstLine="708"/>
        <w:jc w:val="both"/>
        <w:rPr>
          <w:rFonts w:ascii="Times New Roman" w:hAnsi="Times New Roman" w:cs="Times New Roman"/>
          <w:lang w:val="sr-Cyrl-RS"/>
        </w:rPr>
      </w:pPr>
    </w:p>
    <w:p w:rsidR="00E374B4" w:rsidRPr="0081082A" w:rsidRDefault="00E374B4" w:rsidP="00E374B4">
      <w:pPr>
        <w:pStyle w:val="Heading2"/>
        <w:jc w:val="center"/>
        <w:rPr>
          <w:rFonts w:ascii="Times New Roman" w:hAnsi="Times New Roman"/>
          <w:sz w:val="24"/>
          <w:lang w:val="sr-Cyrl-RS"/>
        </w:rPr>
      </w:pPr>
      <w:bookmarkStart w:id="49" w:name="_Toc72488829"/>
      <w:r w:rsidRPr="0081082A">
        <w:rPr>
          <w:rFonts w:ascii="Times New Roman" w:hAnsi="Times New Roman"/>
          <w:sz w:val="24"/>
          <w:lang w:val="sr-Cyrl-RS"/>
        </w:rPr>
        <w:t>Планиране реформске мере у периоду 2021-2025</w:t>
      </w:r>
      <w:bookmarkEnd w:id="49"/>
    </w:p>
    <w:p w:rsidR="00721398" w:rsidRPr="0081082A" w:rsidRDefault="00721398" w:rsidP="001340DA">
      <w:pPr>
        <w:spacing w:after="0" w:line="240" w:lineRule="auto"/>
        <w:jc w:val="both"/>
        <w:rPr>
          <w:rFonts w:ascii="Times New Roman" w:hAnsi="Times New Roman" w:cs="Times New Roman"/>
          <w:b/>
          <w:sz w:val="24"/>
          <w:u w:val="single"/>
          <w:lang w:val="sr-Cyrl-RS"/>
        </w:rPr>
      </w:pPr>
      <w:r w:rsidRPr="0081082A">
        <w:rPr>
          <w:rFonts w:ascii="Times New Roman" w:hAnsi="Times New Roman" w:cs="Times New Roman"/>
          <w:b/>
          <w:sz w:val="24"/>
          <w:u w:val="single"/>
          <w:lang w:val="sr-Cyrl-RS"/>
        </w:rPr>
        <w:t>Мера</w:t>
      </w:r>
      <w:r w:rsidR="00662762" w:rsidRPr="0081082A">
        <w:rPr>
          <w:rFonts w:ascii="Times New Roman" w:hAnsi="Times New Roman" w:cs="Times New Roman"/>
          <w:b/>
          <w:sz w:val="24"/>
          <w:u w:val="single"/>
          <w:lang w:val="sr-Cyrl-RS"/>
        </w:rPr>
        <w:t xml:space="preserve"> 6.1</w:t>
      </w:r>
      <w:r w:rsidR="00BC65C8" w:rsidRPr="0081082A">
        <w:rPr>
          <w:rFonts w:ascii="Times New Roman" w:hAnsi="Times New Roman" w:cs="Times New Roman"/>
          <w:b/>
          <w:sz w:val="24"/>
          <w:u w:val="single"/>
          <w:lang w:val="sr-Cyrl-RS"/>
        </w:rPr>
        <w:t xml:space="preserve"> </w:t>
      </w:r>
      <w:r w:rsidRPr="0081082A">
        <w:rPr>
          <w:rFonts w:ascii="Times New Roman" w:hAnsi="Times New Roman" w:cs="Times New Roman"/>
          <w:b/>
          <w:sz w:val="24"/>
          <w:u w:val="single"/>
          <w:lang w:val="sr-Cyrl-RS"/>
        </w:rPr>
        <w:t>-</w:t>
      </w:r>
      <w:r w:rsidR="00BC65C8" w:rsidRPr="0081082A">
        <w:rPr>
          <w:rFonts w:ascii="Times New Roman" w:hAnsi="Times New Roman" w:cs="Times New Roman"/>
          <w:b/>
          <w:sz w:val="24"/>
          <w:u w:val="single"/>
          <w:lang w:val="sr-Cyrl-RS"/>
        </w:rPr>
        <w:t xml:space="preserve"> </w:t>
      </w:r>
      <w:r w:rsidRPr="0081082A">
        <w:rPr>
          <w:rFonts w:ascii="Times New Roman" w:hAnsi="Times New Roman" w:cs="Times New Roman"/>
          <w:b/>
          <w:sz w:val="24"/>
          <w:u w:val="single"/>
          <w:lang w:val="sr-Cyrl-RS"/>
        </w:rPr>
        <w:t>Унапређење обухвата, квалитета и утицаја екстерних ревизија (у складу са Стратешким планом ДРИ)</w:t>
      </w:r>
    </w:p>
    <w:p w:rsidR="00721398" w:rsidRPr="0081082A" w:rsidRDefault="00721398" w:rsidP="001340DA">
      <w:pPr>
        <w:spacing w:after="0" w:line="240" w:lineRule="auto"/>
        <w:ind w:firstLine="708"/>
        <w:jc w:val="both"/>
        <w:rPr>
          <w:rFonts w:ascii="Times New Roman" w:hAnsi="Times New Roman" w:cs="Times New Roman"/>
          <w:sz w:val="24"/>
          <w:lang w:val="sr-Cyrl-RS"/>
        </w:rPr>
      </w:pPr>
      <w:r w:rsidRPr="0081082A">
        <w:rPr>
          <w:rFonts w:ascii="Times New Roman" w:hAnsi="Times New Roman" w:cs="Times New Roman"/>
          <w:sz w:val="24"/>
          <w:lang w:val="sr-Cyrl-RS"/>
        </w:rPr>
        <w:t>ДРИ је у претходном периоду уложила значајне напоре у оптимизацију своје организационе структуре у циљу повећања ревизије</w:t>
      </w:r>
      <w:r w:rsidR="005D20CE" w:rsidRPr="0081082A">
        <w:rPr>
          <w:rFonts w:ascii="Times New Roman" w:hAnsi="Times New Roman" w:cs="Times New Roman"/>
          <w:sz w:val="24"/>
          <w:lang w:val="sr-Cyrl-RS"/>
        </w:rPr>
        <w:t xml:space="preserve"> </w:t>
      </w:r>
      <w:r w:rsidR="00003FA8" w:rsidRPr="0081082A">
        <w:rPr>
          <w:rFonts w:ascii="Times New Roman" w:hAnsi="Times New Roman" w:cs="Times New Roman"/>
          <w:sz w:val="24"/>
          <w:lang w:val="sr-Cyrl-RS"/>
        </w:rPr>
        <w:t>сврсисходности</w:t>
      </w:r>
      <w:r w:rsidRPr="0081082A">
        <w:rPr>
          <w:rFonts w:ascii="Times New Roman" w:hAnsi="Times New Roman" w:cs="Times New Roman"/>
          <w:sz w:val="24"/>
          <w:lang w:val="sr-Cyrl-RS"/>
        </w:rPr>
        <w:t xml:space="preserve">. У складу са извештајем </w:t>
      </w:r>
      <w:r w:rsidR="007F054D" w:rsidRPr="0081082A">
        <w:rPr>
          <w:rFonts w:ascii="Times New Roman" w:hAnsi="Times New Roman" w:cs="Times New Roman"/>
          <w:sz w:val="24"/>
          <w:lang w:val="sr-Cyrl-RS"/>
        </w:rPr>
        <w:t>ЕК</w:t>
      </w:r>
      <w:r w:rsidRPr="0081082A">
        <w:rPr>
          <w:rFonts w:ascii="Times New Roman" w:hAnsi="Times New Roman" w:cs="Times New Roman"/>
          <w:sz w:val="24"/>
          <w:lang w:val="sr-Cyrl-RS"/>
        </w:rPr>
        <w:t xml:space="preserve"> о напретку за 2020. годину, Д</w:t>
      </w:r>
      <w:r w:rsidR="00BC65C8" w:rsidRPr="0081082A">
        <w:rPr>
          <w:rFonts w:ascii="Times New Roman" w:hAnsi="Times New Roman" w:cs="Times New Roman"/>
          <w:sz w:val="24"/>
          <w:lang w:val="sr-Cyrl-RS"/>
        </w:rPr>
        <w:t>РИ</w:t>
      </w:r>
      <w:r w:rsidRPr="0081082A">
        <w:rPr>
          <w:rFonts w:ascii="Times New Roman" w:hAnsi="Times New Roman" w:cs="Times New Roman"/>
          <w:sz w:val="24"/>
          <w:lang w:val="sr-Cyrl-RS"/>
        </w:rPr>
        <w:t xml:space="preserve"> је значајно проширила обухват ревизија покривених годишњим планом, упркос ограничењима које представља њен недовољни </w:t>
      </w:r>
      <w:r w:rsidR="00003FA8" w:rsidRPr="0081082A">
        <w:rPr>
          <w:rFonts w:ascii="Times New Roman" w:hAnsi="Times New Roman" w:cs="Times New Roman"/>
          <w:sz w:val="24"/>
          <w:lang w:val="sr-Cyrl-RS"/>
        </w:rPr>
        <w:t xml:space="preserve">просторни </w:t>
      </w:r>
      <w:r w:rsidRPr="0081082A">
        <w:rPr>
          <w:rFonts w:ascii="Times New Roman" w:hAnsi="Times New Roman" w:cs="Times New Roman"/>
          <w:sz w:val="24"/>
          <w:lang w:val="sr-Cyrl-RS"/>
        </w:rPr>
        <w:t xml:space="preserve">капацитет. У складу са овим, напори ДРИ у наредном петогодишњем периоду биће усмерени ка спровођењу ревизије јавних средстава у складу са Програмом ревизије. Напори које ће ДРИ уложити у повећање броја </w:t>
      </w:r>
      <w:r w:rsidR="00003FA8" w:rsidRPr="0081082A">
        <w:rPr>
          <w:rFonts w:ascii="Times New Roman" w:hAnsi="Times New Roman" w:cs="Times New Roman"/>
          <w:sz w:val="24"/>
          <w:lang w:val="sr-Cyrl-RS"/>
        </w:rPr>
        <w:t xml:space="preserve">запослених и </w:t>
      </w:r>
      <w:r w:rsidRPr="0081082A">
        <w:rPr>
          <w:rFonts w:ascii="Times New Roman" w:hAnsi="Times New Roman" w:cs="Times New Roman"/>
          <w:sz w:val="24"/>
          <w:lang w:val="sr-Cyrl-RS"/>
        </w:rPr>
        <w:t xml:space="preserve">ревизија обухваћених годишњим Програмом </w:t>
      </w:r>
      <w:r w:rsidR="00E931D6" w:rsidRPr="0081082A">
        <w:rPr>
          <w:rFonts w:ascii="Times New Roman" w:hAnsi="Times New Roman" w:cs="Times New Roman"/>
          <w:sz w:val="24"/>
          <w:lang w:val="sr-Cyrl-RS"/>
        </w:rPr>
        <w:t>ревизије</w:t>
      </w:r>
      <w:r w:rsidR="005D20CE" w:rsidRPr="0081082A">
        <w:rPr>
          <w:rFonts w:ascii="Times New Roman" w:hAnsi="Times New Roman" w:cs="Times New Roman"/>
          <w:sz w:val="24"/>
          <w:lang w:val="sr-Cyrl-RS"/>
        </w:rPr>
        <w:t>,</w:t>
      </w:r>
      <w:r w:rsidR="00E931D6" w:rsidRPr="0081082A">
        <w:rPr>
          <w:rFonts w:ascii="Times New Roman" w:hAnsi="Times New Roman" w:cs="Times New Roman"/>
          <w:sz w:val="24"/>
          <w:lang w:val="sr-Cyrl-RS"/>
        </w:rPr>
        <w:t xml:space="preserve"> </w:t>
      </w:r>
      <w:r w:rsidRPr="0081082A">
        <w:rPr>
          <w:rFonts w:ascii="Times New Roman" w:hAnsi="Times New Roman" w:cs="Times New Roman"/>
          <w:sz w:val="24"/>
          <w:lang w:val="sr-Cyrl-RS"/>
        </w:rPr>
        <w:t>значајно ће допринети надзору и контроли наменског трошења буџетских средстава, што представља један од главних елемената транспарент</w:t>
      </w:r>
      <w:r w:rsidR="005D20CE" w:rsidRPr="0081082A">
        <w:rPr>
          <w:rFonts w:ascii="Times New Roman" w:hAnsi="Times New Roman" w:cs="Times New Roman"/>
          <w:sz w:val="24"/>
          <w:lang w:val="sr-Cyrl-RS"/>
        </w:rPr>
        <w:t>н</w:t>
      </w:r>
      <w:r w:rsidRPr="0081082A">
        <w:rPr>
          <w:rFonts w:ascii="Times New Roman" w:hAnsi="Times New Roman" w:cs="Times New Roman"/>
          <w:sz w:val="24"/>
          <w:lang w:val="sr-Cyrl-RS"/>
        </w:rPr>
        <w:t>ог и ефикасног система јавних финансија.</w:t>
      </w:r>
    </w:p>
    <w:p w:rsidR="00721398" w:rsidRPr="0081082A" w:rsidRDefault="00721398" w:rsidP="001340DA">
      <w:pPr>
        <w:spacing w:after="0" w:line="240" w:lineRule="auto"/>
        <w:ind w:firstLine="708"/>
        <w:jc w:val="both"/>
        <w:rPr>
          <w:rFonts w:ascii="Times New Roman" w:hAnsi="Times New Roman" w:cs="Times New Roman"/>
          <w:sz w:val="24"/>
          <w:lang w:val="sr-Cyrl-RS"/>
        </w:rPr>
      </w:pPr>
      <w:r w:rsidRPr="0081082A">
        <w:rPr>
          <w:rFonts w:ascii="Times New Roman" w:hAnsi="Times New Roman" w:cs="Times New Roman"/>
          <w:sz w:val="24"/>
          <w:lang w:val="sr-Cyrl-RS"/>
        </w:rPr>
        <w:t xml:space="preserve">Поред овога, </w:t>
      </w:r>
      <w:r w:rsidR="007F054D" w:rsidRPr="0081082A">
        <w:rPr>
          <w:rFonts w:ascii="Times New Roman" w:hAnsi="Times New Roman" w:cs="Times New Roman"/>
          <w:sz w:val="24"/>
          <w:lang w:val="sr-Cyrl-RS"/>
        </w:rPr>
        <w:t>ЕК</w:t>
      </w:r>
      <w:r w:rsidRPr="0081082A">
        <w:rPr>
          <w:rFonts w:ascii="Times New Roman" w:hAnsi="Times New Roman" w:cs="Times New Roman"/>
          <w:sz w:val="24"/>
          <w:lang w:val="sr-Cyrl-RS"/>
        </w:rPr>
        <w:t xml:space="preserve"> је у свом извештају о </w:t>
      </w:r>
      <w:r w:rsidR="00F641AE" w:rsidRPr="0081082A">
        <w:rPr>
          <w:rFonts w:ascii="Times New Roman" w:hAnsi="Times New Roman" w:cs="Times New Roman"/>
          <w:sz w:val="24"/>
          <w:szCs w:val="24"/>
          <w:lang w:val="sr-Cyrl-RS"/>
        </w:rPr>
        <w:t>Републици Србији</w:t>
      </w:r>
      <w:r w:rsidR="00A60906" w:rsidRPr="0081082A">
        <w:rPr>
          <w:rFonts w:ascii="Times New Roman" w:hAnsi="Times New Roman" w:cs="Times New Roman"/>
          <w:sz w:val="24"/>
          <w:lang w:val="sr-Cyrl-RS"/>
        </w:rPr>
        <w:t xml:space="preserve"> за 2020. годину</w:t>
      </w:r>
      <w:r w:rsidRPr="0081082A">
        <w:rPr>
          <w:rFonts w:ascii="Times New Roman" w:hAnsi="Times New Roman" w:cs="Times New Roman"/>
          <w:sz w:val="24"/>
          <w:lang w:val="sr-Cyrl-RS"/>
        </w:rPr>
        <w:t xml:space="preserve"> позитивно оценила одржавање дискусије о Извештајима ДРИ на седницама Одбора и Пододбора Народне скупштине и пленарној седници у јуну 2019. године, по први пут од оснивања ДРИ. Овај значајан напредак у сарадњи између две институције, значајно је допринео повећању усвојених препорука ревизије које субјектима ревизије пружа ДРИ, будући да су на овим седницама Народне скупштине усвојени конкретни закључци који извршној власти налажу да </w:t>
      </w:r>
      <w:r w:rsidR="0000259A" w:rsidRPr="0081082A">
        <w:rPr>
          <w:rFonts w:ascii="Times New Roman" w:hAnsi="Times New Roman" w:cs="Times New Roman"/>
          <w:sz w:val="24"/>
          <w:lang w:val="sr-Cyrl-RS"/>
        </w:rPr>
        <w:t>спроведу</w:t>
      </w:r>
      <w:r w:rsidRPr="0081082A">
        <w:rPr>
          <w:rFonts w:ascii="Times New Roman" w:hAnsi="Times New Roman" w:cs="Times New Roman"/>
          <w:sz w:val="24"/>
          <w:lang w:val="sr-Cyrl-RS"/>
        </w:rPr>
        <w:t xml:space="preserve"> препоруке које су добили од ДРИ. У складу са овим,  предвиђен је наставак мере представљања </w:t>
      </w:r>
      <w:r w:rsidR="00003FA8" w:rsidRPr="0081082A">
        <w:rPr>
          <w:rFonts w:ascii="Times New Roman" w:hAnsi="Times New Roman" w:cs="Times New Roman"/>
          <w:sz w:val="24"/>
          <w:lang w:val="sr-Cyrl-RS"/>
        </w:rPr>
        <w:t>и</w:t>
      </w:r>
      <w:r w:rsidRPr="0081082A">
        <w:rPr>
          <w:rFonts w:ascii="Times New Roman" w:hAnsi="Times New Roman" w:cs="Times New Roman"/>
          <w:sz w:val="24"/>
          <w:lang w:val="sr-Cyrl-RS"/>
        </w:rPr>
        <w:t>звештаја о обављеним ревизијама надлежном Одбору и Пододбору Народне скупштине ради разматрања налаза и препорука ДРИ и унапређења одговорности и транспарентности у трош</w:t>
      </w:r>
      <w:r w:rsidR="0000259A" w:rsidRPr="0081082A">
        <w:rPr>
          <w:rFonts w:ascii="Times New Roman" w:hAnsi="Times New Roman" w:cs="Times New Roman"/>
          <w:sz w:val="24"/>
          <w:lang w:val="sr-Cyrl-RS"/>
        </w:rPr>
        <w:t>е</w:t>
      </w:r>
      <w:r w:rsidRPr="0081082A">
        <w:rPr>
          <w:rFonts w:ascii="Times New Roman" w:hAnsi="Times New Roman" w:cs="Times New Roman"/>
          <w:sz w:val="24"/>
          <w:lang w:val="sr-Cyrl-RS"/>
        </w:rPr>
        <w:t>њу јавних средстава. Планирани напредак у раду ДРИ који се односи на повећање обухвата и квалитета ревизије, омогућиће ревизију већег броја субјеката који ће добити препоруке</w:t>
      </w:r>
      <w:r w:rsidR="00003FA8" w:rsidRPr="0081082A">
        <w:rPr>
          <w:rFonts w:ascii="Times New Roman" w:hAnsi="Times New Roman" w:cs="Times New Roman"/>
          <w:sz w:val="24"/>
          <w:lang w:val="sr-Cyrl-RS"/>
        </w:rPr>
        <w:t xml:space="preserve"> по којима треба поступити</w:t>
      </w:r>
      <w:r w:rsidRPr="0081082A">
        <w:rPr>
          <w:rFonts w:ascii="Times New Roman" w:hAnsi="Times New Roman" w:cs="Times New Roman"/>
          <w:sz w:val="24"/>
          <w:lang w:val="sr-Cyrl-RS"/>
        </w:rPr>
        <w:t xml:space="preserve">. Овај позитиван тренд усвајања препорука и повећања утицаја екстерне ревизије биће велики допринос транспарентности и стабилности целокупног система јавних финансија, будући да ће законодавна власт учврстити своју улогу у надзору извршне власти када је реч о ефикасном и ефективном трошењу јавних средстава. </w:t>
      </w:r>
    </w:p>
    <w:p w:rsidR="00721398" w:rsidRPr="0081082A" w:rsidRDefault="00721398" w:rsidP="001340DA">
      <w:pPr>
        <w:spacing w:after="0" w:line="240" w:lineRule="auto"/>
        <w:jc w:val="both"/>
        <w:rPr>
          <w:rFonts w:ascii="Times New Roman" w:hAnsi="Times New Roman" w:cs="Times New Roman"/>
          <w:b/>
          <w:sz w:val="24"/>
          <w:u w:val="single"/>
          <w:lang w:val="sr-Cyrl-RS"/>
        </w:rPr>
      </w:pPr>
      <w:r w:rsidRPr="0081082A">
        <w:rPr>
          <w:rFonts w:ascii="Times New Roman" w:hAnsi="Times New Roman" w:cs="Times New Roman"/>
          <w:b/>
          <w:sz w:val="24"/>
          <w:u w:val="single"/>
          <w:lang w:val="sr-Cyrl-RS"/>
        </w:rPr>
        <w:t>Мера</w:t>
      </w:r>
      <w:r w:rsidR="000F039D" w:rsidRPr="0081082A">
        <w:rPr>
          <w:rFonts w:ascii="Times New Roman" w:hAnsi="Times New Roman" w:cs="Times New Roman"/>
          <w:b/>
          <w:sz w:val="24"/>
          <w:u w:val="single"/>
          <w:lang w:val="sr-Cyrl-RS"/>
        </w:rPr>
        <w:t xml:space="preserve"> 6.2 </w:t>
      </w:r>
      <w:r w:rsidRPr="0081082A">
        <w:rPr>
          <w:rFonts w:ascii="Times New Roman" w:hAnsi="Times New Roman" w:cs="Times New Roman"/>
          <w:b/>
          <w:sz w:val="24"/>
          <w:u w:val="single"/>
          <w:lang w:val="sr-Cyrl-RS"/>
        </w:rPr>
        <w:t>- Обезбеђ</w:t>
      </w:r>
      <w:r w:rsidR="000F039D" w:rsidRPr="0081082A">
        <w:rPr>
          <w:rFonts w:ascii="Times New Roman" w:hAnsi="Times New Roman" w:cs="Times New Roman"/>
          <w:b/>
          <w:sz w:val="24"/>
          <w:u w:val="single"/>
          <w:lang w:val="sr-Cyrl-RS"/>
        </w:rPr>
        <w:t>ивање</w:t>
      </w:r>
      <w:r w:rsidRPr="0081082A">
        <w:rPr>
          <w:rFonts w:ascii="Times New Roman" w:hAnsi="Times New Roman" w:cs="Times New Roman"/>
          <w:b/>
          <w:sz w:val="24"/>
          <w:u w:val="single"/>
          <w:lang w:val="sr-Cyrl-RS"/>
        </w:rPr>
        <w:t xml:space="preserve"> ефикасн</w:t>
      </w:r>
      <w:r w:rsidR="000F039D" w:rsidRPr="0081082A">
        <w:rPr>
          <w:rFonts w:ascii="Times New Roman" w:hAnsi="Times New Roman" w:cs="Times New Roman"/>
          <w:b/>
          <w:sz w:val="24"/>
          <w:u w:val="single"/>
          <w:lang w:val="sr-Cyrl-RS"/>
        </w:rPr>
        <w:t>ог</w:t>
      </w:r>
      <w:r w:rsidRPr="0081082A">
        <w:rPr>
          <w:rFonts w:ascii="Times New Roman" w:hAnsi="Times New Roman" w:cs="Times New Roman"/>
          <w:b/>
          <w:sz w:val="24"/>
          <w:u w:val="single"/>
          <w:lang w:val="sr-Cyrl-RS"/>
        </w:rPr>
        <w:t xml:space="preserve"> скупштинск</w:t>
      </w:r>
      <w:r w:rsidR="000F039D" w:rsidRPr="0081082A">
        <w:rPr>
          <w:rFonts w:ascii="Times New Roman" w:hAnsi="Times New Roman" w:cs="Times New Roman"/>
          <w:b/>
          <w:sz w:val="24"/>
          <w:u w:val="single"/>
          <w:lang w:val="sr-Cyrl-RS"/>
        </w:rPr>
        <w:t>ог</w:t>
      </w:r>
      <w:r w:rsidRPr="0081082A">
        <w:rPr>
          <w:rFonts w:ascii="Times New Roman" w:hAnsi="Times New Roman" w:cs="Times New Roman"/>
          <w:b/>
          <w:sz w:val="24"/>
          <w:u w:val="single"/>
          <w:lang w:val="sr-Cyrl-RS"/>
        </w:rPr>
        <w:t xml:space="preserve"> надзор</w:t>
      </w:r>
      <w:r w:rsidR="000F039D" w:rsidRPr="0081082A">
        <w:rPr>
          <w:rFonts w:ascii="Times New Roman" w:hAnsi="Times New Roman" w:cs="Times New Roman"/>
          <w:b/>
          <w:sz w:val="24"/>
          <w:u w:val="single"/>
          <w:lang w:val="sr-Cyrl-RS"/>
        </w:rPr>
        <w:t>а</w:t>
      </w:r>
      <w:r w:rsidRPr="0081082A">
        <w:rPr>
          <w:rFonts w:ascii="Times New Roman" w:hAnsi="Times New Roman" w:cs="Times New Roman"/>
          <w:b/>
          <w:sz w:val="24"/>
          <w:u w:val="single"/>
          <w:lang w:val="sr-Cyrl-RS"/>
        </w:rPr>
        <w:t xml:space="preserve"> над јавним финансијама</w:t>
      </w:r>
    </w:p>
    <w:p w:rsidR="00721398" w:rsidRPr="0081082A" w:rsidRDefault="00721398" w:rsidP="001340DA">
      <w:pPr>
        <w:spacing w:after="0" w:line="240" w:lineRule="auto"/>
        <w:ind w:firstLine="708"/>
        <w:jc w:val="both"/>
        <w:rPr>
          <w:rFonts w:ascii="Times New Roman" w:hAnsi="Times New Roman" w:cs="Times New Roman"/>
          <w:sz w:val="24"/>
          <w:szCs w:val="24"/>
          <w:shd w:val="clear" w:color="auto" w:fill="FFFFFF"/>
          <w:lang w:val="sr-Cyrl-RS"/>
        </w:rPr>
      </w:pPr>
      <w:r w:rsidRPr="0081082A">
        <w:rPr>
          <w:rFonts w:ascii="Times New Roman" w:hAnsi="Times New Roman" w:cs="Times New Roman"/>
          <w:sz w:val="24"/>
          <w:szCs w:val="24"/>
          <w:shd w:val="clear" w:color="auto" w:fill="FFFFFF"/>
          <w:lang w:val="sr-Cyrl-RS"/>
        </w:rPr>
        <w:t xml:space="preserve">У складу са препорукама </w:t>
      </w:r>
      <w:r w:rsidR="006C59B2" w:rsidRPr="0081082A">
        <w:rPr>
          <w:rFonts w:ascii="Times New Roman" w:hAnsi="Times New Roman" w:cs="Times New Roman"/>
          <w:i/>
          <w:iCs/>
          <w:sz w:val="24"/>
          <w:szCs w:val="24"/>
          <w:shd w:val="clear" w:color="auto" w:fill="FFFFFF"/>
          <w:lang w:val="sr-Cyrl-RS"/>
        </w:rPr>
        <w:t>PEFA</w:t>
      </w:r>
      <w:r w:rsidRPr="0081082A">
        <w:rPr>
          <w:rFonts w:ascii="Times New Roman" w:hAnsi="Times New Roman" w:cs="Times New Roman"/>
          <w:sz w:val="24"/>
          <w:szCs w:val="24"/>
          <w:shd w:val="clear" w:color="auto" w:fill="FFFFFF"/>
          <w:lang w:val="sr-Cyrl-RS"/>
        </w:rPr>
        <w:t xml:space="preserve"> процене за </w:t>
      </w:r>
      <w:r w:rsidR="00F641AE" w:rsidRPr="0081082A">
        <w:rPr>
          <w:rFonts w:ascii="Times New Roman" w:hAnsi="Times New Roman" w:cs="Times New Roman"/>
          <w:sz w:val="24"/>
          <w:szCs w:val="24"/>
          <w:lang w:val="sr-Cyrl-RS"/>
        </w:rPr>
        <w:t>Републику Србију</w:t>
      </w:r>
      <w:r w:rsidRPr="0081082A">
        <w:rPr>
          <w:rFonts w:ascii="Times New Roman" w:hAnsi="Times New Roman" w:cs="Times New Roman"/>
          <w:sz w:val="24"/>
          <w:szCs w:val="24"/>
          <w:shd w:val="clear" w:color="auto" w:fill="FFFFFF"/>
          <w:lang w:val="sr-Cyrl-RS"/>
        </w:rPr>
        <w:t xml:space="preserve">, Одбор ће у наредном петогодишњем </w:t>
      </w:r>
      <w:r w:rsidRPr="0081082A">
        <w:rPr>
          <w:rFonts w:ascii="Times New Roman" w:hAnsi="Times New Roman"/>
          <w:sz w:val="24"/>
          <w:lang w:val="sr-Cyrl-RS"/>
        </w:rPr>
        <w:t>периоду</w:t>
      </w:r>
      <w:r w:rsidRPr="0081082A">
        <w:rPr>
          <w:rFonts w:ascii="Times New Roman" w:hAnsi="Times New Roman" w:cs="Times New Roman"/>
          <w:sz w:val="24"/>
          <w:szCs w:val="24"/>
          <w:shd w:val="clear" w:color="auto" w:fill="FFFFFF"/>
          <w:lang w:val="sr-Cyrl-RS"/>
        </w:rPr>
        <w:t xml:space="preserve"> наставити да развија своју контролну функцију, посебно одржавањем седница </w:t>
      </w:r>
      <w:r w:rsidR="009C082D" w:rsidRPr="0081082A">
        <w:rPr>
          <w:rFonts w:ascii="Times New Roman" w:hAnsi="Times New Roman" w:cs="Times New Roman"/>
          <w:sz w:val="24"/>
          <w:szCs w:val="24"/>
          <w:shd w:val="clear" w:color="auto" w:fill="FFFFFF"/>
          <w:lang w:val="sr-Cyrl-RS"/>
        </w:rPr>
        <w:t xml:space="preserve">Одбора и </w:t>
      </w:r>
      <w:r w:rsidRPr="0081082A">
        <w:rPr>
          <w:rFonts w:ascii="Times New Roman" w:hAnsi="Times New Roman" w:cs="Times New Roman"/>
          <w:sz w:val="24"/>
          <w:szCs w:val="24"/>
          <w:shd w:val="clear" w:color="auto" w:fill="FFFFFF"/>
          <w:lang w:val="sr-Cyrl-RS"/>
        </w:rPr>
        <w:t>Пододбора на којима ће бити разматрани извештаји ДРИ о обављеним ревизијама уз присуство представника институције</w:t>
      </w:r>
      <w:r w:rsidR="0054267B" w:rsidRPr="0081082A">
        <w:rPr>
          <w:rFonts w:ascii="Times New Roman" w:hAnsi="Times New Roman" w:cs="Times New Roman"/>
          <w:sz w:val="24"/>
          <w:szCs w:val="24"/>
          <w:shd w:val="clear" w:color="auto" w:fill="FFFFFF"/>
          <w:lang w:val="sr-Cyrl-RS"/>
        </w:rPr>
        <w:t xml:space="preserve"> </w:t>
      </w:r>
      <w:r w:rsidRPr="0081082A">
        <w:rPr>
          <w:rFonts w:ascii="Times New Roman" w:hAnsi="Times New Roman" w:cs="Times New Roman"/>
          <w:sz w:val="24"/>
          <w:szCs w:val="24"/>
          <w:shd w:val="clear" w:color="auto" w:fill="FFFFFF"/>
          <w:lang w:val="sr-Cyrl-RS"/>
        </w:rPr>
        <w:t>и субјеката ревизије и, по потреби, представник</w:t>
      </w:r>
      <w:r w:rsidRPr="0081082A">
        <w:rPr>
          <w:rFonts w:ascii="Times New Roman" w:hAnsi="Times New Roman"/>
          <w:sz w:val="24"/>
          <w:shd w:val="clear" w:color="auto" w:fill="FFFFFF"/>
          <w:lang w:val="sr-Cyrl-RS"/>
        </w:rPr>
        <w:t>a</w:t>
      </w:r>
      <w:r w:rsidRPr="0081082A">
        <w:rPr>
          <w:rFonts w:ascii="Times New Roman" w:hAnsi="Times New Roman" w:cs="Times New Roman"/>
          <w:sz w:val="24"/>
          <w:szCs w:val="24"/>
          <w:shd w:val="clear" w:color="auto" w:fill="FFFFFF"/>
          <w:lang w:val="sr-Cyrl-RS"/>
        </w:rPr>
        <w:t xml:space="preserve"> других релевантних органа, организација и институција на централном и локалном нивоу власти.</w:t>
      </w:r>
      <w:r w:rsidR="00D441FD" w:rsidRPr="0081082A">
        <w:rPr>
          <w:rFonts w:ascii="Times New Roman" w:hAnsi="Times New Roman" w:cs="Times New Roman"/>
          <w:sz w:val="24"/>
          <w:szCs w:val="24"/>
          <w:shd w:val="clear" w:color="auto" w:fill="FFFFFF"/>
          <w:lang w:val="sr-Cyrl-RS"/>
        </w:rPr>
        <w:t xml:space="preserve"> </w:t>
      </w:r>
      <w:r w:rsidR="00D441FD" w:rsidRPr="0081082A">
        <w:rPr>
          <w:rFonts w:ascii="Times New Roman" w:hAnsi="Times New Roman"/>
          <w:sz w:val="24"/>
          <w:lang w:val="sr-Cyrl-RS"/>
        </w:rPr>
        <w:t>У циљу јачања скупштинског надзора над јавним финансијама</w:t>
      </w:r>
      <w:r w:rsidR="0054267B" w:rsidRPr="0081082A">
        <w:rPr>
          <w:rFonts w:ascii="Times New Roman" w:hAnsi="Times New Roman"/>
          <w:sz w:val="24"/>
          <w:lang w:val="sr-Cyrl-RS"/>
        </w:rPr>
        <w:t>,</w:t>
      </w:r>
      <w:r w:rsidR="00D441FD" w:rsidRPr="0081082A">
        <w:rPr>
          <w:rFonts w:ascii="Times New Roman" w:hAnsi="Times New Roman"/>
          <w:sz w:val="24"/>
          <w:lang w:val="sr-Cyrl-RS"/>
        </w:rPr>
        <w:t xml:space="preserve"> Одбор ће пратити извршење мера наведених у закључку Народне скупштине поводом усвајања Извештаја о раду </w:t>
      </w:r>
      <w:r w:rsidR="00600253" w:rsidRPr="0081082A">
        <w:rPr>
          <w:rFonts w:ascii="Times New Roman" w:hAnsi="Times New Roman"/>
          <w:sz w:val="24"/>
          <w:lang w:val="sr-Cyrl-RS"/>
        </w:rPr>
        <w:t>ДРИ</w:t>
      </w:r>
      <w:r w:rsidR="00D441FD" w:rsidRPr="0081082A">
        <w:rPr>
          <w:rFonts w:ascii="Times New Roman" w:hAnsi="Times New Roman"/>
          <w:sz w:val="24"/>
          <w:lang w:val="sr-Cyrl-RS"/>
        </w:rPr>
        <w:t>.</w:t>
      </w:r>
      <w:r w:rsidR="00A60906" w:rsidRPr="0081082A">
        <w:rPr>
          <w:rFonts w:ascii="Times New Roman" w:hAnsi="Times New Roman"/>
          <w:sz w:val="24"/>
          <w:lang w:val="sr-Cyrl-RS"/>
        </w:rPr>
        <w:t xml:space="preserve"> </w:t>
      </w:r>
      <w:r w:rsidR="00D441FD" w:rsidRPr="0081082A">
        <w:rPr>
          <w:rFonts w:ascii="Times New Roman" w:hAnsi="Times New Roman"/>
          <w:sz w:val="24"/>
          <w:lang w:val="sr-Cyrl-RS"/>
        </w:rPr>
        <w:t xml:space="preserve">Извршење мера наведених у закључку Народне скупштине односи се на припремање нових прописа и подзаконских аката или на измене и допуне важећих прописа наведених у годишњем извештају  ДРИ које би Влада требало да достави у Народну </w:t>
      </w:r>
      <w:r w:rsidR="00D441FD" w:rsidRPr="0081082A">
        <w:rPr>
          <w:rFonts w:ascii="Times New Roman" w:hAnsi="Times New Roman"/>
          <w:sz w:val="24"/>
          <w:lang w:val="sr-Cyrl-RS"/>
        </w:rPr>
        <w:lastRenderedPageBreak/>
        <w:t>скупштину на разматрање и усвајање. Како би се повећала ефикасност надзора и праћење спровођења закључака Народне скупштине чије је извршење у надлежности Владе</w:t>
      </w:r>
      <w:r w:rsidR="0054267B" w:rsidRPr="0081082A">
        <w:rPr>
          <w:rFonts w:ascii="Times New Roman" w:hAnsi="Times New Roman"/>
          <w:sz w:val="24"/>
          <w:lang w:val="sr-Cyrl-RS"/>
        </w:rPr>
        <w:t xml:space="preserve"> </w:t>
      </w:r>
      <w:r w:rsidR="00D441FD" w:rsidRPr="0081082A">
        <w:rPr>
          <w:rFonts w:ascii="Times New Roman" w:hAnsi="Times New Roman"/>
          <w:sz w:val="24"/>
          <w:lang w:val="sr-Cyrl-RS"/>
        </w:rPr>
        <w:t>-</w:t>
      </w:r>
      <w:r w:rsidR="0054267B" w:rsidRPr="0081082A">
        <w:rPr>
          <w:rFonts w:ascii="Times New Roman" w:hAnsi="Times New Roman"/>
          <w:sz w:val="24"/>
          <w:lang w:val="sr-Cyrl-RS"/>
        </w:rPr>
        <w:t xml:space="preserve"> </w:t>
      </w:r>
      <w:r w:rsidR="00D441FD" w:rsidRPr="0081082A">
        <w:rPr>
          <w:rFonts w:ascii="Times New Roman" w:hAnsi="Times New Roman"/>
          <w:sz w:val="24"/>
          <w:lang w:val="sr-Cyrl-RS"/>
        </w:rPr>
        <w:t>Министарства финансија, Министарство ће периодично подносити извештај о предузимању потребних мера по закључку Народне скупштине поводом усвајања годишњег извештаја о раду ДРИ. У истом циљу се планира и</w:t>
      </w:r>
      <w:r w:rsidR="008C0297" w:rsidRPr="0081082A">
        <w:rPr>
          <w:rFonts w:ascii="Times New Roman" w:hAnsi="Times New Roman"/>
          <w:sz w:val="24"/>
          <w:lang w:val="sr-Cyrl-RS"/>
        </w:rPr>
        <w:t xml:space="preserve"> ангажовање према потреби стручних лица</w:t>
      </w:r>
      <w:r w:rsidR="00D441FD" w:rsidRPr="0081082A">
        <w:rPr>
          <w:rFonts w:ascii="Times New Roman" w:hAnsi="Times New Roman"/>
          <w:sz w:val="24"/>
          <w:lang w:val="sr-Cyrl-RS"/>
        </w:rPr>
        <w:t xml:space="preserve"> који би пружи</w:t>
      </w:r>
      <w:r w:rsidR="008C0297" w:rsidRPr="0081082A">
        <w:rPr>
          <w:rFonts w:ascii="Times New Roman" w:hAnsi="Times New Roman"/>
          <w:sz w:val="24"/>
          <w:lang w:val="sr-Cyrl-RS"/>
        </w:rPr>
        <w:t>ли</w:t>
      </w:r>
      <w:r w:rsidR="00D441FD" w:rsidRPr="0081082A">
        <w:rPr>
          <w:rFonts w:ascii="Times New Roman" w:hAnsi="Times New Roman"/>
          <w:sz w:val="24"/>
          <w:lang w:val="sr-Cyrl-RS"/>
        </w:rPr>
        <w:t xml:space="preserve"> стручну подршку члановима Пододбора, односно Одбора</w:t>
      </w:r>
      <w:r w:rsidR="0054267B" w:rsidRPr="0081082A">
        <w:rPr>
          <w:rFonts w:ascii="Times New Roman" w:hAnsi="Times New Roman"/>
          <w:sz w:val="24"/>
          <w:lang w:val="sr-Cyrl-RS"/>
        </w:rPr>
        <w:t>,</w:t>
      </w:r>
      <w:r w:rsidR="00D441FD" w:rsidRPr="0081082A">
        <w:rPr>
          <w:rFonts w:ascii="Times New Roman" w:hAnsi="Times New Roman"/>
          <w:sz w:val="24"/>
          <w:lang w:val="sr-Cyrl-RS"/>
        </w:rPr>
        <w:t xml:space="preserve"> у разматрању извештаја </w:t>
      </w:r>
      <w:r w:rsidR="00600253" w:rsidRPr="0081082A">
        <w:rPr>
          <w:rFonts w:ascii="Times New Roman" w:hAnsi="Times New Roman"/>
          <w:sz w:val="24"/>
          <w:lang w:val="sr-Cyrl-RS"/>
        </w:rPr>
        <w:t>ДРИ</w:t>
      </w:r>
      <w:r w:rsidR="00D441FD" w:rsidRPr="0081082A">
        <w:rPr>
          <w:rFonts w:ascii="Times New Roman" w:hAnsi="Times New Roman"/>
          <w:sz w:val="24"/>
          <w:lang w:val="sr-Cyrl-RS"/>
        </w:rPr>
        <w:t xml:space="preserve">. </w:t>
      </w:r>
      <w:r w:rsidR="008C0297" w:rsidRPr="0081082A">
        <w:rPr>
          <w:rFonts w:ascii="Times New Roman" w:hAnsi="Times New Roman"/>
          <w:sz w:val="24"/>
          <w:lang w:val="sr-Cyrl-RS"/>
        </w:rPr>
        <w:t xml:space="preserve">Експерти би, у зависности од потреба, били ангажовани </w:t>
      </w:r>
      <w:r w:rsidR="00D441FD" w:rsidRPr="0081082A">
        <w:rPr>
          <w:rFonts w:ascii="Times New Roman" w:hAnsi="Times New Roman"/>
          <w:sz w:val="24"/>
          <w:lang w:val="sr-Cyrl-RS"/>
        </w:rPr>
        <w:t>из редо</w:t>
      </w:r>
      <w:r w:rsidR="008C0297" w:rsidRPr="0081082A">
        <w:rPr>
          <w:rFonts w:ascii="Times New Roman" w:hAnsi="Times New Roman"/>
          <w:sz w:val="24"/>
          <w:lang w:val="sr-Cyrl-RS"/>
        </w:rPr>
        <w:t>в</w:t>
      </w:r>
      <w:r w:rsidR="00D441FD" w:rsidRPr="0081082A">
        <w:rPr>
          <w:rFonts w:ascii="Times New Roman" w:hAnsi="Times New Roman"/>
          <w:sz w:val="24"/>
          <w:lang w:val="sr-Cyrl-RS"/>
        </w:rPr>
        <w:t>а представника академске заједнице</w:t>
      </w:r>
      <w:r w:rsidR="0054267B" w:rsidRPr="0081082A">
        <w:rPr>
          <w:rFonts w:ascii="Times New Roman" w:hAnsi="Times New Roman"/>
          <w:sz w:val="24"/>
          <w:lang w:val="sr-Cyrl-RS"/>
        </w:rPr>
        <w:t>,</w:t>
      </w:r>
      <w:r w:rsidR="00D441FD" w:rsidRPr="0081082A">
        <w:rPr>
          <w:rFonts w:ascii="Times New Roman" w:hAnsi="Times New Roman"/>
          <w:sz w:val="24"/>
          <w:lang w:val="sr-Cyrl-RS"/>
        </w:rPr>
        <w:t xml:space="preserve"> из области економије, Канцеларије за ревизију система управљања средствима ЕУ, Коморе овлашћених ревизора, експерти СИГМА,</w:t>
      </w:r>
      <w:r w:rsidR="00A60906" w:rsidRPr="0081082A">
        <w:rPr>
          <w:rFonts w:ascii="Times New Roman" w:hAnsi="Times New Roman"/>
          <w:sz w:val="24"/>
          <w:lang w:val="sr-Cyrl-RS"/>
        </w:rPr>
        <w:t xml:space="preserve"> </w:t>
      </w:r>
      <w:r w:rsidR="00D441FD" w:rsidRPr="0081082A">
        <w:rPr>
          <w:rFonts w:ascii="Times New Roman" w:hAnsi="Times New Roman"/>
          <w:sz w:val="24"/>
          <w:lang w:val="sr-Cyrl-RS"/>
        </w:rPr>
        <w:t>ГИЗ, Делегације Европске уније.</w:t>
      </w:r>
      <w:r w:rsidRPr="0081082A">
        <w:rPr>
          <w:rFonts w:ascii="Times New Roman" w:hAnsi="Times New Roman" w:cs="Times New Roman"/>
          <w:sz w:val="24"/>
          <w:szCs w:val="24"/>
          <w:shd w:val="clear" w:color="auto" w:fill="FFFFFF"/>
          <w:lang w:val="sr-Cyrl-RS"/>
        </w:rPr>
        <w:t xml:space="preserve"> На овај начин, осигураће се бољи надзор и транспарентније трошење јавних средстава од стране корисника, што ће оснажити целокупан систем јавних финансија.</w:t>
      </w:r>
    </w:p>
    <w:p w:rsidR="00721398" w:rsidRPr="0081082A" w:rsidRDefault="00721398" w:rsidP="007E784B">
      <w:pPr>
        <w:pStyle w:val="CommentText"/>
        <w:ind w:firstLine="708"/>
        <w:jc w:val="both"/>
        <w:rPr>
          <w:rFonts w:ascii="Times New Roman" w:hAnsi="Times New Roman"/>
          <w:sz w:val="24"/>
          <w:lang w:val="sr-Cyrl-RS"/>
        </w:rPr>
      </w:pPr>
      <w:r w:rsidRPr="0081082A">
        <w:rPr>
          <w:rFonts w:ascii="Times New Roman" w:hAnsi="Times New Roman" w:cs="Times New Roman"/>
          <w:sz w:val="24"/>
          <w:szCs w:val="24"/>
          <w:shd w:val="clear" w:color="auto" w:fill="FFFFFF"/>
          <w:lang w:val="sr-Cyrl-RS"/>
        </w:rPr>
        <w:t xml:space="preserve">Поред препорука да се осигура извршење одговорности извршне власти према Народној скупштини,  </w:t>
      </w:r>
      <w:r w:rsidR="007D2F5C" w:rsidRPr="0081082A">
        <w:rPr>
          <w:rFonts w:ascii="Times New Roman" w:hAnsi="Times New Roman" w:cs="Times New Roman"/>
          <w:i/>
          <w:iCs/>
          <w:sz w:val="24"/>
          <w:szCs w:val="24"/>
          <w:shd w:val="clear" w:color="auto" w:fill="FFFFFF"/>
          <w:lang w:val="sr-Cyrl-RS"/>
        </w:rPr>
        <w:t>PEFA</w:t>
      </w:r>
      <w:r w:rsidRPr="0081082A">
        <w:rPr>
          <w:rFonts w:ascii="Times New Roman" w:hAnsi="Times New Roman" w:cs="Times New Roman"/>
          <w:sz w:val="24"/>
          <w:szCs w:val="24"/>
          <w:shd w:val="clear" w:color="auto" w:fill="FFFFFF"/>
          <w:lang w:val="sr-Cyrl-RS"/>
        </w:rPr>
        <w:t xml:space="preserve"> процена сугерисала је стварање могућности за учешће јавности у припреми и надзору над буџетом. </w:t>
      </w:r>
      <w:r w:rsidRPr="0081082A">
        <w:rPr>
          <w:rFonts w:ascii="Times New Roman" w:hAnsi="Times New Roman"/>
          <w:sz w:val="24"/>
          <w:lang w:val="sr-Cyrl-RS"/>
        </w:rPr>
        <w:t>У складу са тим, поред корака које ће предузети у погледу јачања своје контролне функције</w:t>
      </w:r>
      <w:r w:rsidR="00815B5E" w:rsidRPr="0081082A">
        <w:rPr>
          <w:rFonts w:ascii="Times New Roman" w:hAnsi="Times New Roman"/>
          <w:sz w:val="24"/>
          <w:lang w:val="sr-Cyrl-RS"/>
        </w:rPr>
        <w:t xml:space="preserve"> над радом извршне власти, Одбор</w:t>
      </w:r>
      <w:r w:rsidRPr="0081082A">
        <w:rPr>
          <w:rFonts w:ascii="Times New Roman" w:hAnsi="Times New Roman" w:cs="Times New Roman"/>
          <w:sz w:val="24"/>
          <w:szCs w:val="24"/>
          <w:shd w:val="clear" w:color="auto" w:fill="FFFFFF"/>
          <w:lang w:val="sr-Cyrl-RS"/>
        </w:rPr>
        <w:t xml:space="preserve"> Народн</w:t>
      </w:r>
      <w:r w:rsidR="00A324E3" w:rsidRPr="0081082A">
        <w:rPr>
          <w:rFonts w:ascii="Times New Roman" w:hAnsi="Times New Roman" w:cs="Times New Roman"/>
          <w:sz w:val="24"/>
          <w:szCs w:val="24"/>
          <w:shd w:val="clear" w:color="auto" w:fill="FFFFFF"/>
          <w:lang w:val="sr-Cyrl-RS"/>
        </w:rPr>
        <w:t>е</w:t>
      </w:r>
      <w:r w:rsidRPr="0081082A">
        <w:rPr>
          <w:rFonts w:ascii="Times New Roman" w:hAnsi="Times New Roman" w:cs="Times New Roman"/>
          <w:sz w:val="24"/>
          <w:szCs w:val="24"/>
          <w:shd w:val="clear" w:color="auto" w:fill="FFFFFF"/>
          <w:lang w:val="sr-Cyrl-RS"/>
        </w:rPr>
        <w:t xml:space="preserve"> скупштина планира да у наредном периоду организује јавна слушања поводом представљања </w:t>
      </w:r>
      <w:r w:rsidR="005F3255" w:rsidRPr="0081082A">
        <w:rPr>
          <w:rFonts w:ascii="Times New Roman" w:hAnsi="Times New Roman" w:cs="Times New Roman"/>
          <w:sz w:val="24"/>
          <w:szCs w:val="24"/>
          <w:shd w:val="clear" w:color="auto" w:fill="FFFFFF"/>
          <w:lang w:val="sr-Cyrl-RS"/>
        </w:rPr>
        <w:t>п</w:t>
      </w:r>
      <w:r w:rsidRPr="0081082A">
        <w:rPr>
          <w:rFonts w:ascii="Times New Roman" w:hAnsi="Times New Roman" w:cs="Times New Roman"/>
          <w:sz w:val="24"/>
          <w:szCs w:val="24"/>
          <w:shd w:val="clear" w:color="auto" w:fill="FFFFFF"/>
          <w:lang w:val="sr-Cyrl-RS"/>
        </w:rPr>
        <w:t xml:space="preserve">редлога </w:t>
      </w:r>
      <w:r w:rsidR="00324CC5" w:rsidRPr="0081082A">
        <w:rPr>
          <w:rFonts w:ascii="Times New Roman" w:hAnsi="Times New Roman" w:cs="Times New Roman"/>
          <w:sz w:val="24"/>
          <w:szCs w:val="24"/>
          <w:shd w:val="clear" w:color="auto" w:fill="FFFFFF"/>
          <w:lang w:val="sr-Cyrl-RS"/>
        </w:rPr>
        <w:t>з</w:t>
      </w:r>
      <w:r w:rsidRPr="0081082A">
        <w:rPr>
          <w:rFonts w:ascii="Times New Roman" w:hAnsi="Times New Roman" w:cs="Times New Roman"/>
          <w:sz w:val="24"/>
          <w:szCs w:val="24"/>
          <w:shd w:val="clear" w:color="auto" w:fill="FFFFFF"/>
          <w:lang w:val="sr-Cyrl-RS"/>
        </w:rPr>
        <w:t xml:space="preserve">акона о буџету </w:t>
      </w:r>
      <w:r w:rsidR="005F3255" w:rsidRPr="0081082A">
        <w:rPr>
          <w:rFonts w:ascii="Times New Roman" w:hAnsi="Times New Roman" w:cs="Times New Roman"/>
          <w:sz w:val="24"/>
          <w:szCs w:val="24"/>
          <w:shd w:val="clear" w:color="auto" w:fill="FFFFFF"/>
          <w:lang w:val="sr-Cyrl-RS"/>
        </w:rPr>
        <w:t>Републике Србије</w:t>
      </w:r>
      <w:r w:rsidR="004D2798">
        <w:rPr>
          <w:rFonts w:ascii="Times New Roman" w:hAnsi="Times New Roman" w:cs="Times New Roman"/>
          <w:sz w:val="24"/>
          <w:szCs w:val="24"/>
          <w:shd w:val="clear" w:color="auto" w:fill="FFFFFF"/>
          <w:lang w:val="sr-Cyrl-RS"/>
        </w:rPr>
        <w:t xml:space="preserve"> </w:t>
      </w:r>
      <w:r w:rsidRPr="0081082A">
        <w:rPr>
          <w:rFonts w:ascii="Times New Roman" w:hAnsi="Times New Roman" w:cs="Times New Roman"/>
          <w:sz w:val="24"/>
          <w:szCs w:val="24"/>
          <w:shd w:val="clear" w:color="auto" w:fill="FFFFFF"/>
          <w:lang w:val="sr-Cyrl-RS"/>
        </w:rPr>
        <w:t xml:space="preserve">и </w:t>
      </w:r>
      <w:r w:rsidR="005F3255" w:rsidRPr="0081082A">
        <w:rPr>
          <w:rFonts w:ascii="Times New Roman" w:hAnsi="Times New Roman" w:cs="Times New Roman"/>
          <w:sz w:val="24"/>
          <w:szCs w:val="24"/>
          <w:shd w:val="clear" w:color="auto" w:fill="FFFFFF"/>
          <w:lang w:val="sr-Cyrl-RS"/>
        </w:rPr>
        <w:t>п</w:t>
      </w:r>
      <w:r w:rsidRPr="0081082A">
        <w:rPr>
          <w:rFonts w:ascii="Times New Roman" w:hAnsi="Times New Roman" w:cs="Times New Roman"/>
          <w:sz w:val="24"/>
          <w:szCs w:val="24"/>
          <w:shd w:val="clear" w:color="auto" w:fill="FFFFFF"/>
          <w:lang w:val="sr-Cyrl-RS"/>
        </w:rPr>
        <w:t xml:space="preserve">редлога </w:t>
      </w:r>
      <w:r w:rsidR="00324CC5" w:rsidRPr="0081082A">
        <w:rPr>
          <w:rFonts w:ascii="Times New Roman" w:hAnsi="Times New Roman" w:cs="Times New Roman"/>
          <w:sz w:val="24"/>
          <w:szCs w:val="24"/>
          <w:shd w:val="clear" w:color="auto" w:fill="FFFFFF"/>
          <w:lang w:val="sr-Cyrl-RS"/>
        </w:rPr>
        <w:t>з</w:t>
      </w:r>
      <w:r w:rsidRPr="0081082A">
        <w:rPr>
          <w:rFonts w:ascii="Times New Roman" w:hAnsi="Times New Roman" w:cs="Times New Roman"/>
          <w:sz w:val="24"/>
          <w:szCs w:val="24"/>
          <w:shd w:val="clear" w:color="auto" w:fill="FFFFFF"/>
          <w:lang w:val="sr-Cyrl-RS"/>
        </w:rPr>
        <w:t xml:space="preserve">акона о завршном рачуну буџета </w:t>
      </w:r>
      <w:r w:rsidR="00324CC5" w:rsidRPr="0081082A">
        <w:rPr>
          <w:rFonts w:ascii="Times New Roman" w:hAnsi="Times New Roman" w:cs="Times New Roman"/>
          <w:sz w:val="24"/>
          <w:szCs w:val="24"/>
          <w:shd w:val="clear" w:color="auto" w:fill="FFFFFF"/>
          <w:lang w:val="sr-Cyrl-RS"/>
        </w:rPr>
        <w:t>Р</w:t>
      </w:r>
      <w:r w:rsidR="005F3255" w:rsidRPr="0081082A">
        <w:rPr>
          <w:rFonts w:ascii="Times New Roman" w:hAnsi="Times New Roman" w:cs="Times New Roman"/>
          <w:sz w:val="24"/>
          <w:szCs w:val="24"/>
          <w:shd w:val="clear" w:color="auto" w:fill="FFFFFF"/>
          <w:lang w:val="sr-Cyrl-RS"/>
        </w:rPr>
        <w:t xml:space="preserve">епублике </w:t>
      </w:r>
      <w:r w:rsidR="00324CC5" w:rsidRPr="0081082A">
        <w:rPr>
          <w:rFonts w:ascii="Times New Roman" w:hAnsi="Times New Roman" w:cs="Times New Roman"/>
          <w:sz w:val="24"/>
          <w:szCs w:val="24"/>
          <w:shd w:val="clear" w:color="auto" w:fill="FFFFFF"/>
          <w:lang w:val="sr-Cyrl-RS"/>
        </w:rPr>
        <w:t>С</w:t>
      </w:r>
      <w:r w:rsidR="005F3255" w:rsidRPr="0081082A">
        <w:rPr>
          <w:rFonts w:ascii="Times New Roman" w:hAnsi="Times New Roman" w:cs="Times New Roman"/>
          <w:sz w:val="24"/>
          <w:szCs w:val="24"/>
          <w:shd w:val="clear" w:color="auto" w:fill="FFFFFF"/>
          <w:lang w:val="sr-Cyrl-RS"/>
        </w:rPr>
        <w:t>рбије</w:t>
      </w:r>
      <w:r w:rsidRPr="0081082A">
        <w:rPr>
          <w:rFonts w:ascii="Times New Roman" w:hAnsi="Times New Roman" w:cs="Times New Roman"/>
          <w:sz w:val="24"/>
          <w:szCs w:val="24"/>
          <w:shd w:val="clear" w:color="auto" w:fill="FFFFFF"/>
          <w:lang w:val="sr-Cyrl-RS"/>
        </w:rPr>
        <w:t xml:space="preserve">. </w:t>
      </w:r>
      <w:r w:rsidR="00B84A34" w:rsidRPr="0081082A">
        <w:rPr>
          <w:rFonts w:ascii="Times New Roman" w:hAnsi="Times New Roman" w:cs="Times New Roman"/>
          <w:sz w:val="24"/>
          <w:szCs w:val="24"/>
          <w:shd w:val="clear" w:color="auto" w:fill="FFFFFF"/>
          <w:lang w:val="sr-Cyrl-RS"/>
        </w:rPr>
        <w:t>Када предлог било ког закона буде достављен у скупштинску процедуру, надлежни Одбор може организовати јавно слушање ради прибављања информација, односно стручних мишљења о предлогу закона, разјашњења појединих решења или питања значајних за примену предложеног закона. У том смислу Одбор ће у наредном периоду организовати јавна слушања поводом представљања предлога закона о буџету и предлога закона о завршном рачуну буџета, како би народним посланицима и другим учесницима било омогућено да поставе питања и добију благовремена обавештења пре почетка расправе на пленарној седници Народне скупштине.</w:t>
      </w:r>
    </w:p>
    <w:p w:rsidR="007E784B" w:rsidRPr="0081082A" w:rsidRDefault="00721398" w:rsidP="00E21EC6">
      <w:pPr>
        <w:spacing w:after="100" w:afterAutospacing="1" w:line="240" w:lineRule="auto"/>
        <w:ind w:left="360"/>
        <w:jc w:val="both"/>
        <w:rPr>
          <w:rFonts w:ascii="Times New Roman" w:hAnsi="Times New Roman" w:cs="Times New Roman"/>
          <w:lang w:val="sr-Cyrl-RS"/>
        </w:rPr>
      </w:pPr>
      <w:r w:rsidRPr="0081082A">
        <w:rPr>
          <w:rFonts w:ascii="Times New Roman" w:hAnsi="Times New Roman" w:cs="Times New Roman"/>
          <w:lang w:val="sr-Cyrl-RS"/>
        </w:rPr>
        <w:t xml:space="preserve">  </w:t>
      </w:r>
    </w:p>
    <w:p w:rsidR="008F63C3" w:rsidRPr="0081082A" w:rsidRDefault="008F63C3" w:rsidP="008F63C3">
      <w:pPr>
        <w:pStyle w:val="Heading2"/>
        <w:jc w:val="center"/>
        <w:rPr>
          <w:rFonts w:ascii="Times New Roman" w:hAnsi="Times New Roman"/>
          <w:sz w:val="24"/>
          <w:lang w:val="sr-Cyrl-RS"/>
        </w:rPr>
      </w:pPr>
      <w:bookmarkStart w:id="50" w:name="_Toc72488830"/>
      <w:r w:rsidRPr="0081082A">
        <w:rPr>
          <w:rFonts w:ascii="Times New Roman" w:hAnsi="Times New Roman"/>
          <w:sz w:val="24"/>
          <w:lang w:val="sr-Cyrl-RS"/>
        </w:rPr>
        <w:t xml:space="preserve">ПРОЦЕНА НЕОПХОДНИХ ФИНАНСИЈСКИХ СРЕДСТАВА ЗА </w:t>
      </w:r>
      <w:r w:rsidRPr="0081082A">
        <w:rPr>
          <w:rFonts w:ascii="Times New Roman" w:eastAsia="Calibri" w:hAnsi="Times New Roman" w:cs="Times New Roman"/>
          <w:sz w:val="24"/>
          <w:szCs w:val="24"/>
          <w:lang w:val="sr-Cyrl-RS"/>
        </w:rPr>
        <w:t>спровођење</w:t>
      </w:r>
      <w:r w:rsidRPr="0081082A">
        <w:rPr>
          <w:rFonts w:ascii="Times New Roman" w:hAnsi="Times New Roman"/>
          <w:sz w:val="24"/>
          <w:lang w:val="sr-Cyrl-RS"/>
        </w:rPr>
        <w:t xml:space="preserve"> ПРОГРАМА</w:t>
      </w:r>
      <w:r w:rsidRPr="0081082A">
        <w:rPr>
          <w:rFonts w:ascii="Times New Roman" w:eastAsia="Calibri" w:hAnsi="Times New Roman" w:cs="Times New Roman"/>
          <w:sz w:val="24"/>
          <w:szCs w:val="24"/>
          <w:lang w:val="sr-Cyrl-RS"/>
        </w:rPr>
        <w:t xml:space="preserve"> реформе управљања јавним финансијама 2021-2025</w:t>
      </w:r>
      <w:bookmarkEnd w:id="50"/>
    </w:p>
    <w:p w:rsidR="00010971" w:rsidRPr="0081082A" w:rsidRDefault="006E3A5A" w:rsidP="00D74DBA">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 xml:space="preserve">Саставни део ПРУЈФ за период од 2021. до 2025. године је и Акциони план за његово спровођење </w:t>
      </w:r>
      <w:r w:rsidR="00133DA0" w:rsidRPr="0081082A">
        <w:rPr>
          <w:rFonts w:ascii="Times New Roman" w:hAnsi="Times New Roman" w:cs="Times New Roman"/>
          <w:sz w:val="24"/>
          <w:szCs w:val="24"/>
          <w:lang w:val="sr-Cyrl-RS"/>
        </w:rPr>
        <w:t>за исти период. Акциони план садржи разрађене мере и активности које доприносе остварива</w:t>
      </w:r>
      <w:r w:rsidR="00B25F76" w:rsidRPr="0081082A">
        <w:rPr>
          <w:rFonts w:ascii="Times New Roman" w:hAnsi="Times New Roman" w:cs="Times New Roman"/>
          <w:sz w:val="24"/>
          <w:szCs w:val="24"/>
          <w:lang w:val="sr-Cyrl-RS"/>
        </w:rPr>
        <w:t>њ</w:t>
      </w:r>
      <w:r w:rsidR="00133DA0" w:rsidRPr="0081082A">
        <w:rPr>
          <w:rFonts w:ascii="Times New Roman" w:hAnsi="Times New Roman" w:cs="Times New Roman"/>
          <w:sz w:val="24"/>
          <w:szCs w:val="24"/>
          <w:lang w:val="sr-Cyrl-RS"/>
        </w:rPr>
        <w:t xml:space="preserve">у посебних циљева </w:t>
      </w:r>
      <w:r w:rsidR="00977010" w:rsidRPr="0081082A">
        <w:rPr>
          <w:rFonts w:ascii="Times New Roman" w:hAnsi="Times New Roman" w:cs="Times New Roman"/>
          <w:sz w:val="24"/>
          <w:szCs w:val="24"/>
          <w:lang w:val="sr-Cyrl-RS"/>
        </w:rPr>
        <w:t>ПРУЈФ и укључује процену трошкова</w:t>
      </w:r>
      <w:r w:rsidR="00A545D2" w:rsidRPr="0081082A">
        <w:rPr>
          <w:rFonts w:ascii="Times New Roman" w:hAnsi="Times New Roman" w:cs="Times New Roman"/>
          <w:sz w:val="24"/>
          <w:szCs w:val="24"/>
          <w:lang w:val="sr-Cyrl-RS"/>
        </w:rPr>
        <w:t>,</w:t>
      </w:r>
      <w:r w:rsidR="00977010" w:rsidRPr="0081082A">
        <w:rPr>
          <w:rFonts w:ascii="Times New Roman" w:hAnsi="Times New Roman" w:cs="Times New Roman"/>
          <w:sz w:val="24"/>
          <w:szCs w:val="24"/>
          <w:lang w:val="sr-Cyrl-RS"/>
        </w:rPr>
        <w:t xml:space="preserve"> односно средстава потребних за њихово спровођење. </w:t>
      </w:r>
      <w:r w:rsidR="00127972" w:rsidRPr="0081082A">
        <w:rPr>
          <w:rFonts w:ascii="Times New Roman" w:hAnsi="Times New Roman" w:cs="Times New Roman"/>
          <w:sz w:val="24"/>
          <w:szCs w:val="24"/>
          <w:lang w:val="sr-Cyrl-RS"/>
        </w:rPr>
        <w:t xml:space="preserve">Укупни трошкови за реализацију ПРУЈФ 2021-2025 процењени су на 7.7 милијарди динара, од чега </w:t>
      </w:r>
      <w:r w:rsidR="00836F1D" w:rsidRPr="0081082A">
        <w:rPr>
          <w:rFonts w:ascii="Times New Roman" w:hAnsi="Times New Roman" w:cs="Times New Roman"/>
          <w:sz w:val="24"/>
          <w:szCs w:val="24"/>
          <w:lang w:val="sr-Cyrl-RS"/>
        </w:rPr>
        <w:t>382,4 милиона динара буџетских средстава, 4,46 милија</w:t>
      </w:r>
      <w:r w:rsidR="009F7B12">
        <w:rPr>
          <w:rFonts w:ascii="Times New Roman" w:hAnsi="Times New Roman" w:cs="Times New Roman"/>
          <w:sz w:val="24"/>
          <w:szCs w:val="24"/>
          <w:lang w:val="sr-Cyrl-RS"/>
        </w:rPr>
        <w:t>р</w:t>
      </w:r>
      <w:r w:rsidR="00836F1D" w:rsidRPr="0081082A">
        <w:rPr>
          <w:rFonts w:ascii="Times New Roman" w:hAnsi="Times New Roman" w:cs="Times New Roman"/>
          <w:sz w:val="24"/>
          <w:szCs w:val="24"/>
          <w:lang w:val="sr-Cyrl-RS"/>
        </w:rPr>
        <w:t xml:space="preserve">ди динара </w:t>
      </w:r>
      <w:r w:rsidR="00E6736E" w:rsidRPr="0081082A">
        <w:rPr>
          <w:rFonts w:ascii="Times New Roman" w:hAnsi="Times New Roman" w:cs="Times New Roman"/>
          <w:sz w:val="24"/>
          <w:szCs w:val="24"/>
          <w:lang w:val="sr-Cyrl-RS"/>
        </w:rPr>
        <w:t>развојне помоћи (донација и кредита), као и 2,87 милиона динара недостајућих средстава.</w:t>
      </w:r>
    </w:p>
    <w:p w:rsidR="008F63C3" w:rsidRPr="0081082A" w:rsidRDefault="00977010" w:rsidP="00D74DBA">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t>Утврђивање трошкова Акц</w:t>
      </w:r>
      <w:r w:rsidR="00A86631">
        <w:rPr>
          <w:rFonts w:ascii="Times New Roman" w:hAnsi="Times New Roman" w:cs="Times New Roman"/>
          <w:sz w:val="24"/>
          <w:szCs w:val="24"/>
          <w:lang w:val="sr-Cyrl-RS"/>
        </w:rPr>
        <w:t>и</w:t>
      </w:r>
      <w:r w:rsidR="000F4307" w:rsidRPr="0081082A">
        <w:rPr>
          <w:rFonts w:ascii="Times New Roman" w:hAnsi="Times New Roman" w:cs="Times New Roman"/>
          <w:sz w:val="24"/>
          <w:szCs w:val="24"/>
          <w:lang w:val="sr-Cyrl-RS"/>
        </w:rPr>
        <w:t xml:space="preserve">оног плана за спровођење ПРУЈФ </w:t>
      </w:r>
      <w:r w:rsidR="00B25F76" w:rsidRPr="0081082A">
        <w:rPr>
          <w:rFonts w:ascii="Times New Roman" w:hAnsi="Times New Roman" w:cs="Times New Roman"/>
          <w:sz w:val="24"/>
          <w:szCs w:val="24"/>
          <w:lang w:val="sr-Cyrl-RS"/>
        </w:rPr>
        <w:t>с</w:t>
      </w:r>
      <w:r w:rsidR="000F4307" w:rsidRPr="0081082A">
        <w:rPr>
          <w:rFonts w:ascii="Times New Roman" w:hAnsi="Times New Roman" w:cs="Times New Roman"/>
          <w:sz w:val="24"/>
          <w:szCs w:val="24"/>
          <w:lang w:val="sr-Cyrl-RS"/>
        </w:rPr>
        <w:t>е ра</w:t>
      </w:r>
      <w:r w:rsidR="00B25F76" w:rsidRPr="0081082A">
        <w:rPr>
          <w:rFonts w:ascii="Times New Roman" w:hAnsi="Times New Roman" w:cs="Times New Roman"/>
          <w:sz w:val="24"/>
          <w:szCs w:val="24"/>
          <w:lang w:val="sr-Cyrl-RS"/>
        </w:rPr>
        <w:t>ди</w:t>
      </w:r>
      <w:r w:rsidR="000F4307" w:rsidRPr="0081082A">
        <w:rPr>
          <w:rFonts w:ascii="Times New Roman" w:hAnsi="Times New Roman" w:cs="Times New Roman"/>
          <w:sz w:val="24"/>
          <w:szCs w:val="24"/>
          <w:lang w:val="sr-Cyrl-RS"/>
        </w:rPr>
        <w:t xml:space="preserve"> у складу са Приручником за </w:t>
      </w:r>
      <w:r w:rsidR="00B3601A" w:rsidRPr="0081082A">
        <w:rPr>
          <w:rFonts w:ascii="Times New Roman" w:hAnsi="Times New Roman" w:cs="Times New Roman"/>
          <w:sz w:val="24"/>
          <w:szCs w:val="24"/>
          <w:lang w:val="sr-Cyrl-RS"/>
        </w:rPr>
        <w:t>обрачун трошкова јавних политика</w:t>
      </w:r>
      <w:r w:rsidR="000F4307" w:rsidRPr="0081082A">
        <w:rPr>
          <w:rFonts w:ascii="Times New Roman" w:hAnsi="Times New Roman" w:cs="Times New Roman"/>
          <w:sz w:val="24"/>
          <w:szCs w:val="24"/>
          <w:lang w:val="sr-Cyrl-RS"/>
        </w:rPr>
        <w:t>, као и методологијом обрачуна стандардних тро</w:t>
      </w:r>
      <w:r w:rsidR="0092491C" w:rsidRPr="0081082A">
        <w:rPr>
          <w:rFonts w:ascii="Times New Roman" w:hAnsi="Times New Roman" w:cs="Times New Roman"/>
          <w:sz w:val="24"/>
          <w:szCs w:val="24"/>
          <w:lang w:val="sr-Cyrl-RS"/>
        </w:rPr>
        <w:t>ш</w:t>
      </w:r>
      <w:r w:rsidR="000F4307" w:rsidRPr="0081082A">
        <w:rPr>
          <w:rFonts w:ascii="Times New Roman" w:hAnsi="Times New Roman" w:cs="Times New Roman"/>
          <w:sz w:val="24"/>
          <w:szCs w:val="24"/>
          <w:lang w:val="sr-Cyrl-RS"/>
        </w:rPr>
        <w:t xml:space="preserve">кова за израду планских докумената. </w:t>
      </w:r>
      <w:r w:rsidR="00AB00BB" w:rsidRPr="0081082A">
        <w:rPr>
          <w:rFonts w:ascii="Times New Roman" w:hAnsi="Times New Roman" w:cs="Times New Roman"/>
          <w:sz w:val="24"/>
          <w:szCs w:val="24"/>
          <w:lang w:val="sr-Cyrl-RS"/>
        </w:rPr>
        <w:t>У складу са наведеним</w:t>
      </w:r>
      <w:r w:rsidR="0092491C" w:rsidRPr="0081082A">
        <w:rPr>
          <w:rFonts w:ascii="Times New Roman" w:hAnsi="Times New Roman" w:cs="Times New Roman"/>
          <w:sz w:val="24"/>
          <w:szCs w:val="24"/>
          <w:lang w:val="sr-Cyrl-RS"/>
        </w:rPr>
        <w:t>,</w:t>
      </w:r>
      <w:r w:rsidR="00AB00BB" w:rsidRPr="0081082A">
        <w:rPr>
          <w:rFonts w:ascii="Times New Roman" w:hAnsi="Times New Roman" w:cs="Times New Roman"/>
          <w:sz w:val="24"/>
          <w:szCs w:val="24"/>
          <w:lang w:val="sr-Cyrl-RS"/>
        </w:rPr>
        <w:t xml:space="preserve"> процена трошкова базира се на обрачуну додатних, директних и варијабилних трошкова</w:t>
      </w:r>
      <w:r w:rsidR="0092491C" w:rsidRPr="0081082A">
        <w:rPr>
          <w:rFonts w:ascii="Times New Roman" w:hAnsi="Times New Roman" w:cs="Times New Roman"/>
          <w:sz w:val="24"/>
          <w:szCs w:val="24"/>
          <w:lang w:val="sr-Cyrl-RS"/>
        </w:rPr>
        <w:t>,</w:t>
      </w:r>
      <w:r w:rsidR="00AB00BB" w:rsidRPr="0081082A">
        <w:rPr>
          <w:rFonts w:ascii="Times New Roman" w:hAnsi="Times New Roman" w:cs="Times New Roman"/>
          <w:sz w:val="24"/>
          <w:szCs w:val="24"/>
          <w:lang w:val="sr-Cyrl-RS"/>
        </w:rPr>
        <w:t xml:space="preserve"> </w:t>
      </w:r>
      <w:r w:rsidR="00010971" w:rsidRPr="0081082A">
        <w:rPr>
          <w:rFonts w:ascii="Times New Roman" w:hAnsi="Times New Roman" w:cs="Times New Roman"/>
          <w:sz w:val="24"/>
          <w:szCs w:val="24"/>
          <w:lang w:val="sr-Cyrl-RS"/>
        </w:rPr>
        <w:t>нових или увећаног обима постојећих активности, због чега нису узете у обзир редовне активности</w:t>
      </w:r>
      <w:r w:rsidR="00426D9C" w:rsidRPr="0081082A">
        <w:rPr>
          <w:rFonts w:ascii="Times New Roman" w:hAnsi="Times New Roman" w:cs="Times New Roman"/>
          <w:sz w:val="24"/>
          <w:szCs w:val="24"/>
          <w:lang w:val="sr-Cyrl-RS"/>
        </w:rPr>
        <w:t xml:space="preserve"> ресора</w:t>
      </w:r>
      <w:r w:rsidR="00010971" w:rsidRPr="0081082A">
        <w:rPr>
          <w:rFonts w:ascii="Times New Roman" w:hAnsi="Times New Roman" w:cs="Times New Roman"/>
          <w:sz w:val="24"/>
          <w:szCs w:val="24"/>
          <w:lang w:val="sr-Cyrl-RS"/>
        </w:rPr>
        <w:t>.</w:t>
      </w:r>
    </w:p>
    <w:p w:rsidR="00C90243" w:rsidRPr="0081082A" w:rsidRDefault="00426D9C" w:rsidP="00426D9C">
      <w:pPr>
        <w:spacing w:after="0" w:line="240" w:lineRule="auto"/>
        <w:ind w:firstLine="706"/>
        <w:jc w:val="both"/>
        <w:rPr>
          <w:rFonts w:ascii="Times New Roman" w:hAnsi="Times New Roman" w:cs="Times New Roman"/>
          <w:sz w:val="24"/>
          <w:szCs w:val="24"/>
          <w:lang w:val="sr-Cyrl-RS"/>
        </w:rPr>
      </w:pPr>
      <w:r w:rsidRPr="0081082A">
        <w:rPr>
          <w:rFonts w:ascii="Times New Roman" w:hAnsi="Times New Roman" w:cs="Times New Roman"/>
          <w:sz w:val="24"/>
          <w:szCs w:val="24"/>
          <w:lang w:val="sr-Cyrl-RS"/>
        </w:rPr>
        <w:lastRenderedPageBreak/>
        <w:t>Као и у претходном периоду, очекује се значајна подршка ИПА и друге развојне помоћи.</w:t>
      </w:r>
      <w:r w:rsidR="00020857" w:rsidRPr="0081082A">
        <w:rPr>
          <w:rFonts w:ascii="Times New Roman" w:hAnsi="Times New Roman" w:cs="Times New Roman"/>
          <w:sz w:val="24"/>
          <w:szCs w:val="24"/>
          <w:lang w:val="sr-Cyrl-RS"/>
        </w:rPr>
        <w:t xml:space="preserve"> У наставку је графички приказ неопходних финансијских средстава за реализацију Програма реформе управљања јавним финансијама за период 2021-2025</w:t>
      </w:r>
      <w:r w:rsidR="0092491C" w:rsidRPr="0081082A">
        <w:rPr>
          <w:rFonts w:ascii="Times New Roman" w:hAnsi="Times New Roman" w:cs="Times New Roman"/>
          <w:sz w:val="24"/>
          <w:szCs w:val="24"/>
          <w:lang w:val="sr-Cyrl-RS"/>
        </w:rPr>
        <w:t>, док се детаљни, табеларни приказ  налази у Анексу документа</w:t>
      </w:r>
      <w:r w:rsidR="00020857" w:rsidRPr="0081082A">
        <w:rPr>
          <w:rFonts w:ascii="Times New Roman" w:hAnsi="Times New Roman" w:cs="Times New Roman"/>
          <w:sz w:val="24"/>
          <w:szCs w:val="24"/>
          <w:lang w:val="sr-Cyrl-RS"/>
        </w:rPr>
        <w:t>:</w:t>
      </w:r>
    </w:p>
    <w:p w:rsidR="0089255F" w:rsidRPr="0081082A" w:rsidRDefault="0089255F" w:rsidP="0089255F">
      <w:pPr>
        <w:spacing w:after="0" w:line="240" w:lineRule="auto"/>
        <w:ind w:firstLine="706"/>
        <w:rPr>
          <w:rFonts w:ascii="Times New Roman" w:hAnsi="Times New Roman" w:cs="Times New Roman"/>
          <w:sz w:val="24"/>
          <w:szCs w:val="24"/>
          <w:lang w:val="sr-Cyrl-RS"/>
        </w:rPr>
      </w:pPr>
    </w:p>
    <w:p w:rsidR="0089255F" w:rsidRPr="0081082A" w:rsidRDefault="0089255F" w:rsidP="002F69B3">
      <w:pPr>
        <w:tabs>
          <w:tab w:val="left" w:pos="-90"/>
        </w:tabs>
        <w:spacing w:after="0" w:line="240" w:lineRule="auto"/>
        <w:rPr>
          <w:rFonts w:ascii="Times New Roman" w:eastAsia="Calibri" w:hAnsi="Times New Roman" w:cs="Times New Roman"/>
          <w:sz w:val="24"/>
          <w:szCs w:val="24"/>
          <w:lang w:val="sr-Cyrl-RS"/>
        </w:rPr>
      </w:pPr>
    </w:p>
    <w:p w:rsidR="002878F3" w:rsidRPr="0081082A" w:rsidRDefault="006041D1" w:rsidP="00102089">
      <w:pPr>
        <w:spacing w:after="0" w:line="240" w:lineRule="auto"/>
        <w:ind w:hanging="90"/>
        <w:rPr>
          <w:rFonts w:ascii="Times New Roman" w:eastAsia="Calibri" w:hAnsi="Times New Roman" w:cs="Times New Roman"/>
          <w:sz w:val="24"/>
          <w:szCs w:val="24"/>
          <w:lang w:val="sr-Cyrl-RS"/>
        </w:rPr>
      </w:pPr>
      <w:r w:rsidRPr="0081082A">
        <w:rPr>
          <w:noProof/>
        </w:rPr>
        <w:drawing>
          <wp:inline distT="0" distB="0" distL="0" distR="0" wp14:anchorId="3E38D532" wp14:editId="2557A380">
            <wp:extent cx="5731510" cy="4328795"/>
            <wp:effectExtent l="0" t="0" r="2540" b="14605"/>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2878F3" w:rsidRPr="0081082A" w:rsidRDefault="002878F3" w:rsidP="0089255F">
      <w:pPr>
        <w:spacing w:after="0" w:line="240" w:lineRule="auto"/>
        <w:ind w:firstLine="706"/>
        <w:rPr>
          <w:rFonts w:ascii="Times New Roman" w:eastAsia="Calibri" w:hAnsi="Times New Roman" w:cs="Times New Roman"/>
          <w:sz w:val="24"/>
          <w:szCs w:val="24"/>
          <w:lang w:val="sr-Cyrl-RS"/>
        </w:rPr>
      </w:pPr>
    </w:p>
    <w:p w:rsidR="00931A2C" w:rsidRPr="0081082A" w:rsidRDefault="00931A2C" w:rsidP="00931A2C">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jc w:val="center"/>
        <w:outlineLvl w:val="1"/>
        <w:rPr>
          <w:rFonts w:ascii="Times New Roman" w:hAnsi="Times New Roman"/>
          <w:caps/>
          <w:spacing w:val="15"/>
          <w:sz w:val="28"/>
          <w:lang w:val="sr-Cyrl-RS"/>
        </w:rPr>
      </w:pPr>
      <w:bookmarkStart w:id="51" w:name="_Toc72488831"/>
      <w:r w:rsidRPr="0081082A">
        <w:rPr>
          <w:rFonts w:ascii="Times New Roman" w:hAnsi="Times New Roman"/>
          <w:caps/>
          <w:spacing w:val="15"/>
          <w:sz w:val="28"/>
          <w:lang w:val="sr-Cyrl-RS"/>
        </w:rPr>
        <w:t>УПРАВЉАЊЕ РИЗИЦИМА</w:t>
      </w:r>
      <w:bookmarkEnd w:id="51"/>
    </w:p>
    <w:p w:rsidR="00931A2C" w:rsidRPr="0081082A" w:rsidRDefault="00931A2C" w:rsidP="001340DA">
      <w:pPr>
        <w:spacing w:after="0" w:line="240" w:lineRule="auto"/>
        <w:ind w:firstLine="706"/>
        <w:jc w:val="both"/>
        <w:rPr>
          <w:rFonts w:ascii="Times New Roman" w:hAnsi="Times New Roman"/>
          <w:sz w:val="24"/>
          <w:lang w:val="sr-Cyrl-RS"/>
        </w:rPr>
      </w:pPr>
      <w:r w:rsidRPr="0081082A">
        <w:rPr>
          <w:rFonts w:ascii="Times New Roman" w:eastAsia="Calibri" w:hAnsi="Times New Roman" w:cs="Times New Roman"/>
          <w:sz w:val="24"/>
          <w:szCs w:val="24"/>
          <w:lang w:val="sr-Cyrl-RS"/>
        </w:rPr>
        <w:t>Остварење жељене промене коју треба постићи израдом, усвајањем и спровођењем ПРУЈФ 2021-2025 подлеже одређеним ризицима, од чега су неки ризици препознати на основу претходног искуства у спровођењу ПРУЈФ 2016-2020. године. Наиме, од</w:t>
      </w:r>
      <w:r w:rsidRPr="0081082A">
        <w:rPr>
          <w:rFonts w:ascii="Times New Roman" w:hAnsi="Times New Roman"/>
          <w:sz w:val="24"/>
          <w:lang w:val="sr-Cyrl-RS"/>
        </w:rPr>
        <w:t xml:space="preserve"> 2015. године</w:t>
      </w:r>
      <w:r w:rsidRPr="0081082A">
        <w:rPr>
          <w:rFonts w:ascii="Times New Roman" w:eastAsia="Calibri" w:hAnsi="Times New Roman" w:cs="Times New Roman"/>
          <w:sz w:val="24"/>
          <w:szCs w:val="24"/>
          <w:lang w:val="sr-Cyrl-RS"/>
        </w:rPr>
        <w:t>,</w:t>
      </w:r>
      <w:r w:rsidRPr="0081082A">
        <w:rPr>
          <w:rFonts w:ascii="Times New Roman" w:hAnsi="Times New Roman"/>
          <w:sz w:val="24"/>
          <w:lang w:val="sr-Cyrl-RS"/>
        </w:rPr>
        <w:t xml:space="preserve"> када је припремљен и усвојен први </w:t>
      </w:r>
      <w:r w:rsidRPr="0081082A">
        <w:rPr>
          <w:rFonts w:ascii="Times New Roman" w:eastAsia="Calibri" w:hAnsi="Times New Roman" w:cs="Times New Roman"/>
          <w:sz w:val="24"/>
          <w:szCs w:val="24"/>
          <w:lang w:val="sr-Cyrl-RS"/>
        </w:rPr>
        <w:t>ПРУЈФ</w:t>
      </w:r>
      <w:r w:rsidRPr="0081082A">
        <w:rPr>
          <w:rFonts w:ascii="Times New Roman" w:hAnsi="Times New Roman"/>
          <w:sz w:val="24"/>
          <w:lang w:val="sr-Cyrl-RS"/>
        </w:rPr>
        <w:t xml:space="preserve"> у Републици Србији, овај документ </w:t>
      </w:r>
      <w:r w:rsidRPr="0081082A">
        <w:rPr>
          <w:rFonts w:ascii="Times New Roman" w:eastAsia="Calibri" w:hAnsi="Times New Roman" w:cs="Times New Roman"/>
          <w:sz w:val="24"/>
          <w:szCs w:val="24"/>
          <w:lang w:val="sr-Cyrl-RS"/>
        </w:rPr>
        <w:t xml:space="preserve">јавне политике </w:t>
      </w:r>
      <w:r w:rsidRPr="0081082A">
        <w:rPr>
          <w:rFonts w:ascii="Times New Roman" w:hAnsi="Times New Roman"/>
          <w:sz w:val="24"/>
          <w:lang w:val="sr-Cyrl-RS"/>
        </w:rPr>
        <w:t xml:space="preserve">представља један од стратешких приоритета Министарства финансија. </w:t>
      </w:r>
      <w:r w:rsidRPr="0081082A">
        <w:rPr>
          <w:rFonts w:ascii="Times New Roman" w:eastAsia="Calibri" w:hAnsi="Times New Roman" w:cs="Times New Roman"/>
          <w:sz w:val="24"/>
          <w:szCs w:val="24"/>
          <w:lang w:val="sr-Cyrl-RS"/>
        </w:rPr>
        <w:t>Чињеница</w:t>
      </w:r>
      <w:r w:rsidRPr="0081082A">
        <w:rPr>
          <w:rFonts w:ascii="Times New Roman" w:hAnsi="Times New Roman"/>
          <w:sz w:val="24"/>
          <w:lang w:val="sr-Cyrl-RS"/>
        </w:rPr>
        <w:t xml:space="preserve"> да се </w:t>
      </w:r>
      <w:r w:rsidRPr="0081082A">
        <w:rPr>
          <w:rFonts w:ascii="Times New Roman" w:eastAsia="Calibri" w:hAnsi="Times New Roman" w:cs="Times New Roman"/>
          <w:sz w:val="24"/>
          <w:szCs w:val="24"/>
          <w:lang w:val="sr-Cyrl-RS"/>
        </w:rPr>
        <w:t>ПРУЈФ</w:t>
      </w:r>
      <w:r w:rsidRPr="0081082A">
        <w:rPr>
          <w:rFonts w:ascii="Times New Roman" w:hAnsi="Times New Roman"/>
          <w:sz w:val="24"/>
          <w:lang w:val="sr-Cyrl-RS"/>
        </w:rPr>
        <w:t xml:space="preserve"> и годишњи </w:t>
      </w:r>
      <w:r w:rsidRPr="0081082A">
        <w:rPr>
          <w:rFonts w:ascii="Times New Roman" w:eastAsia="Calibri" w:hAnsi="Times New Roman" w:cs="Times New Roman"/>
          <w:sz w:val="24"/>
          <w:szCs w:val="24"/>
          <w:lang w:val="sr-Cyrl-RS"/>
        </w:rPr>
        <w:t>Извештаји</w:t>
      </w:r>
      <w:r w:rsidRPr="0081082A">
        <w:rPr>
          <w:rFonts w:ascii="Times New Roman" w:hAnsi="Times New Roman"/>
          <w:sz w:val="24"/>
          <w:lang w:val="sr-Cyrl-RS"/>
        </w:rPr>
        <w:t xml:space="preserve"> о </w:t>
      </w:r>
      <w:r w:rsidRPr="0081082A">
        <w:rPr>
          <w:rFonts w:ascii="Times New Roman" w:eastAsia="Calibri" w:hAnsi="Times New Roman" w:cs="Times New Roman"/>
          <w:sz w:val="24"/>
          <w:szCs w:val="24"/>
          <w:lang w:val="sr-Cyrl-RS"/>
        </w:rPr>
        <w:t>спровођењу истог</w:t>
      </w:r>
      <w:r w:rsidRPr="0081082A">
        <w:rPr>
          <w:rFonts w:ascii="Times New Roman" w:hAnsi="Times New Roman"/>
          <w:sz w:val="24"/>
          <w:lang w:val="sr-Cyrl-RS"/>
        </w:rPr>
        <w:t xml:space="preserve"> разматрају и усвајају на седницама Владе</w:t>
      </w:r>
      <w:r w:rsidRPr="0081082A">
        <w:rPr>
          <w:rFonts w:ascii="Times New Roman" w:eastAsia="Calibri" w:hAnsi="Times New Roman" w:cs="Times New Roman"/>
          <w:sz w:val="24"/>
          <w:szCs w:val="24"/>
          <w:lang w:val="sr-Cyrl-RS"/>
        </w:rPr>
        <w:t xml:space="preserve"> показали су</w:t>
      </w:r>
      <w:r w:rsidRPr="0081082A">
        <w:rPr>
          <w:rFonts w:ascii="Times New Roman" w:hAnsi="Times New Roman"/>
          <w:sz w:val="24"/>
          <w:lang w:val="sr-Cyrl-RS"/>
        </w:rPr>
        <w:t xml:space="preserve"> да је ризик везан за недостатак политичке подршке спровођењу реформе </w:t>
      </w:r>
      <w:r w:rsidRPr="0081082A">
        <w:rPr>
          <w:rFonts w:ascii="Times New Roman" w:eastAsia="Calibri" w:hAnsi="Times New Roman" w:cs="Times New Roman"/>
          <w:sz w:val="24"/>
          <w:szCs w:val="24"/>
          <w:lang w:val="sr-Cyrl-RS"/>
        </w:rPr>
        <w:t xml:space="preserve">УЈФ </w:t>
      </w:r>
      <w:r w:rsidRPr="0081082A">
        <w:rPr>
          <w:rFonts w:ascii="Times New Roman" w:hAnsi="Times New Roman"/>
          <w:sz w:val="24"/>
          <w:lang w:val="sr-Cyrl-RS"/>
        </w:rPr>
        <w:t>сведен на минимум</w:t>
      </w:r>
      <w:r w:rsidRPr="0081082A">
        <w:rPr>
          <w:rFonts w:ascii="Times New Roman" w:eastAsia="Calibri" w:hAnsi="Times New Roman" w:cs="Times New Roman"/>
          <w:sz w:val="24"/>
          <w:szCs w:val="24"/>
          <w:lang w:val="sr-Cyrl-RS"/>
        </w:rPr>
        <w:t>,</w:t>
      </w:r>
      <w:r w:rsidRPr="0081082A">
        <w:rPr>
          <w:rFonts w:ascii="Times New Roman" w:hAnsi="Times New Roman"/>
          <w:sz w:val="24"/>
          <w:lang w:val="sr-Cyrl-RS"/>
        </w:rPr>
        <w:t xml:space="preserve"> односно да постоји потпуна и континуирана посвећеност овом процесу. </w:t>
      </w:r>
    </w:p>
    <w:p w:rsidR="00931A2C" w:rsidRPr="0081082A" w:rsidRDefault="00931A2C" w:rsidP="001340DA">
      <w:pPr>
        <w:spacing w:after="0" w:line="240" w:lineRule="auto"/>
        <w:ind w:firstLine="706"/>
        <w:jc w:val="both"/>
        <w:rPr>
          <w:rFonts w:ascii="Times New Roman" w:hAnsi="Times New Roman"/>
          <w:sz w:val="24"/>
          <w:lang w:val="sr-Cyrl-RS"/>
        </w:rPr>
      </w:pPr>
      <w:r w:rsidRPr="0081082A">
        <w:rPr>
          <w:rFonts w:ascii="Times New Roman" w:eastAsia="Calibri" w:hAnsi="Times New Roman" w:cs="Times New Roman"/>
          <w:sz w:val="24"/>
          <w:szCs w:val="24"/>
          <w:lang w:val="sr-Cyrl-RS"/>
        </w:rPr>
        <w:t xml:space="preserve">Један од </w:t>
      </w:r>
      <w:r w:rsidRPr="0081082A">
        <w:rPr>
          <w:rFonts w:ascii="Times New Roman" w:hAnsi="Times New Roman"/>
          <w:sz w:val="24"/>
          <w:lang w:val="sr-Cyrl-RS"/>
        </w:rPr>
        <w:t xml:space="preserve">главних изазова које је требало превазићи током </w:t>
      </w:r>
      <w:r w:rsidRPr="0081082A">
        <w:rPr>
          <w:rFonts w:ascii="Times New Roman" w:eastAsia="Calibri" w:hAnsi="Times New Roman" w:cs="Times New Roman"/>
          <w:sz w:val="24"/>
          <w:szCs w:val="24"/>
          <w:lang w:val="sr-Cyrl-RS"/>
        </w:rPr>
        <w:t>спровођења</w:t>
      </w:r>
      <w:r w:rsidRPr="0081082A">
        <w:rPr>
          <w:rFonts w:ascii="Times New Roman" w:hAnsi="Times New Roman"/>
          <w:sz w:val="24"/>
          <w:lang w:val="sr-Cyrl-RS"/>
        </w:rPr>
        <w:t xml:space="preserve"> претходног </w:t>
      </w:r>
      <w:r w:rsidRPr="0081082A">
        <w:rPr>
          <w:rFonts w:ascii="Times New Roman" w:eastAsia="Calibri" w:hAnsi="Times New Roman" w:cs="Times New Roman"/>
          <w:sz w:val="24"/>
          <w:szCs w:val="24"/>
          <w:lang w:val="sr-Cyrl-RS"/>
        </w:rPr>
        <w:t>ПРУЈФ 2016-2020</w:t>
      </w:r>
      <w:r w:rsidRPr="0081082A">
        <w:rPr>
          <w:rFonts w:ascii="Times New Roman" w:hAnsi="Times New Roman"/>
          <w:sz w:val="24"/>
          <w:lang w:val="sr-Cyrl-RS"/>
        </w:rPr>
        <w:t xml:space="preserve"> јесте чињеница да процес планирања није био </w:t>
      </w:r>
      <w:r w:rsidRPr="0081082A">
        <w:rPr>
          <w:rFonts w:ascii="Times New Roman" w:eastAsia="Calibri" w:hAnsi="Times New Roman" w:cs="Times New Roman"/>
          <w:sz w:val="24"/>
          <w:szCs w:val="24"/>
          <w:lang w:val="sr-Cyrl-RS"/>
        </w:rPr>
        <w:t>адекватан</w:t>
      </w:r>
      <w:r w:rsidRPr="0081082A">
        <w:rPr>
          <w:rFonts w:ascii="Times New Roman" w:hAnsi="Times New Roman"/>
          <w:sz w:val="24"/>
          <w:lang w:val="sr-Cyrl-RS"/>
        </w:rPr>
        <w:t xml:space="preserve">, односно да је Акциони план </w:t>
      </w:r>
      <w:r w:rsidRPr="0081082A">
        <w:rPr>
          <w:rFonts w:ascii="Times New Roman" w:eastAsia="Calibri" w:hAnsi="Times New Roman" w:cs="Times New Roman"/>
          <w:sz w:val="24"/>
          <w:szCs w:val="24"/>
          <w:lang w:val="sr-Cyrl-RS"/>
        </w:rPr>
        <w:t xml:space="preserve">за спровођење ПРУЈФ 2016-2020 </w:t>
      </w:r>
      <w:r w:rsidRPr="0081082A">
        <w:rPr>
          <w:rFonts w:ascii="Times New Roman" w:hAnsi="Times New Roman"/>
          <w:sz w:val="24"/>
          <w:lang w:val="sr-Cyrl-RS"/>
        </w:rPr>
        <w:t xml:space="preserve">био </w:t>
      </w:r>
      <w:r w:rsidRPr="0081082A">
        <w:rPr>
          <w:rFonts w:ascii="Times New Roman" w:eastAsia="Calibri" w:hAnsi="Times New Roman" w:cs="Times New Roman"/>
          <w:sz w:val="24"/>
          <w:szCs w:val="24"/>
          <w:lang w:val="sr-Cyrl-RS"/>
        </w:rPr>
        <w:t>преамбициозан</w:t>
      </w:r>
      <w:r w:rsidRPr="0081082A">
        <w:rPr>
          <w:rFonts w:ascii="Times New Roman" w:hAnsi="Times New Roman"/>
          <w:sz w:val="24"/>
          <w:lang w:val="sr-Cyrl-RS"/>
        </w:rPr>
        <w:t>, са недовољно добро процењеним роковима</w:t>
      </w:r>
      <w:r w:rsidR="00591AA4" w:rsidRPr="0081082A">
        <w:rPr>
          <w:rFonts w:ascii="Times New Roman" w:hAnsi="Times New Roman"/>
          <w:sz w:val="24"/>
          <w:lang w:val="sr-Cyrl-RS"/>
        </w:rPr>
        <w:t>,</w:t>
      </w:r>
      <w:r w:rsidRPr="0081082A">
        <w:rPr>
          <w:rFonts w:ascii="Times New Roman" w:hAnsi="Times New Roman"/>
          <w:sz w:val="24"/>
          <w:lang w:val="sr-Cyrl-RS"/>
        </w:rPr>
        <w:t xml:space="preserve"> </w:t>
      </w:r>
      <w:r w:rsidRPr="0081082A">
        <w:rPr>
          <w:rFonts w:ascii="Times New Roman" w:eastAsia="Calibri" w:hAnsi="Times New Roman" w:cs="Times New Roman"/>
          <w:sz w:val="24"/>
          <w:szCs w:val="24"/>
          <w:lang w:val="sr-Cyrl-RS"/>
        </w:rPr>
        <w:t>премда</w:t>
      </w:r>
      <w:r w:rsidRPr="0081082A">
        <w:rPr>
          <w:rFonts w:ascii="Times New Roman" w:hAnsi="Times New Roman"/>
          <w:sz w:val="24"/>
          <w:lang w:val="sr-Cyrl-RS"/>
        </w:rPr>
        <w:t xml:space="preserve"> су </w:t>
      </w:r>
      <w:r w:rsidRPr="0081082A">
        <w:rPr>
          <w:rFonts w:ascii="Times New Roman" w:eastAsia="Calibri" w:hAnsi="Times New Roman" w:cs="Times New Roman"/>
          <w:sz w:val="24"/>
          <w:szCs w:val="24"/>
          <w:lang w:val="sr-Cyrl-RS"/>
        </w:rPr>
        <w:t xml:space="preserve">исти </w:t>
      </w:r>
      <w:r w:rsidRPr="0081082A">
        <w:rPr>
          <w:rFonts w:ascii="Times New Roman" w:hAnsi="Times New Roman"/>
          <w:sz w:val="24"/>
          <w:lang w:val="sr-Cyrl-RS"/>
        </w:rPr>
        <w:t xml:space="preserve">углавном били </w:t>
      </w:r>
      <w:r w:rsidRPr="0081082A">
        <w:rPr>
          <w:rFonts w:ascii="Times New Roman" w:eastAsia="Calibri" w:hAnsi="Times New Roman" w:cs="Times New Roman"/>
          <w:sz w:val="24"/>
          <w:szCs w:val="24"/>
          <w:lang w:val="sr-Cyrl-RS"/>
        </w:rPr>
        <w:lastRenderedPageBreak/>
        <w:t xml:space="preserve">концентрисани на </w:t>
      </w:r>
      <w:r w:rsidRPr="0081082A">
        <w:rPr>
          <w:rFonts w:ascii="Times New Roman" w:hAnsi="Times New Roman"/>
          <w:sz w:val="24"/>
          <w:lang w:val="sr-Cyrl-RS"/>
        </w:rPr>
        <w:t xml:space="preserve">прве две године </w:t>
      </w:r>
      <w:r w:rsidRPr="0081082A">
        <w:rPr>
          <w:rFonts w:ascii="Times New Roman" w:eastAsia="Calibri" w:hAnsi="Times New Roman" w:cs="Times New Roman"/>
          <w:sz w:val="24"/>
          <w:szCs w:val="24"/>
          <w:lang w:val="sr-Cyrl-RS"/>
        </w:rPr>
        <w:t>спровођења ПРУЈФ 2016-2020. Овај ризик отклоњен је ревизијом ПРУЈФ у 2019. години. Стога се дошло до закључка да је важно да нови ПРУЈФ 2021-2025 и пратећи Акциони</w:t>
      </w:r>
      <w:r w:rsidRPr="0081082A">
        <w:rPr>
          <w:rFonts w:ascii="Times New Roman" w:hAnsi="Times New Roman"/>
          <w:sz w:val="24"/>
          <w:lang w:val="sr-Cyrl-RS"/>
        </w:rPr>
        <w:t xml:space="preserve"> план </w:t>
      </w:r>
      <w:r w:rsidRPr="0081082A">
        <w:rPr>
          <w:rFonts w:ascii="Times New Roman" w:eastAsia="Calibri" w:hAnsi="Times New Roman" w:cs="Times New Roman"/>
          <w:sz w:val="24"/>
          <w:szCs w:val="24"/>
          <w:lang w:val="sr-Cyrl-RS"/>
        </w:rPr>
        <w:t>буду амбициозни</w:t>
      </w:r>
      <w:r w:rsidRPr="0081082A">
        <w:rPr>
          <w:rFonts w:ascii="Times New Roman" w:hAnsi="Times New Roman"/>
          <w:sz w:val="24"/>
          <w:lang w:val="sr-Cyrl-RS"/>
        </w:rPr>
        <w:t xml:space="preserve">, али </w:t>
      </w:r>
      <w:r w:rsidRPr="0081082A">
        <w:rPr>
          <w:rFonts w:ascii="Times New Roman" w:eastAsia="Calibri" w:hAnsi="Times New Roman" w:cs="Times New Roman"/>
          <w:sz w:val="24"/>
          <w:szCs w:val="24"/>
          <w:lang w:val="sr-Cyrl-RS"/>
        </w:rPr>
        <w:t>да,</w:t>
      </w:r>
      <w:r w:rsidRPr="0081082A">
        <w:rPr>
          <w:rFonts w:ascii="Times New Roman" w:hAnsi="Times New Roman"/>
          <w:sz w:val="24"/>
          <w:lang w:val="sr-Cyrl-RS"/>
        </w:rPr>
        <w:t xml:space="preserve"> у исто време</w:t>
      </w:r>
      <w:r w:rsidRPr="0081082A">
        <w:rPr>
          <w:rFonts w:ascii="Times New Roman" w:eastAsia="Calibri" w:hAnsi="Times New Roman" w:cs="Times New Roman"/>
          <w:sz w:val="24"/>
          <w:szCs w:val="24"/>
          <w:lang w:val="sr-Cyrl-RS"/>
        </w:rPr>
        <w:t>, морају бити реални</w:t>
      </w:r>
      <w:r w:rsidRPr="0081082A">
        <w:rPr>
          <w:rFonts w:ascii="Times New Roman" w:hAnsi="Times New Roman"/>
          <w:sz w:val="24"/>
          <w:lang w:val="sr-Cyrl-RS"/>
        </w:rPr>
        <w:t xml:space="preserve"> и што је најважније, </w:t>
      </w:r>
      <w:r w:rsidRPr="0081082A">
        <w:rPr>
          <w:rFonts w:ascii="Times New Roman" w:eastAsia="Calibri" w:hAnsi="Times New Roman" w:cs="Times New Roman"/>
          <w:sz w:val="24"/>
          <w:szCs w:val="24"/>
          <w:lang w:val="sr-Cyrl-RS"/>
        </w:rPr>
        <w:t>оствариви</w:t>
      </w:r>
      <w:r w:rsidRPr="0081082A">
        <w:rPr>
          <w:rFonts w:ascii="Times New Roman" w:hAnsi="Times New Roman"/>
          <w:sz w:val="24"/>
          <w:lang w:val="sr-Cyrl-RS"/>
        </w:rPr>
        <w:t xml:space="preserve"> са финансијске тачке</w:t>
      </w:r>
      <w:r w:rsidRPr="0081082A">
        <w:rPr>
          <w:rFonts w:ascii="Times New Roman" w:eastAsia="Calibri" w:hAnsi="Times New Roman" w:cs="Times New Roman"/>
          <w:sz w:val="24"/>
          <w:szCs w:val="24"/>
          <w:lang w:val="sr-Cyrl-RS"/>
        </w:rPr>
        <w:t xml:space="preserve"> гледишта</w:t>
      </w:r>
      <w:r w:rsidRPr="0081082A">
        <w:rPr>
          <w:rFonts w:ascii="Times New Roman" w:hAnsi="Times New Roman"/>
          <w:sz w:val="24"/>
          <w:lang w:val="sr-Cyrl-RS"/>
        </w:rPr>
        <w:t>, односно да постоје довољни ресурси како из националног буџета</w:t>
      </w:r>
      <w:r w:rsidRPr="0081082A">
        <w:rPr>
          <w:rFonts w:ascii="Times New Roman" w:eastAsia="Calibri" w:hAnsi="Times New Roman" w:cs="Times New Roman"/>
          <w:sz w:val="24"/>
          <w:szCs w:val="24"/>
          <w:lang w:val="sr-Cyrl-RS"/>
        </w:rPr>
        <w:t>,</w:t>
      </w:r>
      <w:r w:rsidRPr="0081082A">
        <w:rPr>
          <w:rFonts w:ascii="Times New Roman" w:hAnsi="Times New Roman"/>
          <w:sz w:val="24"/>
          <w:lang w:val="sr-Cyrl-RS"/>
        </w:rPr>
        <w:t xml:space="preserve"> тако и из донаторских средстава, како би све планирано било на време и реализовано. Стално праћење и унапређење извештавања о реализацији планираних активности ПРУЈФ је важан елемент за снажнију имплементацију планираних активности.</w:t>
      </w:r>
    </w:p>
    <w:p w:rsidR="00931A2C" w:rsidRPr="0081082A" w:rsidRDefault="00931A2C" w:rsidP="001340DA">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Један од главних ризика који је узет у обзир приликом израде новог ПРУЈФ 2021-2025, односно разлога који су довели до кашњења у спровођењу одређеног броја активности из претходног ПРУЈФ 2016-2020, односи се </w:t>
      </w:r>
      <w:r w:rsidR="00591AA4" w:rsidRPr="0081082A">
        <w:rPr>
          <w:rFonts w:ascii="Times New Roman" w:eastAsia="Calibri" w:hAnsi="Times New Roman" w:cs="Times New Roman"/>
          <w:sz w:val="24"/>
          <w:szCs w:val="24"/>
          <w:lang w:val="sr-Cyrl-RS"/>
        </w:rPr>
        <w:t xml:space="preserve">на </w:t>
      </w:r>
      <w:r w:rsidRPr="0081082A">
        <w:rPr>
          <w:rFonts w:ascii="Times New Roman" w:eastAsia="Calibri" w:hAnsi="Times New Roman" w:cs="Times New Roman"/>
          <w:sz w:val="24"/>
          <w:szCs w:val="24"/>
          <w:lang w:val="sr-Cyrl-RS"/>
        </w:rPr>
        <w:t>процедуре усвајања нових законских решења које су трајале дуже од очекиваних, што је неретко било проузроковано врло сложеним и дуготрајним поступком јавних консул</w:t>
      </w:r>
      <w:r w:rsidR="00E418C5">
        <w:rPr>
          <w:rFonts w:ascii="Times New Roman" w:eastAsia="Calibri" w:hAnsi="Times New Roman" w:cs="Times New Roman"/>
          <w:sz w:val="24"/>
          <w:szCs w:val="24"/>
          <w:lang w:val="sr-Cyrl-RS"/>
        </w:rPr>
        <w:t>т</w:t>
      </w:r>
      <w:r w:rsidRPr="0081082A">
        <w:rPr>
          <w:rFonts w:ascii="Times New Roman" w:eastAsia="Calibri" w:hAnsi="Times New Roman" w:cs="Times New Roman"/>
          <w:sz w:val="24"/>
          <w:szCs w:val="24"/>
          <w:lang w:val="sr-Cyrl-RS"/>
        </w:rPr>
        <w:t xml:space="preserve">ација. Постојале су и одређене потешкоће </w:t>
      </w:r>
      <w:r w:rsidR="00591AA4" w:rsidRPr="0081082A">
        <w:rPr>
          <w:rFonts w:ascii="Times New Roman" w:eastAsia="Calibri" w:hAnsi="Times New Roman" w:cs="Times New Roman"/>
          <w:sz w:val="24"/>
          <w:szCs w:val="24"/>
          <w:lang w:val="sr-Cyrl-RS"/>
        </w:rPr>
        <w:t xml:space="preserve">везане </w:t>
      </w:r>
      <w:r w:rsidRPr="0081082A">
        <w:rPr>
          <w:rFonts w:ascii="Times New Roman" w:eastAsia="Calibri" w:hAnsi="Times New Roman" w:cs="Times New Roman"/>
          <w:sz w:val="24"/>
          <w:szCs w:val="24"/>
          <w:lang w:val="sr-Cyrl-RS"/>
        </w:rPr>
        <w:t xml:space="preserve">за јачање капацитета у оквиру јавне управе, имајући у виду строге мере фискалне консолидације и контролу запошљавања у систему јавне управе. Такође, као ризик треба посматрати и могућност да релевантне институције укључене у спровођење ПРУЈФ 2021-2025 нису довољно мотивисане да допринесу спровођењу свих предвиђених мера, или да немају довољно ресурса за то. Исто важи и за заинтересоване стране као што су привредни субјекти, организације цивилног друштва и грађани. </w:t>
      </w:r>
    </w:p>
    <w:p w:rsidR="00931A2C" w:rsidRPr="0081082A" w:rsidRDefault="00931A2C" w:rsidP="001340DA">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Неадекватни, међусобно неповезани и некомпатибилни ИТ системи који тренутно постоје и користе се, или су у процесу израде, могу представљати значајан ризик за спровођење одређених мера, те постизање зацртаних посебних циљева. Овом сегменту реформе УЈФ биће посвећена посебна пажња и за то ће бити резервисан значајан део финансијских средстава предвиђених за спровођење ПРУЈФ 2021-2025. Међутим, кључни напор треба да буде учињен у погледу координације између свих институција и организационих јединица Министарства финансија које су одговорне за спровођење мера везаних за ИТ системе у оквиру реформе УЈФ, као и у погледу координације и сарадње са Канцеларијом за </w:t>
      </w:r>
      <w:r w:rsidR="00595125">
        <w:rPr>
          <w:rFonts w:ascii="Times New Roman" w:eastAsia="Calibri" w:hAnsi="Times New Roman" w:cs="Times New Roman"/>
          <w:sz w:val="24"/>
          <w:szCs w:val="24"/>
          <w:lang w:val="sr-Cyrl-RS"/>
        </w:rPr>
        <w:t>информационе технологије</w:t>
      </w:r>
      <w:r w:rsidRPr="0081082A">
        <w:rPr>
          <w:rFonts w:ascii="Times New Roman" w:eastAsia="Calibri" w:hAnsi="Times New Roman" w:cs="Times New Roman"/>
          <w:sz w:val="24"/>
          <w:szCs w:val="24"/>
          <w:lang w:val="sr-Cyrl-RS"/>
        </w:rPr>
        <w:t xml:space="preserve"> и електронску управу као Владиног тела одговорног за пројектовање, усклађивање, развој и функционисање система електронске управе и информационих система и инфраструктуре органа државне управе и служби Владе. Ради отклањања овог ризика МФ је 2020. године основало Сектор за дигитализацију у области јавних финансија, који ће водити рачуна о пројектима у области ИТ технологија и њихове међусобне усклађености.</w:t>
      </w:r>
    </w:p>
    <w:p w:rsidR="001340DA" w:rsidRPr="0081082A" w:rsidRDefault="00931A2C" w:rsidP="00011E7E">
      <w:pPr>
        <w:spacing w:after="0" w:line="240" w:lineRule="auto"/>
        <w:ind w:firstLine="706"/>
        <w:jc w:val="both"/>
        <w:rPr>
          <w:rFonts w:ascii="Times New Roman" w:hAnsi="Times New Roman"/>
          <w:sz w:val="24"/>
          <w:lang w:val="sr-Cyrl-RS"/>
        </w:rPr>
      </w:pPr>
      <w:r w:rsidRPr="0081082A">
        <w:rPr>
          <w:rFonts w:ascii="Times New Roman" w:eastAsia="Calibri" w:hAnsi="Times New Roman" w:cs="Times New Roman"/>
          <w:sz w:val="24"/>
          <w:szCs w:val="24"/>
          <w:lang w:val="sr-Cyrl-RS"/>
        </w:rPr>
        <w:t xml:space="preserve">Коначно, један од </w:t>
      </w:r>
      <w:r w:rsidRPr="0081082A">
        <w:rPr>
          <w:rFonts w:ascii="Times New Roman" w:hAnsi="Times New Roman"/>
          <w:sz w:val="24"/>
          <w:lang w:val="sr-Cyrl-RS"/>
        </w:rPr>
        <w:t xml:space="preserve">ризика који свакако није био предвиђен раније, а мора бити узет у обзир приликом израде новог </w:t>
      </w:r>
      <w:r w:rsidRPr="0081082A">
        <w:rPr>
          <w:rFonts w:ascii="Times New Roman" w:eastAsia="Calibri" w:hAnsi="Times New Roman" w:cs="Times New Roman"/>
          <w:sz w:val="24"/>
          <w:szCs w:val="24"/>
          <w:lang w:val="sr-Cyrl-RS"/>
        </w:rPr>
        <w:t>ПРУЈФ 2021-2025</w:t>
      </w:r>
      <w:r w:rsidRPr="0081082A">
        <w:rPr>
          <w:rFonts w:ascii="Times New Roman" w:hAnsi="Times New Roman"/>
          <w:sz w:val="24"/>
          <w:lang w:val="sr-Cyrl-RS"/>
        </w:rPr>
        <w:t xml:space="preserve"> јесте глобална криза изазвана пандемијом </w:t>
      </w:r>
      <w:r w:rsidR="009A0BC7" w:rsidRPr="0081082A">
        <w:rPr>
          <w:rFonts w:ascii="Times New Roman" w:hAnsi="Times New Roman"/>
          <w:sz w:val="24"/>
          <w:lang w:val="sr-Cyrl-RS"/>
        </w:rPr>
        <w:t xml:space="preserve">болести </w:t>
      </w:r>
      <w:r w:rsidR="00B23ED0">
        <w:rPr>
          <w:rFonts w:ascii="Times New Roman" w:eastAsia="Calibri" w:hAnsi="Times New Roman" w:cs="Times New Roman"/>
          <w:sz w:val="24"/>
          <w:szCs w:val="24"/>
          <w:lang w:val="sr-Cyrl-RS"/>
        </w:rPr>
        <w:t>Ковид</w:t>
      </w:r>
      <w:r w:rsidR="00662B88" w:rsidRPr="0081082A">
        <w:rPr>
          <w:rFonts w:ascii="Times New Roman" w:eastAsia="Calibri" w:hAnsi="Times New Roman" w:cs="Times New Roman"/>
          <w:sz w:val="24"/>
          <w:szCs w:val="24"/>
          <w:lang w:val="sr-Cyrl-RS"/>
        </w:rPr>
        <w:t>-19</w:t>
      </w:r>
      <w:r w:rsidRPr="0081082A">
        <w:rPr>
          <w:rFonts w:ascii="Times New Roman" w:hAnsi="Times New Roman"/>
          <w:sz w:val="24"/>
          <w:lang w:val="sr-Cyrl-RS"/>
        </w:rPr>
        <w:t>. Иако је</w:t>
      </w:r>
      <w:r w:rsidRPr="0081082A">
        <w:rPr>
          <w:rFonts w:ascii="Times New Roman" w:eastAsia="Calibri" w:hAnsi="Times New Roman" w:cs="Times New Roman"/>
          <w:sz w:val="24"/>
          <w:szCs w:val="24"/>
          <w:lang w:val="sr-Cyrl-RS"/>
        </w:rPr>
        <w:t xml:space="preserve"> Република</w:t>
      </w:r>
      <w:r w:rsidRPr="0081082A">
        <w:rPr>
          <w:rFonts w:ascii="Times New Roman" w:hAnsi="Times New Roman"/>
          <w:sz w:val="24"/>
          <w:lang w:val="sr-Cyrl-RS"/>
        </w:rPr>
        <w:t xml:space="preserve"> Србија</w:t>
      </w:r>
      <w:r w:rsidR="00591AA4" w:rsidRPr="0081082A">
        <w:rPr>
          <w:rFonts w:ascii="Times New Roman" w:hAnsi="Times New Roman"/>
          <w:sz w:val="24"/>
          <w:lang w:val="sr-Cyrl-RS"/>
        </w:rPr>
        <w:t>,</w:t>
      </w:r>
      <w:r w:rsidRPr="0081082A">
        <w:rPr>
          <w:rFonts w:ascii="Times New Roman" w:hAnsi="Times New Roman"/>
          <w:sz w:val="24"/>
          <w:lang w:val="sr-Cyrl-RS"/>
        </w:rPr>
        <w:t xml:space="preserve"> захваљујући оштрим мерама фискалне консолидације</w:t>
      </w:r>
      <w:r w:rsidR="00591AA4" w:rsidRPr="0081082A">
        <w:rPr>
          <w:rFonts w:ascii="Times New Roman" w:hAnsi="Times New Roman"/>
          <w:sz w:val="24"/>
          <w:lang w:val="sr-Cyrl-RS"/>
        </w:rPr>
        <w:t>,</w:t>
      </w:r>
      <w:r w:rsidRPr="0081082A">
        <w:rPr>
          <w:rFonts w:ascii="Times New Roman" w:hAnsi="Times New Roman"/>
          <w:sz w:val="24"/>
          <w:lang w:val="sr-Cyrl-RS"/>
        </w:rPr>
        <w:t xml:space="preserve"> стабилизовала макроекономску ситуацију и дошла у позицију да може адекватно да реагује на изазове проу</w:t>
      </w:r>
      <w:r w:rsidR="00075F40">
        <w:rPr>
          <w:rFonts w:ascii="Times New Roman" w:hAnsi="Times New Roman"/>
          <w:sz w:val="24"/>
          <w:lang w:val="sr-Cyrl-RS"/>
        </w:rPr>
        <w:t>з</w:t>
      </w:r>
      <w:r w:rsidRPr="0081082A">
        <w:rPr>
          <w:rFonts w:ascii="Times New Roman" w:hAnsi="Times New Roman"/>
          <w:sz w:val="24"/>
          <w:lang w:val="sr-Cyrl-RS"/>
        </w:rPr>
        <w:t xml:space="preserve">роковане пандемијом и помогне </w:t>
      </w:r>
      <w:r w:rsidRPr="0081082A">
        <w:rPr>
          <w:rFonts w:ascii="Times New Roman" w:eastAsia="Calibri" w:hAnsi="Times New Roman" w:cs="Times New Roman"/>
          <w:sz w:val="24"/>
          <w:szCs w:val="24"/>
          <w:lang w:val="sr-Cyrl-RS"/>
        </w:rPr>
        <w:t>на адекватан начин привреди и становништву</w:t>
      </w:r>
      <w:r w:rsidRPr="0081082A">
        <w:rPr>
          <w:rFonts w:ascii="Times New Roman" w:hAnsi="Times New Roman"/>
          <w:sz w:val="24"/>
          <w:lang w:val="sr-Cyrl-RS"/>
        </w:rPr>
        <w:t>, ово свакако мора бити дефинисано као ризик, нарочито имајући у виду да је ситуација на глобалном нивоу и даље нестабилна и да се не може са сигурношћу рећи колико ће криза трајати</w:t>
      </w:r>
      <w:r w:rsidRPr="0081082A">
        <w:rPr>
          <w:rFonts w:ascii="Times New Roman" w:eastAsia="Calibri" w:hAnsi="Times New Roman" w:cs="Times New Roman"/>
          <w:sz w:val="24"/>
          <w:szCs w:val="24"/>
          <w:lang w:val="sr-Cyrl-RS"/>
        </w:rPr>
        <w:t xml:space="preserve"> и какве ће све последице проузр</w:t>
      </w:r>
      <w:r w:rsidR="001F0FBD">
        <w:rPr>
          <w:rFonts w:ascii="Times New Roman" w:eastAsia="Calibri" w:hAnsi="Times New Roman" w:cs="Times New Roman"/>
          <w:sz w:val="24"/>
          <w:szCs w:val="24"/>
          <w:lang w:val="sr-Cyrl-RS"/>
        </w:rPr>
        <w:t>о</w:t>
      </w:r>
      <w:r w:rsidRPr="0081082A">
        <w:rPr>
          <w:rFonts w:ascii="Times New Roman" w:eastAsia="Calibri" w:hAnsi="Times New Roman" w:cs="Times New Roman"/>
          <w:sz w:val="24"/>
          <w:szCs w:val="24"/>
          <w:lang w:val="sr-Cyrl-RS"/>
        </w:rPr>
        <w:t>ковати</w:t>
      </w:r>
      <w:r w:rsidRPr="0081082A">
        <w:rPr>
          <w:rFonts w:ascii="Times New Roman" w:hAnsi="Times New Roman"/>
          <w:sz w:val="24"/>
          <w:lang w:val="sr-Cyrl-RS"/>
        </w:rPr>
        <w:t>.</w:t>
      </w:r>
    </w:p>
    <w:p w:rsidR="00931A2C" w:rsidRPr="0081082A" w:rsidRDefault="00931A2C" w:rsidP="00931A2C">
      <w:pPr>
        <w:spacing w:before="0" w:after="0" w:line="240" w:lineRule="auto"/>
        <w:rPr>
          <w:rFonts w:ascii="Times New Roman" w:eastAsia="Calibri" w:hAnsi="Times New Roman" w:cs="Times New Roman"/>
          <w:b/>
          <w:bCs/>
          <w:sz w:val="22"/>
          <w:szCs w:val="22"/>
          <w:lang w:val="sr-Cyrl-RS"/>
        </w:rPr>
      </w:pPr>
      <w:r w:rsidRPr="0081082A">
        <w:rPr>
          <w:rFonts w:ascii="Times New Roman" w:eastAsia="Calibri" w:hAnsi="Times New Roman" w:cs="Times New Roman"/>
          <w:b/>
          <w:bCs/>
          <w:sz w:val="22"/>
          <w:szCs w:val="22"/>
          <w:lang w:val="sr-Cyrl-RS"/>
        </w:rPr>
        <w:t>Табела 1. Анализа ризика за спровођење ПРУЈФ 2021-2025</w:t>
      </w:r>
    </w:p>
    <w:tbl>
      <w:tblPr>
        <w:tblStyle w:val="GridTable5DarkAccent1"/>
        <w:tblW w:w="0" w:type="auto"/>
        <w:tblLayout w:type="fixed"/>
        <w:tblLook w:val="04A0" w:firstRow="1" w:lastRow="0" w:firstColumn="1" w:lastColumn="0" w:noHBand="0" w:noVBand="1"/>
      </w:tblPr>
      <w:tblGrid>
        <w:gridCol w:w="2391"/>
        <w:gridCol w:w="865"/>
        <w:gridCol w:w="879"/>
        <w:gridCol w:w="3600"/>
        <w:gridCol w:w="1281"/>
      </w:tblGrid>
      <w:tr w:rsidR="00931A2C" w:rsidRPr="0081082A" w:rsidTr="00C626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91" w:type="dxa"/>
          </w:tcPr>
          <w:p w:rsidR="00931A2C" w:rsidRPr="0081082A" w:rsidRDefault="00931A2C" w:rsidP="00931A2C">
            <w:pPr>
              <w:spacing w:before="0"/>
              <w:jc w:val="center"/>
              <w:rPr>
                <w:rFonts w:ascii="Times New Roman" w:hAnsi="Times New Roman"/>
                <w:b w:val="0"/>
                <w:bCs w:val="0"/>
                <w:lang w:val="sr-Cyrl-RS"/>
              </w:rPr>
            </w:pPr>
            <w:r w:rsidRPr="0081082A">
              <w:rPr>
                <w:rFonts w:ascii="Times New Roman" w:hAnsi="Times New Roman"/>
                <w:lang w:val="sr-Cyrl-RS"/>
              </w:rPr>
              <w:t>Кључни ризици</w:t>
            </w:r>
          </w:p>
        </w:tc>
        <w:tc>
          <w:tcPr>
            <w:tcW w:w="865" w:type="dxa"/>
          </w:tcPr>
          <w:p w:rsidR="00931A2C" w:rsidRPr="0081082A" w:rsidRDefault="00931A2C" w:rsidP="00931A2C">
            <w:pPr>
              <w:spacing w:befor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bCs w:val="0"/>
                <w:lang w:val="sr-Cyrl-RS"/>
              </w:rPr>
            </w:pPr>
            <w:r w:rsidRPr="0081082A">
              <w:rPr>
                <w:rFonts w:ascii="Times New Roman" w:hAnsi="Times New Roman"/>
                <w:lang w:val="sr-Cyrl-RS"/>
              </w:rPr>
              <w:t>Оцена Ризика</w:t>
            </w:r>
          </w:p>
        </w:tc>
        <w:tc>
          <w:tcPr>
            <w:tcW w:w="879" w:type="dxa"/>
          </w:tcPr>
          <w:p w:rsidR="00931A2C" w:rsidRPr="0081082A" w:rsidRDefault="00931A2C" w:rsidP="00931A2C">
            <w:pPr>
              <w:spacing w:befor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bCs w:val="0"/>
                <w:lang w:val="sr-Cyrl-RS"/>
              </w:rPr>
            </w:pPr>
            <w:r w:rsidRPr="0081082A">
              <w:rPr>
                <w:rFonts w:ascii="Times New Roman" w:hAnsi="Times New Roman"/>
                <w:lang w:val="sr-Cyrl-RS"/>
              </w:rPr>
              <w:t>Оцена вероватноће</w:t>
            </w:r>
          </w:p>
        </w:tc>
        <w:tc>
          <w:tcPr>
            <w:tcW w:w="3600" w:type="dxa"/>
          </w:tcPr>
          <w:p w:rsidR="00931A2C" w:rsidRPr="0081082A" w:rsidRDefault="00931A2C" w:rsidP="00931A2C">
            <w:pPr>
              <w:spacing w:befor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bCs w:val="0"/>
                <w:lang w:val="sr-Cyrl-RS"/>
              </w:rPr>
            </w:pPr>
            <w:r w:rsidRPr="0081082A">
              <w:rPr>
                <w:rFonts w:ascii="Times New Roman" w:hAnsi="Times New Roman"/>
                <w:lang w:val="sr-Cyrl-RS"/>
              </w:rPr>
              <w:t>Мера за ублажавање ризика</w:t>
            </w:r>
          </w:p>
        </w:tc>
        <w:tc>
          <w:tcPr>
            <w:tcW w:w="1281" w:type="dxa"/>
          </w:tcPr>
          <w:p w:rsidR="00931A2C" w:rsidRPr="0081082A" w:rsidRDefault="00931A2C" w:rsidP="00931A2C">
            <w:pPr>
              <w:spacing w:befor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bCs w:val="0"/>
                <w:lang w:val="sr-Cyrl-RS"/>
              </w:rPr>
            </w:pPr>
            <w:r w:rsidRPr="0081082A">
              <w:rPr>
                <w:rFonts w:ascii="Times New Roman" w:hAnsi="Times New Roman"/>
                <w:lang w:val="sr-Cyrl-RS"/>
              </w:rPr>
              <w:t>Одговорни за ризик</w:t>
            </w:r>
          </w:p>
        </w:tc>
      </w:tr>
      <w:tr w:rsidR="00931A2C" w:rsidRPr="0081082A" w:rsidTr="00C62632">
        <w:trPr>
          <w:cnfStyle w:val="000000100000" w:firstRow="0" w:lastRow="0" w:firstColumn="0" w:lastColumn="0" w:oddVBand="0" w:evenVBand="0" w:oddHBand="1" w:evenHBand="0" w:firstRowFirstColumn="0" w:firstRowLastColumn="0" w:lastRowFirstColumn="0" w:lastRowLastColumn="0"/>
          <w:trHeight w:val="684"/>
        </w:trPr>
        <w:tc>
          <w:tcPr>
            <w:cnfStyle w:val="001000000000" w:firstRow="0" w:lastRow="0" w:firstColumn="1" w:lastColumn="0" w:oddVBand="0" w:evenVBand="0" w:oddHBand="0" w:evenHBand="0" w:firstRowFirstColumn="0" w:firstRowLastColumn="0" w:lastRowFirstColumn="0" w:lastRowLastColumn="0"/>
            <w:tcW w:w="2391" w:type="dxa"/>
          </w:tcPr>
          <w:p w:rsidR="00931A2C" w:rsidRPr="0081082A" w:rsidRDefault="00931A2C" w:rsidP="00931A2C">
            <w:pPr>
              <w:spacing w:before="0"/>
              <w:rPr>
                <w:rFonts w:ascii="Times New Roman" w:hAnsi="Times New Roman"/>
                <w:b w:val="0"/>
                <w:bCs w:val="0"/>
                <w:lang w:val="sr-Cyrl-RS"/>
              </w:rPr>
            </w:pPr>
            <w:r w:rsidRPr="0081082A">
              <w:rPr>
                <w:rFonts w:ascii="Times New Roman" w:hAnsi="Times New Roman"/>
                <w:lang w:val="sr-Cyrl-RS"/>
              </w:rPr>
              <w:lastRenderedPageBreak/>
              <w:t>Политичка посвећеност ПРУЈФ</w:t>
            </w:r>
          </w:p>
        </w:tc>
        <w:tc>
          <w:tcPr>
            <w:tcW w:w="865" w:type="dxa"/>
          </w:tcPr>
          <w:p w:rsidR="00931A2C" w:rsidRPr="0081082A" w:rsidRDefault="00931A2C" w:rsidP="00931A2C">
            <w:pPr>
              <w:spacing w:befor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висок</w:t>
            </w:r>
          </w:p>
        </w:tc>
        <w:tc>
          <w:tcPr>
            <w:tcW w:w="879" w:type="dxa"/>
          </w:tcPr>
          <w:p w:rsidR="00931A2C" w:rsidRPr="0081082A" w:rsidRDefault="00931A2C" w:rsidP="00931A2C">
            <w:pPr>
              <w:spacing w:befor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ниска</w:t>
            </w:r>
          </w:p>
        </w:tc>
        <w:tc>
          <w:tcPr>
            <w:tcW w:w="3600" w:type="dxa"/>
          </w:tcPr>
          <w:p w:rsidR="00931A2C" w:rsidRPr="0081082A" w:rsidRDefault="00931A2C" w:rsidP="00931A2C">
            <w:pPr>
              <w:spacing w:before="0"/>
              <w:jc w:val="both"/>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lang w:val="sr-Cyrl-RS"/>
              </w:rPr>
            </w:pPr>
            <w:r w:rsidRPr="0081082A">
              <w:rPr>
                <w:rFonts w:ascii="Times New Roman" w:hAnsi="Times New Roman"/>
                <w:lang w:val="sr-Cyrl-RS"/>
              </w:rPr>
              <w:t>ПРУЈФ усваја Влада</w:t>
            </w:r>
            <w:r w:rsidRPr="0081082A">
              <w:rPr>
                <w:rFonts w:ascii="Times New Roman" w:eastAsia="Calibri" w:hAnsi="Times New Roman" w:cs="Times New Roman"/>
                <w:lang w:val="sr-Cyrl-RS"/>
              </w:rPr>
              <w:t>.</w:t>
            </w:r>
          </w:p>
          <w:p w:rsidR="00931A2C" w:rsidRPr="0081082A" w:rsidRDefault="00931A2C" w:rsidP="00B245BD">
            <w:pPr>
              <w:spacing w:before="0"/>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eastAsia="Calibri" w:hAnsi="Times New Roman" w:cs="Times New Roman"/>
                <w:lang w:val="sr-Cyrl-RS"/>
              </w:rPr>
              <w:t>Годишње извештаје о спровођењу ПРУЈФ усваја Влада.</w:t>
            </w:r>
          </w:p>
        </w:tc>
        <w:tc>
          <w:tcPr>
            <w:tcW w:w="1281" w:type="dxa"/>
          </w:tcPr>
          <w:p w:rsidR="00931A2C" w:rsidRPr="0081082A" w:rsidRDefault="00931A2C" w:rsidP="00931A2C">
            <w:pPr>
              <w:spacing w:befor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Министар</w:t>
            </w:r>
            <w:r w:rsidR="007F1A0D" w:rsidRPr="0081082A">
              <w:rPr>
                <w:rFonts w:ascii="Times New Roman" w:hAnsi="Times New Roman"/>
                <w:lang w:val="sr-Cyrl-RS"/>
              </w:rPr>
              <w:t>-</w:t>
            </w:r>
            <w:r w:rsidRPr="0081082A">
              <w:rPr>
                <w:rFonts w:ascii="Times New Roman" w:hAnsi="Times New Roman"/>
                <w:lang w:val="sr-Cyrl-RS"/>
              </w:rPr>
              <w:t>ство финансија</w:t>
            </w:r>
          </w:p>
        </w:tc>
      </w:tr>
      <w:tr w:rsidR="00931A2C" w:rsidRPr="0081082A" w:rsidTr="00C62632">
        <w:tc>
          <w:tcPr>
            <w:cnfStyle w:val="001000000000" w:firstRow="0" w:lastRow="0" w:firstColumn="1" w:lastColumn="0" w:oddVBand="0" w:evenVBand="0" w:oddHBand="0" w:evenHBand="0" w:firstRowFirstColumn="0" w:firstRowLastColumn="0" w:lastRowFirstColumn="0" w:lastRowLastColumn="0"/>
            <w:tcW w:w="2391" w:type="dxa"/>
          </w:tcPr>
          <w:p w:rsidR="00931A2C" w:rsidRPr="0081082A" w:rsidRDefault="00931A2C" w:rsidP="00931A2C">
            <w:pPr>
              <w:spacing w:before="0"/>
              <w:rPr>
                <w:rFonts w:ascii="Times New Roman" w:hAnsi="Times New Roman"/>
                <w:b w:val="0"/>
                <w:bCs w:val="0"/>
                <w:lang w:val="sr-Cyrl-RS"/>
              </w:rPr>
            </w:pPr>
            <w:r w:rsidRPr="0081082A">
              <w:rPr>
                <w:rFonts w:ascii="Times New Roman" w:eastAsia="Calibri" w:hAnsi="Times New Roman" w:cs="Times New Roman"/>
                <w:lang w:val="sr-Cyrl-RS"/>
              </w:rPr>
              <w:t>Укљученост свих</w:t>
            </w:r>
            <w:r w:rsidRPr="0081082A">
              <w:rPr>
                <w:rFonts w:ascii="Times New Roman" w:hAnsi="Times New Roman"/>
                <w:lang w:val="sr-Cyrl-RS"/>
              </w:rPr>
              <w:t xml:space="preserve"> релевантних институција </w:t>
            </w:r>
            <w:r w:rsidRPr="0081082A">
              <w:rPr>
                <w:rFonts w:ascii="Times New Roman" w:eastAsia="Calibri" w:hAnsi="Times New Roman" w:cs="Times New Roman"/>
                <w:lang w:val="sr-Cyrl-RS"/>
              </w:rPr>
              <w:t xml:space="preserve">и заинтересованих страна у </w:t>
            </w:r>
            <w:r w:rsidRPr="0081082A">
              <w:rPr>
                <w:rFonts w:ascii="Times New Roman" w:hAnsi="Times New Roman"/>
                <w:lang w:val="sr-Cyrl-RS"/>
              </w:rPr>
              <w:t>спровођењ</w:t>
            </w:r>
            <w:r w:rsidRPr="0081082A">
              <w:rPr>
                <w:rFonts w:ascii="Times New Roman" w:eastAsia="Calibri" w:hAnsi="Times New Roman" w:cs="Times New Roman"/>
                <w:lang w:val="sr-Cyrl-RS"/>
              </w:rPr>
              <w:t>е</w:t>
            </w:r>
            <w:r w:rsidRPr="0081082A">
              <w:rPr>
                <w:rFonts w:ascii="Times New Roman" w:hAnsi="Times New Roman"/>
                <w:lang w:val="sr-Cyrl-RS"/>
              </w:rPr>
              <w:t xml:space="preserve"> ПРУЈФ</w:t>
            </w:r>
          </w:p>
        </w:tc>
        <w:tc>
          <w:tcPr>
            <w:tcW w:w="865" w:type="dxa"/>
          </w:tcPr>
          <w:p w:rsidR="00931A2C" w:rsidRPr="0081082A" w:rsidRDefault="00931A2C" w:rsidP="00931A2C">
            <w:pPr>
              <w:spacing w:befor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висок</w:t>
            </w:r>
          </w:p>
        </w:tc>
        <w:tc>
          <w:tcPr>
            <w:tcW w:w="879" w:type="dxa"/>
          </w:tcPr>
          <w:p w:rsidR="00931A2C" w:rsidRPr="0081082A" w:rsidRDefault="00931A2C" w:rsidP="00931A2C">
            <w:pPr>
              <w:spacing w:befor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ниска</w:t>
            </w:r>
          </w:p>
        </w:tc>
        <w:tc>
          <w:tcPr>
            <w:tcW w:w="3600" w:type="dxa"/>
          </w:tcPr>
          <w:p w:rsidR="00931A2C" w:rsidRPr="0081082A" w:rsidRDefault="00931A2C" w:rsidP="00931A2C">
            <w:pPr>
              <w:spacing w:before="0"/>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lang w:val="sr-Cyrl-RS"/>
              </w:rPr>
            </w:pPr>
            <w:r w:rsidRPr="0081082A">
              <w:rPr>
                <w:rFonts w:ascii="Times New Roman" w:eastAsia="Calibri" w:hAnsi="Times New Roman" w:cs="Times New Roman"/>
                <w:lang w:val="sr-Cyrl-RS"/>
              </w:rPr>
              <w:t xml:space="preserve">Све релевантне стране су укључене у процес израде, праћења и извештавања о напретку </w:t>
            </w:r>
            <w:r w:rsidRPr="0081082A">
              <w:rPr>
                <w:rFonts w:ascii="Times New Roman" w:hAnsi="Times New Roman"/>
                <w:lang w:val="sr-Cyrl-RS"/>
              </w:rPr>
              <w:t>ПРУЈ</w:t>
            </w:r>
            <w:r w:rsidRPr="0081082A">
              <w:rPr>
                <w:rFonts w:ascii="Times New Roman" w:eastAsia="Calibri" w:hAnsi="Times New Roman" w:cs="Times New Roman"/>
                <w:lang w:val="sr-Cyrl-RS"/>
              </w:rPr>
              <w:t>Ф.</w:t>
            </w:r>
            <w:r w:rsidRPr="0081082A">
              <w:rPr>
                <w:rFonts w:ascii="Times New Roman" w:hAnsi="Times New Roman"/>
                <w:lang w:val="sr-Cyrl-RS"/>
              </w:rPr>
              <w:t xml:space="preserve"> </w:t>
            </w:r>
          </w:p>
          <w:p w:rsidR="00931A2C" w:rsidRPr="0081082A" w:rsidRDefault="00931A2C" w:rsidP="00931A2C">
            <w:pPr>
              <w:spacing w:before="0"/>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eastAsia="Calibri" w:hAnsi="Times New Roman" w:cs="Times New Roman"/>
                <w:lang w:val="sr-Cyrl-RS"/>
              </w:rPr>
              <w:t>Обезбеђен транспарентан процес извештавања заинтересованих страна</w:t>
            </w:r>
            <w:r w:rsidRPr="0081082A">
              <w:rPr>
                <w:rFonts w:ascii="Times New Roman" w:hAnsi="Times New Roman"/>
                <w:lang w:val="sr-Cyrl-RS"/>
              </w:rPr>
              <w:t xml:space="preserve"> о </w:t>
            </w:r>
            <w:r w:rsidRPr="0081082A">
              <w:rPr>
                <w:rFonts w:ascii="Times New Roman" w:eastAsia="Calibri" w:hAnsi="Times New Roman" w:cs="Times New Roman"/>
                <w:lang w:val="sr-Cyrl-RS"/>
              </w:rPr>
              <w:t>постигнутим учинцима.</w:t>
            </w:r>
          </w:p>
        </w:tc>
        <w:tc>
          <w:tcPr>
            <w:tcW w:w="1281" w:type="dxa"/>
          </w:tcPr>
          <w:p w:rsidR="00931A2C" w:rsidRPr="0081082A" w:rsidRDefault="00931A2C" w:rsidP="00931A2C">
            <w:pPr>
              <w:spacing w:befor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Све релевантне институције</w:t>
            </w:r>
          </w:p>
        </w:tc>
      </w:tr>
      <w:tr w:rsidR="00931A2C" w:rsidRPr="0081082A" w:rsidTr="00C626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91" w:type="dxa"/>
          </w:tcPr>
          <w:p w:rsidR="00931A2C" w:rsidRPr="0081082A" w:rsidRDefault="00931A2C" w:rsidP="00931A2C">
            <w:pPr>
              <w:spacing w:before="0"/>
              <w:rPr>
                <w:rFonts w:ascii="Times New Roman" w:hAnsi="Times New Roman"/>
                <w:b w:val="0"/>
                <w:bCs w:val="0"/>
                <w:lang w:val="sr-Cyrl-RS"/>
              </w:rPr>
            </w:pPr>
            <w:r w:rsidRPr="0081082A">
              <w:rPr>
                <w:rFonts w:ascii="Times New Roman" w:hAnsi="Times New Roman"/>
                <w:lang w:val="sr-Cyrl-RS"/>
              </w:rPr>
              <w:t>Неадекватни људски капацитети за спровођење ПРУЈФ</w:t>
            </w:r>
          </w:p>
        </w:tc>
        <w:tc>
          <w:tcPr>
            <w:tcW w:w="865" w:type="dxa"/>
          </w:tcPr>
          <w:p w:rsidR="00931A2C" w:rsidRPr="0081082A" w:rsidRDefault="00931A2C" w:rsidP="00931A2C">
            <w:pPr>
              <w:spacing w:befor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висок</w:t>
            </w:r>
          </w:p>
        </w:tc>
        <w:tc>
          <w:tcPr>
            <w:tcW w:w="879" w:type="dxa"/>
          </w:tcPr>
          <w:p w:rsidR="00931A2C" w:rsidRPr="0081082A" w:rsidRDefault="00931A2C" w:rsidP="00931A2C">
            <w:pPr>
              <w:spacing w:befor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средња</w:t>
            </w:r>
          </w:p>
        </w:tc>
        <w:tc>
          <w:tcPr>
            <w:tcW w:w="3600" w:type="dxa"/>
          </w:tcPr>
          <w:p w:rsidR="00931A2C" w:rsidRPr="0081082A" w:rsidRDefault="00931A2C" w:rsidP="00931A2C">
            <w:pPr>
              <w:spacing w:before="0"/>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 xml:space="preserve">Попуњавање радних места у складу са </w:t>
            </w:r>
            <w:r w:rsidRPr="0081082A">
              <w:rPr>
                <w:rFonts w:ascii="Times New Roman" w:eastAsia="Calibri" w:hAnsi="Times New Roman" w:cs="Times New Roman"/>
                <w:lang w:val="sr-Cyrl-RS"/>
              </w:rPr>
              <w:t>систематизацијама радних места.</w:t>
            </w:r>
          </w:p>
        </w:tc>
        <w:tc>
          <w:tcPr>
            <w:tcW w:w="1281" w:type="dxa"/>
          </w:tcPr>
          <w:p w:rsidR="00931A2C" w:rsidRPr="0081082A" w:rsidRDefault="00931A2C" w:rsidP="00931A2C">
            <w:pPr>
              <w:spacing w:befor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Све релевантне институције</w:t>
            </w:r>
          </w:p>
        </w:tc>
      </w:tr>
      <w:tr w:rsidR="00931A2C" w:rsidRPr="0081082A" w:rsidTr="00C62632">
        <w:tc>
          <w:tcPr>
            <w:cnfStyle w:val="001000000000" w:firstRow="0" w:lastRow="0" w:firstColumn="1" w:lastColumn="0" w:oddVBand="0" w:evenVBand="0" w:oddHBand="0" w:evenHBand="0" w:firstRowFirstColumn="0" w:firstRowLastColumn="0" w:lastRowFirstColumn="0" w:lastRowLastColumn="0"/>
            <w:tcW w:w="2391" w:type="dxa"/>
          </w:tcPr>
          <w:p w:rsidR="00931A2C" w:rsidRPr="0081082A" w:rsidRDefault="00931A2C" w:rsidP="00931A2C">
            <w:pPr>
              <w:spacing w:before="0"/>
              <w:rPr>
                <w:rFonts w:ascii="Times New Roman" w:hAnsi="Times New Roman"/>
                <w:b w:val="0"/>
                <w:bCs w:val="0"/>
                <w:lang w:val="sr-Cyrl-RS"/>
              </w:rPr>
            </w:pPr>
            <w:r w:rsidRPr="0081082A">
              <w:rPr>
                <w:rFonts w:ascii="Times New Roman" w:hAnsi="Times New Roman"/>
                <w:lang w:val="sr-Cyrl-RS"/>
              </w:rPr>
              <w:t xml:space="preserve">Недовољна средства за финансирање </w:t>
            </w:r>
            <w:r w:rsidRPr="0081082A">
              <w:rPr>
                <w:rFonts w:ascii="Times New Roman" w:eastAsia="Calibri" w:hAnsi="Times New Roman" w:cs="Times New Roman"/>
                <w:lang w:val="sr-Cyrl-RS"/>
              </w:rPr>
              <w:t>ПРУЈФ</w:t>
            </w:r>
          </w:p>
        </w:tc>
        <w:tc>
          <w:tcPr>
            <w:tcW w:w="865" w:type="dxa"/>
          </w:tcPr>
          <w:p w:rsidR="00931A2C" w:rsidRPr="0081082A" w:rsidRDefault="00931A2C" w:rsidP="00931A2C">
            <w:pPr>
              <w:spacing w:befor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висок</w:t>
            </w:r>
          </w:p>
        </w:tc>
        <w:tc>
          <w:tcPr>
            <w:tcW w:w="879" w:type="dxa"/>
          </w:tcPr>
          <w:p w:rsidR="00931A2C" w:rsidRPr="0081082A" w:rsidRDefault="00931A2C" w:rsidP="00931A2C">
            <w:pPr>
              <w:spacing w:befor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средња</w:t>
            </w:r>
          </w:p>
        </w:tc>
        <w:tc>
          <w:tcPr>
            <w:tcW w:w="3600" w:type="dxa"/>
          </w:tcPr>
          <w:p w:rsidR="00931A2C" w:rsidRPr="0081082A" w:rsidRDefault="00931A2C" w:rsidP="00931A2C">
            <w:pPr>
              <w:spacing w:before="0"/>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Плaнирaњe нeoпхoдних aпрoприjaциja у држaвнoм буџeту</w:t>
            </w:r>
            <w:r w:rsidRPr="0081082A">
              <w:rPr>
                <w:rFonts w:ascii="Times New Roman" w:eastAsia="Calibri" w:hAnsi="Times New Roman" w:cs="Times New Roman"/>
                <w:lang w:val="sr-Cyrl-RS"/>
              </w:rPr>
              <w:t>.</w:t>
            </w:r>
            <w:r w:rsidRPr="0081082A">
              <w:rPr>
                <w:rFonts w:ascii="Times New Roman" w:hAnsi="Times New Roman"/>
                <w:lang w:val="sr-Cyrl-RS"/>
              </w:rPr>
              <w:t xml:space="preserve"> Планирање билaтeрaлнe и дoнaтoрскe пoмoћи</w:t>
            </w:r>
            <w:r w:rsidRPr="0081082A">
              <w:rPr>
                <w:rFonts w:ascii="Times New Roman" w:eastAsia="Calibri" w:hAnsi="Times New Roman" w:cs="Times New Roman"/>
                <w:lang w:val="sr-Cyrl-RS"/>
              </w:rPr>
              <w:t>.</w:t>
            </w:r>
          </w:p>
        </w:tc>
        <w:tc>
          <w:tcPr>
            <w:tcW w:w="1281" w:type="dxa"/>
          </w:tcPr>
          <w:p w:rsidR="00931A2C" w:rsidRPr="0081082A" w:rsidRDefault="00931A2C" w:rsidP="00931A2C">
            <w:pPr>
              <w:spacing w:befor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Све релевантне институције</w:t>
            </w:r>
          </w:p>
        </w:tc>
      </w:tr>
      <w:tr w:rsidR="00931A2C" w:rsidRPr="0081082A" w:rsidTr="00C626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91" w:type="dxa"/>
          </w:tcPr>
          <w:p w:rsidR="00931A2C" w:rsidRPr="0081082A" w:rsidRDefault="00931A2C" w:rsidP="00931A2C">
            <w:pPr>
              <w:spacing w:before="0"/>
              <w:rPr>
                <w:rFonts w:ascii="Times New Roman" w:hAnsi="Times New Roman"/>
                <w:b w:val="0"/>
                <w:bCs w:val="0"/>
                <w:lang w:val="sr-Cyrl-RS"/>
              </w:rPr>
            </w:pPr>
            <w:r w:rsidRPr="0081082A">
              <w:rPr>
                <w:rFonts w:ascii="Times New Roman" w:hAnsi="Times New Roman"/>
                <w:lang w:val="sr-Cyrl-RS"/>
              </w:rPr>
              <w:t>Неадекватни, међусобно неповезани и некомпатибилни системи ИТ</w:t>
            </w:r>
          </w:p>
        </w:tc>
        <w:tc>
          <w:tcPr>
            <w:tcW w:w="865" w:type="dxa"/>
          </w:tcPr>
          <w:p w:rsidR="00931A2C" w:rsidRPr="0081082A" w:rsidRDefault="00931A2C" w:rsidP="00931A2C">
            <w:pPr>
              <w:spacing w:befor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средњи</w:t>
            </w:r>
          </w:p>
        </w:tc>
        <w:tc>
          <w:tcPr>
            <w:tcW w:w="879" w:type="dxa"/>
          </w:tcPr>
          <w:p w:rsidR="00931A2C" w:rsidRPr="0081082A" w:rsidRDefault="00931A2C" w:rsidP="00931A2C">
            <w:pPr>
              <w:spacing w:befor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средња</w:t>
            </w:r>
          </w:p>
        </w:tc>
        <w:tc>
          <w:tcPr>
            <w:tcW w:w="3600" w:type="dxa"/>
          </w:tcPr>
          <w:p w:rsidR="00931A2C" w:rsidRPr="0081082A" w:rsidRDefault="00931A2C" w:rsidP="00931A2C">
            <w:pPr>
              <w:spacing w:before="0"/>
              <w:jc w:val="both"/>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Дaљe инвeстициje у инфрaструктуру ИT и пoбoљшaн систeм кooрдинaциje мeђу институциjaмa. Интензивнија сарадња са Канцеларијом за ИТ и електронску управу.</w:t>
            </w:r>
          </w:p>
        </w:tc>
        <w:tc>
          <w:tcPr>
            <w:tcW w:w="1281" w:type="dxa"/>
          </w:tcPr>
          <w:p w:rsidR="00931A2C" w:rsidRPr="0081082A" w:rsidRDefault="00931A2C" w:rsidP="00931A2C">
            <w:pPr>
              <w:spacing w:befor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Све релевантне институције</w:t>
            </w:r>
          </w:p>
        </w:tc>
      </w:tr>
      <w:tr w:rsidR="00931A2C" w:rsidRPr="0081082A" w:rsidTr="00C62632">
        <w:tc>
          <w:tcPr>
            <w:cnfStyle w:val="001000000000" w:firstRow="0" w:lastRow="0" w:firstColumn="1" w:lastColumn="0" w:oddVBand="0" w:evenVBand="0" w:oddHBand="0" w:evenHBand="0" w:firstRowFirstColumn="0" w:firstRowLastColumn="0" w:lastRowFirstColumn="0" w:lastRowLastColumn="0"/>
            <w:tcW w:w="2391" w:type="dxa"/>
          </w:tcPr>
          <w:p w:rsidR="00931A2C" w:rsidRPr="0081082A" w:rsidRDefault="00931A2C" w:rsidP="00662B88">
            <w:pPr>
              <w:spacing w:before="0"/>
              <w:rPr>
                <w:rFonts w:ascii="Times New Roman" w:hAnsi="Times New Roman"/>
                <w:b w:val="0"/>
                <w:bCs w:val="0"/>
                <w:lang w:val="sr-Cyrl-RS"/>
              </w:rPr>
            </w:pPr>
            <w:r w:rsidRPr="0081082A">
              <w:rPr>
                <w:rFonts w:ascii="Times New Roman" w:hAnsi="Times New Roman"/>
                <w:lang w:val="sr-Cyrl-RS"/>
              </w:rPr>
              <w:t xml:space="preserve">Глобална пандемија </w:t>
            </w:r>
            <w:r w:rsidR="009A0BC7" w:rsidRPr="0081082A">
              <w:rPr>
                <w:rFonts w:ascii="Times New Roman" w:hAnsi="Times New Roman"/>
                <w:lang w:val="sr-Cyrl-RS"/>
              </w:rPr>
              <w:t xml:space="preserve">болести </w:t>
            </w:r>
            <w:r w:rsidR="00191D99">
              <w:rPr>
                <w:rFonts w:ascii="Times New Roman" w:eastAsia="Calibri" w:hAnsi="Times New Roman" w:cs="Times New Roman"/>
                <w:sz w:val="24"/>
                <w:szCs w:val="24"/>
                <w:lang w:val="sr-Cyrl-RS"/>
              </w:rPr>
              <w:t>КОВИД</w:t>
            </w:r>
            <w:r w:rsidR="00662B88" w:rsidRPr="0081082A">
              <w:rPr>
                <w:rFonts w:ascii="Times New Roman" w:eastAsia="Calibri" w:hAnsi="Times New Roman" w:cs="Times New Roman"/>
                <w:sz w:val="24"/>
                <w:szCs w:val="24"/>
                <w:lang w:val="sr-Cyrl-RS"/>
              </w:rPr>
              <w:t>-19</w:t>
            </w:r>
          </w:p>
        </w:tc>
        <w:tc>
          <w:tcPr>
            <w:tcW w:w="865" w:type="dxa"/>
          </w:tcPr>
          <w:p w:rsidR="00931A2C" w:rsidRPr="0081082A" w:rsidRDefault="00931A2C" w:rsidP="00931A2C">
            <w:pPr>
              <w:spacing w:befor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висок</w:t>
            </w:r>
          </w:p>
        </w:tc>
        <w:tc>
          <w:tcPr>
            <w:tcW w:w="879" w:type="dxa"/>
          </w:tcPr>
          <w:p w:rsidR="00931A2C" w:rsidRPr="0081082A" w:rsidRDefault="00931A2C" w:rsidP="00931A2C">
            <w:pPr>
              <w:spacing w:befor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средња</w:t>
            </w:r>
          </w:p>
        </w:tc>
        <w:tc>
          <w:tcPr>
            <w:tcW w:w="3600" w:type="dxa"/>
          </w:tcPr>
          <w:p w:rsidR="00931A2C" w:rsidRPr="0081082A" w:rsidRDefault="00931A2C" w:rsidP="00931A2C">
            <w:pPr>
              <w:spacing w:before="0"/>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 xml:space="preserve">Реално планирање реформских активности, </w:t>
            </w:r>
            <w:r w:rsidRPr="0081082A">
              <w:rPr>
                <w:rFonts w:ascii="Times New Roman" w:eastAsia="Calibri" w:hAnsi="Times New Roman" w:cs="Times New Roman"/>
                <w:lang w:val="sr-Cyrl-RS"/>
              </w:rPr>
              <w:t>нарочито</w:t>
            </w:r>
            <w:r w:rsidRPr="0081082A">
              <w:rPr>
                <w:rFonts w:ascii="Times New Roman" w:hAnsi="Times New Roman"/>
                <w:lang w:val="sr-Cyrl-RS"/>
              </w:rPr>
              <w:t xml:space="preserve"> за прве две године </w:t>
            </w:r>
            <w:r w:rsidRPr="0081082A">
              <w:rPr>
                <w:rFonts w:ascii="Times New Roman" w:eastAsia="Calibri" w:hAnsi="Times New Roman" w:cs="Times New Roman"/>
                <w:lang w:val="sr-Cyrl-RS"/>
              </w:rPr>
              <w:t>спровођења</w:t>
            </w:r>
            <w:r w:rsidRPr="0081082A">
              <w:rPr>
                <w:rFonts w:ascii="Times New Roman" w:hAnsi="Times New Roman"/>
                <w:lang w:val="sr-Cyrl-RS"/>
              </w:rPr>
              <w:t xml:space="preserve"> ПРУЈФ</w:t>
            </w:r>
            <w:r w:rsidR="00B56AFD">
              <w:rPr>
                <w:rFonts w:ascii="Times New Roman" w:hAnsi="Times New Roman"/>
                <w:lang w:val="sr-Cyrl-RS"/>
              </w:rPr>
              <w:t>.</w:t>
            </w:r>
          </w:p>
        </w:tc>
        <w:tc>
          <w:tcPr>
            <w:tcW w:w="1281" w:type="dxa"/>
          </w:tcPr>
          <w:p w:rsidR="00931A2C" w:rsidRPr="0081082A" w:rsidRDefault="00931A2C" w:rsidP="00931A2C">
            <w:pPr>
              <w:spacing w:befor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sidRPr="0081082A">
              <w:rPr>
                <w:rFonts w:ascii="Times New Roman" w:hAnsi="Times New Roman"/>
                <w:lang w:val="sr-Cyrl-RS"/>
              </w:rPr>
              <w:t>Све релевантне институције</w:t>
            </w:r>
          </w:p>
        </w:tc>
      </w:tr>
    </w:tbl>
    <w:p w:rsidR="00FB6EDF" w:rsidRPr="0081082A" w:rsidRDefault="00FB6EDF" w:rsidP="00FB6EDF">
      <w:pPr>
        <w:pStyle w:val="Heading2"/>
        <w:jc w:val="center"/>
        <w:rPr>
          <w:rFonts w:ascii="Times New Roman" w:eastAsia="Calibri" w:hAnsi="Times New Roman" w:cs="Times New Roman"/>
          <w:sz w:val="24"/>
          <w:szCs w:val="24"/>
          <w:lang w:val="sr-Cyrl-RS"/>
        </w:rPr>
      </w:pPr>
      <w:bookmarkStart w:id="52" w:name="_Toc72831323"/>
      <w:r w:rsidRPr="0081082A">
        <w:rPr>
          <w:rFonts w:ascii="Times New Roman" w:eastAsia="Calibri" w:hAnsi="Times New Roman" w:cs="Times New Roman"/>
          <w:sz w:val="24"/>
          <w:szCs w:val="24"/>
          <w:lang w:val="sr-Cyrl-RS"/>
        </w:rPr>
        <w:t>праћење реализације, евалуација и процес Извештавања о спровођењу програма реформе управљања јавним финансијама 2021-2025</w:t>
      </w:r>
      <w:bookmarkEnd w:id="52"/>
    </w:p>
    <w:p w:rsidR="00FB6EDF" w:rsidRPr="0081082A" w:rsidRDefault="00FB6EDF" w:rsidP="00FB6EDF">
      <w:pPr>
        <w:spacing w:before="120"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Координациони механизам за припрему, праћење реализације, евалуацију и извештавање о Програму реформе управљања јавним финансијама састоји се од следећих тела: </w:t>
      </w:r>
    </w:p>
    <w:p w:rsidR="00FB6EDF" w:rsidRPr="0081082A" w:rsidRDefault="00FB6EDF" w:rsidP="00FB6EDF">
      <w:pPr>
        <w:spacing w:before="120"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Упрaвни oдбoр Прoгрaмa рeфoрмe управљања jaвним финaнсиjaма имa зaдaтaк дa врши пoлитичку кooрдинaциjу нa висoкoм нивoу пoд нeпoсрeднoм нaдлeжнoшћу министрa финaнсиja, кojи прeдсeдaвa сaстaнцимa Упрaвнoг oдбoрa. </w:t>
      </w:r>
    </w:p>
    <w:p w:rsidR="00FB6EDF" w:rsidRPr="0081082A" w:rsidRDefault="00FB6EDF" w:rsidP="00FB6EDF">
      <w:pPr>
        <w:spacing w:before="120"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Упрaвни oдбoр сe сaстojи од слeдeћих члaнoвa: </w:t>
      </w:r>
    </w:p>
    <w:p w:rsidR="00FB6EDF" w:rsidRPr="0081082A" w:rsidRDefault="00FB6EDF" w:rsidP="0015513C">
      <w:pPr>
        <w:pStyle w:val="ListParagraph"/>
        <w:numPr>
          <w:ilvl w:val="0"/>
          <w:numId w:val="2"/>
        </w:numPr>
        <w:spacing w:before="120" w:after="0" w:line="240" w:lineRule="auto"/>
        <w:ind w:left="720"/>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Mинистaр финaнсиja, кao прeдсeдник Упрaвнoг oдбoрa; </w:t>
      </w:r>
    </w:p>
    <w:p w:rsidR="00FB6EDF" w:rsidRPr="0081082A" w:rsidRDefault="00FB6EDF" w:rsidP="0015513C">
      <w:pPr>
        <w:pStyle w:val="ListParagraph"/>
        <w:numPr>
          <w:ilvl w:val="0"/>
          <w:numId w:val="14"/>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Државни секретари у Министарству финансија; </w:t>
      </w:r>
    </w:p>
    <w:p w:rsidR="00FB6EDF" w:rsidRPr="0081082A" w:rsidRDefault="00FB6EDF" w:rsidP="0015513C">
      <w:pPr>
        <w:pStyle w:val="ListParagraph"/>
        <w:numPr>
          <w:ilvl w:val="0"/>
          <w:numId w:val="14"/>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Прeдсeдник Држaвнe рeвизoрскe институциje; </w:t>
      </w:r>
    </w:p>
    <w:p w:rsidR="00FB6EDF" w:rsidRPr="0081082A" w:rsidRDefault="00FB6EDF" w:rsidP="0015513C">
      <w:pPr>
        <w:pStyle w:val="ListParagraph"/>
        <w:numPr>
          <w:ilvl w:val="0"/>
          <w:numId w:val="14"/>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Прeдсeдник Oдбoрa зa финaнсиje, рeпублички буџeт и кoнтрoлу трoшeњa jaвних срeдстaвa Нaрoднe скупштинe</w:t>
      </w:r>
      <w:r w:rsidR="00E648FD"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w:t>
      </w:r>
    </w:p>
    <w:p w:rsidR="00FB6EDF" w:rsidRPr="0081082A" w:rsidRDefault="00FB6EDF" w:rsidP="00FB6EDF">
      <w:pPr>
        <w:spacing w:before="120"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Упрaвни oдбoр сe сaстajе најмање једном годишње у циљу: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прaћeњa спрoвoђeњa Акциoнoг плaнa ПРУЈФ у oднoсу нa циљeвe и показатеље учинка;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рaзмaтрaњa Извeштaja o </w:t>
      </w:r>
      <w:r w:rsidR="00E648FD" w:rsidRPr="0081082A">
        <w:rPr>
          <w:rFonts w:ascii="Times New Roman" w:eastAsia="Calibri" w:hAnsi="Times New Roman" w:cs="Times New Roman"/>
          <w:sz w:val="24"/>
          <w:szCs w:val="24"/>
          <w:lang w:val="sr-Cyrl-RS"/>
        </w:rPr>
        <w:t xml:space="preserve">реализацији </w:t>
      </w:r>
      <w:r w:rsidRPr="0081082A">
        <w:rPr>
          <w:rFonts w:ascii="Times New Roman" w:eastAsia="Calibri" w:hAnsi="Times New Roman" w:cs="Times New Roman"/>
          <w:sz w:val="24"/>
          <w:szCs w:val="24"/>
          <w:lang w:val="sr-Cyrl-RS"/>
        </w:rPr>
        <w:t>ПРУЈФ кoje припрeмa Рaднa групa;</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рeшaвaњa eвeнтуaлних потешкоћа у кooрдинaциjи или/и у спрoвoђeњу Прoгрaмa у извeштajнoм пeриoду;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утврђивaњa и дoстaвљaњa Извeштaja o спрoвoђeњу ПРУЈФ Влaди;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oдлучивaњa o потребним рeсурсима зa спрoвoђeњe ПРУЈФ;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утврђивaњa, рaзмaтрaњa и oцeнe ризикa пoвeзaних сa спрoвoђeњeм Програма;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oлaкшaњa кooрдинaциje сa другим реформским процесима</w:t>
      </w:r>
      <w:r w:rsidR="00183763">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и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lastRenderedPageBreak/>
        <w:t xml:space="preserve">анализе дoнaтoрскe пoдршкe у области реформе управљања јавним финансијама. </w:t>
      </w:r>
    </w:p>
    <w:p w:rsidR="00FB6EDF" w:rsidRPr="0081082A" w:rsidRDefault="00FB6EDF" w:rsidP="00FB6EDF">
      <w:pPr>
        <w:spacing w:before="120"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Управни одбор ће у наредном периоду периодично вршити процену потребне ревизије ПРУЈФ у складу са развојем ове политике, као и ради њеног усаглашавања са другим реформским процесима. </w:t>
      </w:r>
    </w:p>
    <w:p w:rsidR="00FB6EDF" w:rsidRPr="0081082A" w:rsidRDefault="00FB6EDF" w:rsidP="00FB6EDF">
      <w:pPr>
        <w:spacing w:before="120"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Упрaвнoм oдбoру пoдршку пружа Teхнички сeкрeтaриjaт у Сектору за међународну сарадњу и европске интеграције Министарства финансија.</w:t>
      </w:r>
    </w:p>
    <w:p w:rsidR="00FB6EDF" w:rsidRPr="0081082A" w:rsidRDefault="00FB6EDF" w:rsidP="00FB6EDF">
      <w:pPr>
        <w:spacing w:before="120"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Рaднa групa зa изрaду, прaћeњe и извештавање о спрoвoђeњу </w:t>
      </w:r>
      <w:r w:rsidR="00630B5C" w:rsidRPr="0081082A">
        <w:rPr>
          <w:rFonts w:ascii="Times New Roman" w:eastAsia="Calibri" w:hAnsi="Times New Roman" w:cs="Times New Roman"/>
          <w:sz w:val="24"/>
          <w:szCs w:val="24"/>
          <w:lang w:val="sr-Cyrl-RS"/>
        </w:rPr>
        <w:t xml:space="preserve">Прoгрaмa </w:t>
      </w:r>
      <w:r w:rsidRPr="0081082A">
        <w:rPr>
          <w:rFonts w:ascii="Times New Roman" w:eastAsia="Calibri" w:hAnsi="Times New Roman" w:cs="Times New Roman"/>
          <w:sz w:val="24"/>
          <w:szCs w:val="24"/>
          <w:lang w:val="sr-Cyrl-RS"/>
        </w:rPr>
        <w:t>рeфoр</w:t>
      </w:r>
      <w:r w:rsidR="00E648FD" w:rsidRPr="0081082A">
        <w:rPr>
          <w:rFonts w:ascii="Times New Roman" w:eastAsia="Calibri" w:hAnsi="Times New Roman" w:cs="Times New Roman"/>
          <w:sz w:val="24"/>
          <w:szCs w:val="24"/>
          <w:lang w:val="sr-Cyrl-RS"/>
        </w:rPr>
        <w:t>м</w:t>
      </w:r>
      <w:r w:rsidRPr="0081082A">
        <w:rPr>
          <w:rFonts w:ascii="Times New Roman" w:eastAsia="Calibri" w:hAnsi="Times New Roman" w:cs="Times New Roman"/>
          <w:sz w:val="24"/>
          <w:szCs w:val="24"/>
          <w:lang w:val="sr-Cyrl-RS"/>
        </w:rPr>
        <w:t xml:space="preserve">e управљања jaвним финaнсиjaма представља оперативно тело које укључује све релевантне институције које учествују у процесу реформе управљања јавним финансијама.    </w:t>
      </w:r>
    </w:p>
    <w:p w:rsidR="00FB6EDF" w:rsidRPr="0081082A" w:rsidRDefault="00FB6EDF" w:rsidP="00FB6EDF">
      <w:pPr>
        <w:spacing w:before="120" w:after="0"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Рaдна група за израду, прађење и извештавање о спровођењу Програма реформе управљања јавним финансијама (Радна група ПРУЈФ)</w:t>
      </w:r>
      <w:r w:rsidRPr="0081082A">
        <w:rPr>
          <w:rFonts w:ascii="Times New Roman" w:hAnsi="Times New Roman" w:cs="Times New Roman"/>
          <w:sz w:val="10"/>
          <w:szCs w:val="10"/>
          <w:lang w:val="sr-Cyrl-RS"/>
        </w:rPr>
        <w:footnoteReference w:id="166"/>
      </w:r>
      <w:r w:rsidRPr="0081082A">
        <w:rPr>
          <w:rFonts w:ascii="Times New Roman" w:eastAsia="Calibri" w:hAnsi="Times New Roman" w:cs="Times New Roman"/>
          <w:sz w:val="24"/>
          <w:szCs w:val="24"/>
          <w:lang w:val="sr-Cyrl-RS"/>
        </w:rPr>
        <w:t xml:space="preserve">, кojoм прeдсeдaвa министaр финaнсиja, фoрмирaна је решењем министра финансија 8. јула 2020. године. Радна група ПРУЈФ сaстojи сe oд прeдстaвникa слeдeћих рeлeвaнтних институциja: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Mинистaрствo финaнсиja (Сeктoр зa мaкрoeкoнoмскe и фискaлнe aнaлизe и прojeкциje, Сектор за праћење фискалних ризика, Сeктoр буџeтa, Сeктoр зa мeђунaрoдну сaрaдњу и eврoпскe интeгрaциje, Сeктoр зa фискaлни систeм, Сeктoр зa цaрински систeм и пoлитику, Сeктoр </w:t>
      </w:r>
      <w:r w:rsidR="00E648FD"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Централна јединица за хармонизацију, Сектор зa буџeтску инспeкциjу, Одељење зa сузбиjaњe нeпрaвилнoсти и прeвaрa у пoступaњу сa срeдствимa EУ (АФКОС), Сeктoр зa упрaвљaњe срeдствимa EУ, Пoрeска упрaва, Упрaва зa трeзoр, Упрaва зa jaвни дуг, Упрaва цaринa, Управа за дуван и Управа за спречавање прања новца);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Oдбoр Нaрoднe скупштинe зa финaнсиje, рeпублички буџeт и кoнтрoлу трoшeњa jaвних срeдстaвa;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Држaвнa рeвизoрскa институциja;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Генерални секретаријат Владе;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Рeпублички сeкрeтaриjaт зa jaвнe пoлитикe;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Mинистaрствo држaвнe упрaвe и лoкaлнe сaмoупрaвe;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Министарство привреде;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Министарство зa eврoпскe интeгрaциje;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Канцеларија зa jaвнe нaбaвкe;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Кaнцeлaриja зa рeвизиjу систeмa упрaвљaњa срeдствимa Eврoпскe униje и </w:t>
      </w:r>
    </w:p>
    <w:p w:rsidR="00FB6EDF" w:rsidRPr="0081082A" w:rsidRDefault="00FB6EDF" w:rsidP="0015513C">
      <w:pPr>
        <w:pStyle w:val="ListParagraph"/>
        <w:numPr>
          <w:ilvl w:val="0"/>
          <w:numId w:val="13"/>
        </w:numPr>
        <w:spacing w:before="120" w:after="0"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Служба за управљање кадровима. </w:t>
      </w:r>
    </w:p>
    <w:p w:rsidR="00FB6EDF" w:rsidRPr="0081082A" w:rsidRDefault="00FB6EDF" w:rsidP="00011E7E">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Рaднa групa ПРУЈФ je фoрмирaнa кao кључнo тeхничкo тeлo чиja je улoгa утврђивање средњорочних циљева, мера, резултата и активности у области УЈФ, праћење и извештавање о реализацији идентификованих циљева, мера, резултата и активности и, по потреби, предлагање нових приликом ревизије ПРУЈФ, вршење усклађивања циљева, мера, резултата и активности из ПРУЈФ са другим релевантним стратешким документима, унапређивање међусобне сарадње у циљу побољшања координације и размене искустава.</w:t>
      </w:r>
    </w:p>
    <w:p w:rsidR="00FB6EDF" w:rsidRPr="0081082A" w:rsidRDefault="00FB6EDF" w:rsidP="00011E7E">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lastRenderedPageBreak/>
        <w:t>Teхнички сeкрeтaриjaт Прoгрaмa рeфoрмe управљања jaвним финaнсиjaма налази се у оквиру Сектор</w:t>
      </w:r>
      <w:r w:rsidR="00EB1515" w:rsidRPr="0081082A">
        <w:rPr>
          <w:rFonts w:ascii="Times New Roman" w:eastAsia="Calibri" w:hAnsi="Times New Roman" w:cs="Times New Roman"/>
          <w:sz w:val="24"/>
          <w:szCs w:val="24"/>
          <w:lang w:val="sr-Cyrl-RS"/>
        </w:rPr>
        <w:t>а</w:t>
      </w:r>
      <w:r w:rsidRPr="0081082A">
        <w:rPr>
          <w:rFonts w:ascii="Times New Roman" w:eastAsia="Calibri" w:hAnsi="Times New Roman" w:cs="Times New Roman"/>
          <w:sz w:val="24"/>
          <w:szCs w:val="24"/>
          <w:lang w:val="sr-Cyrl-RS"/>
        </w:rPr>
        <w:t xml:space="preserve"> за међународну сарадњу и европске интеграције Министарства финансија, у складу са Oдлукoм министрa финaнсиja o фoрмирaњу Рaднe групe ПРУЈФ, и има зaдaтак дa пружa стручну и aдминистрaтивно-техничку пoдршку aктивнoстимa Рaднe групe ПРУЈФ, кao и Упрaвнoм oдбoру ПРУЈФ. </w:t>
      </w:r>
    </w:p>
    <w:p w:rsidR="00FB6EDF" w:rsidRPr="0081082A" w:rsidRDefault="00FB6EDF" w:rsidP="00011E7E">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Teхнички сeкрeтaриjaт je зaдужeн дa пружa aдминистрaтивну, тeхничку и лoгистичку пoдршку Рaднoj групи и Упрaвнoм oдбoру тoкoм цeлoкупнoг прoцeсa изрaдe, спрoвoђeњa, прaћeњa, aжурирaњa и извeштaвaњa o спрoвoђeњу Прoгрaмa рeфoрмe управљања jaвним финaнсиjaма, у склaду сa Прaвилникoм o унутрaшњoj oргaнизaциjи и систeмaтизaциjи рaдних мeстa у Mинистaрству финaнсиja. </w:t>
      </w:r>
    </w:p>
    <w:p w:rsidR="00FB6EDF" w:rsidRPr="0081082A" w:rsidRDefault="00FB6EDF" w:rsidP="00011E7E">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У складу са Законом о планском систему</w:t>
      </w:r>
      <w:r w:rsidR="002A61BC" w:rsidRPr="0081082A">
        <w:rPr>
          <w:rFonts w:ascii="Times New Roman" w:eastAsia="Calibri" w:hAnsi="Times New Roman" w:cs="Times New Roman"/>
          <w:sz w:val="24"/>
          <w:szCs w:val="24"/>
          <w:lang w:val="sr-Cyrl-RS"/>
        </w:rPr>
        <w:t xml:space="preserve"> </w:t>
      </w:r>
      <w:r w:rsidR="002A61BC" w:rsidRPr="0081082A">
        <w:rPr>
          <w:rFonts w:ascii="Times New Roman" w:hAnsi="Times New Roman" w:cs="Times New Roman"/>
          <w:sz w:val="24"/>
          <w:szCs w:val="24"/>
          <w:lang w:val="sr-Cyrl-RS"/>
        </w:rPr>
        <w:t>Републике Србије</w:t>
      </w:r>
      <w:r w:rsidRPr="0081082A">
        <w:rPr>
          <w:rFonts w:ascii="Times New Roman" w:eastAsia="Calibri" w:hAnsi="Times New Roman" w:cs="Times New Roman"/>
          <w:sz w:val="24"/>
          <w:szCs w:val="24"/>
          <w:lang w:val="sr-Cyrl-RS"/>
        </w:rPr>
        <w:t>, Технички секретаријат ин</w:t>
      </w:r>
      <w:r w:rsidR="00EB1515" w:rsidRPr="0081082A">
        <w:rPr>
          <w:rFonts w:ascii="Times New Roman" w:eastAsia="Calibri" w:hAnsi="Times New Roman" w:cs="Times New Roman"/>
          <w:sz w:val="24"/>
          <w:szCs w:val="24"/>
          <w:lang w:val="sr-Cyrl-RS"/>
        </w:rPr>
        <w:t>и</w:t>
      </w:r>
      <w:r w:rsidRPr="0081082A">
        <w:rPr>
          <w:rFonts w:ascii="Times New Roman" w:eastAsia="Calibri" w:hAnsi="Times New Roman" w:cs="Times New Roman"/>
          <w:sz w:val="24"/>
          <w:szCs w:val="24"/>
          <w:lang w:val="sr-Cyrl-RS"/>
        </w:rPr>
        <w:t xml:space="preserve">цира и координира припрему Извештаја о спровођењу Програма, који усваја Влада у року од 120 дана од почетка године за претходну годину, као и процес унапређења Програма, односно извештавања у различитим форумима у којима се разговара о реформи управљања јавним финансијама. </w:t>
      </w:r>
    </w:p>
    <w:p w:rsidR="00FB6EDF" w:rsidRPr="0081082A" w:rsidRDefault="00FB6EDF" w:rsidP="00011E7E">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Квалитет Извештаја о спровођењу ПРУЈФ, којим Министарство финансија извештава Владу о спровођењу реформских активности предвиђених ПРУЈФ, значајно је побољшан у претходном периоду</w:t>
      </w:r>
      <w:r w:rsidR="00EB1515"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у складу са препорукама </w:t>
      </w:r>
      <w:r w:rsidR="007F054D" w:rsidRPr="0081082A">
        <w:rPr>
          <w:rFonts w:ascii="Times New Roman" w:hAnsi="Times New Roman" w:cs="Times New Roman"/>
          <w:sz w:val="24"/>
          <w:lang w:val="sr-Cyrl-RS"/>
        </w:rPr>
        <w:t>ЕК</w:t>
      </w:r>
      <w:r w:rsidRPr="0081082A">
        <w:rPr>
          <w:rFonts w:ascii="Times New Roman" w:eastAsia="Calibri" w:hAnsi="Times New Roman" w:cs="Times New Roman"/>
          <w:sz w:val="24"/>
          <w:szCs w:val="24"/>
          <w:lang w:val="sr-Cyrl-RS"/>
        </w:rPr>
        <w:t xml:space="preserve">, и уз помоћ СИГМА експерата, посебно у области квалитета Извештаја изменом структуре, при чему је осим детаљног извештавања о спроведеним активностима већи акценат стављен на анализу резултата и кључне изазове. </w:t>
      </w:r>
    </w:p>
    <w:p w:rsidR="00FB6EDF" w:rsidRPr="0081082A" w:rsidRDefault="00FB6EDF" w:rsidP="00011E7E">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Имајући у виду усаглашеност Стратегије реформе јавне управе 2021-2030 и ПРУЈФ 2021-2025, као и захтев</w:t>
      </w:r>
      <w:r w:rsidR="008A6DEB" w:rsidRPr="0081082A">
        <w:rPr>
          <w:rFonts w:ascii="Times New Roman" w:eastAsia="Calibri" w:hAnsi="Times New Roman" w:cs="Times New Roman"/>
          <w:sz w:val="24"/>
          <w:szCs w:val="24"/>
          <w:lang w:val="sr-Cyrl-RS"/>
        </w:rPr>
        <w:t>е</w:t>
      </w:r>
      <w:r w:rsidRPr="0081082A">
        <w:rPr>
          <w:rFonts w:ascii="Times New Roman" w:eastAsia="Calibri" w:hAnsi="Times New Roman" w:cs="Times New Roman"/>
          <w:sz w:val="24"/>
          <w:szCs w:val="24"/>
          <w:lang w:val="sr-Cyrl-RS"/>
        </w:rPr>
        <w:t xml:space="preserve"> у погледу извештавања који су уређени Закон</w:t>
      </w:r>
      <w:r w:rsidR="008A6DEB" w:rsidRPr="0081082A">
        <w:rPr>
          <w:rFonts w:ascii="Times New Roman" w:eastAsia="Calibri" w:hAnsi="Times New Roman" w:cs="Times New Roman"/>
          <w:sz w:val="24"/>
          <w:szCs w:val="24"/>
          <w:lang w:val="sr-Cyrl-RS"/>
        </w:rPr>
        <w:t>ом</w:t>
      </w:r>
      <w:r w:rsidRPr="0081082A">
        <w:rPr>
          <w:rFonts w:ascii="Times New Roman" w:eastAsia="Calibri" w:hAnsi="Times New Roman" w:cs="Times New Roman"/>
          <w:sz w:val="24"/>
          <w:szCs w:val="24"/>
          <w:lang w:val="sr-Cyrl-RS"/>
        </w:rPr>
        <w:t xml:space="preserve"> о планском систему Републике Србије, Извештај о реализацији ПРУЈФ биће на одговарајући начин интегрисан </w:t>
      </w:r>
      <w:r w:rsidR="008A6DEB" w:rsidRPr="0081082A">
        <w:rPr>
          <w:rFonts w:ascii="Times New Roman" w:eastAsia="Calibri" w:hAnsi="Times New Roman" w:cs="Times New Roman"/>
          <w:sz w:val="24"/>
          <w:szCs w:val="24"/>
          <w:lang w:val="sr-Cyrl-RS"/>
        </w:rPr>
        <w:t xml:space="preserve">и </w:t>
      </w:r>
      <w:r w:rsidRPr="0081082A">
        <w:rPr>
          <w:rFonts w:ascii="Times New Roman" w:eastAsia="Calibri" w:hAnsi="Times New Roman" w:cs="Times New Roman"/>
          <w:sz w:val="24"/>
          <w:szCs w:val="24"/>
          <w:lang w:val="sr-Cyrl-RS"/>
        </w:rPr>
        <w:t xml:space="preserve">у Извештај о реализацији Стратегије реформе јавне управе 2021-2030, а представници Министарства финансија учествоваће у свим радним телима која прате реализацију Стратегије реформе јавне управе. </w:t>
      </w:r>
    </w:p>
    <w:p w:rsidR="00682FD2" w:rsidRPr="0081082A" w:rsidRDefault="00FB6EDF" w:rsidP="00011E7E">
      <w:pPr>
        <w:spacing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Поред Владе, Министарство финансија о напретку у области реформе УЈФ извештава и заинтересоване стране. Пре усвајања </w:t>
      </w:r>
      <w:r w:rsidR="008A6DEB" w:rsidRPr="0081082A">
        <w:rPr>
          <w:rFonts w:ascii="Times New Roman" w:eastAsia="Calibri" w:hAnsi="Times New Roman" w:cs="Times New Roman"/>
          <w:sz w:val="24"/>
          <w:szCs w:val="24"/>
          <w:lang w:val="sr-Cyrl-RS"/>
        </w:rPr>
        <w:t>ПРУЈФ или И</w:t>
      </w:r>
      <w:r w:rsidRPr="0081082A">
        <w:rPr>
          <w:rFonts w:ascii="Times New Roman" w:eastAsia="Calibri" w:hAnsi="Times New Roman" w:cs="Times New Roman"/>
          <w:sz w:val="24"/>
          <w:szCs w:val="24"/>
          <w:lang w:val="sr-Cyrl-RS"/>
        </w:rPr>
        <w:t xml:space="preserve">звештаја о </w:t>
      </w:r>
      <w:r w:rsidR="008A6DEB" w:rsidRPr="0081082A">
        <w:rPr>
          <w:rFonts w:ascii="Times New Roman" w:eastAsia="Calibri" w:hAnsi="Times New Roman" w:cs="Times New Roman"/>
          <w:sz w:val="24"/>
          <w:szCs w:val="24"/>
          <w:lang w:val="sr-Cyrl-RS"/>
        </w:rPr>
        <w:t>реализацији</w:t>
      </w:r>
      <w:r w:rsidRPr="0081082A">
        <w:rPr>
          <w:rFonts w:ascii="Times New Roman" w:eastAsia="Calibri" w:hAnsi="Times New Roman" w:cs="Times New Roman"/>
          <w:sz w:val="24"/>
          <w:szCs w:val="24"/>
          <w:lang w:val="sr-Cyrl-RS"/>
        </w:rPr>
        <w:t xml:space="preserve">, Технички секретаријат припрема </w:t>
      </w:r>
      <w:r w:rsidR="008A6DEB" w:rsidRPr="0081082A">
        <w:rPr>
          <w:rFonts w:ascii="Times New Roman" w:eastAsia="Calibri" w:hAnsi="Times New Roman" w:cs="Times New Roman"/>
          <w:sz w:val="24"/>
          <w:szCs w:val="24"/>
          <w:lang w:val="sr-Cyrl-RS"/>
        </w:rPr>
        <w:t>састанак „</w:t>
      </w:r>
      <w:r w:rsidRPr="0081082A">
        <w:rPr>
          <w:rFonts w:ascii="Times New Roman" w:eastAsia="Calibri" w:hAnsi="Times New Roman" w:cs="Times New Roman"/>
          <w:sz w:val="24"/>
          <w:szCs w:val="24"/>
          <w:lang w:val="sr-Cyrl-RS"/>
        </w:rPr>
        <w:t>Дијалог о политици управљања јавним финансијама</w:t>
      </w:r>
      <w:r w:rsidR="007E728E"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најмање једном годишње, који се одржав</w:t>
      </w:r>
      <w:r w:rsidR="008A6DEB" w:rsidRPr="0081082A">
        <w:rPr>
          <w:rFonts w:ascii="Times New Roman" w:eastAsia="Calibri" w:hAnsi="Times New Roman" w:cs="Times New Roman"/>
          <w:sz w:val="24"/>
          <w:szCs w:val="24"/>
          <w:lang w:val="sr-Cyrl-RS"/>
        </w:rPr>
        <w:t>а</w:t>
      </w:r>
      <w:r w:rsidRPr="0081082A">
        <w:rPr>
          <w:rFonts w:ascii="Times New Roman" w:eastAsia="Calibri" w:hAnsi="Times New Roman" w:cs="Times New Roman"/>
          <w:sz w:val="24"/>
          <w:szCs w:val="24"/>
          <w:lang w:val="sr-Cyrl-RS"/>
        </w:rPr>
        <w:t xml:space="preserve"> са представницима свих заинтересованих страна, укључујући </w:t>
      </w:r>
      <w:r w:rsidR="007F054D" w:rsidRPr="0081082A">
        <w:rPr>
          <w:rFonts w:ascii="Times New Roman" w:hAnsi="Times New Roman" w:cs="Times New Roman"/>
          <w:sz w:val="24"/>
          <w:lang w:val="sr-Cyrl-RS"/>
        </w:rPr>
        <w:t>ЕК</w:t>
      </w:r>
      <w:r w:rsidRPr="0081082A">
        <w:rPr>
          <w:rFonts w:ascii="Times New Roman" w:eastAsia="Calibri" w:hAnsi="Times New Roman" w:cs="Times New Roman"/>
          <w:sz w:val="24"/>
          <w:szCs w:val="24"/>
          <w:lang w:val="sr-Cyrl-RS"/>
        </w:rPr>
        <w:t>, донаторску заједницу, међународне финансијске институције, цивилно друштво и академску заједницу, како би се узело у обзир мишљење свих релевантних чинилаца у овом процесу. Дијалог се организује у форми целодневне конференције, током које се представља напредак у области реформе УЈФ и планови за наредни период</w:t>
      </w:r>
      <w:r w:rsidR="008A6DEB" w:rsidRPr="0081082A">
        <w:rPr>
          <w:rFonts w:ascii="Times New Roman" w:eastAsia="Calibri" w:hAnsi="Times New Roman" w:cs="Times New Roman"/>
          <w:sz w:val="24"/>
          <w:szCs w:val="24"/>
          <w:lang w:val="sr-Cyrl-RS"/>
        </w:rPr>
        <w:t>, а</w:t>
      </w:r>
      <w:r w:rsidRPr="0081082A">
        <w:rPr>
          <w:rFonts w:ascii="Times New Roman" w:eastAsia="Calibri" w:hAnsi="Times New Roman" w:cs="Times New Roman"/>
          <w:sz w:val="24"/>
          <w:szCs w:val="24"/>
          <w:lang w:val="sr-Cyrl-RS"/>
        </w:rPr>
        <w:t xml:space="preserve"> пре усвајања </w:t>
      </w:r>
      <w:r w:rsidR="008A6DEB" w:rsidRPr="0081082A">
        <w:rPr>
          <w:rFonts w:ascii="Times New Roman" w:eastAsia="Calibri" w:hAnsi="Times New Roman" w:cs="Times New Roman"/>
          <w:sz w:val="24"/>
          <w:szCs w:val="24"/>
          <w:lang w:val="sr-Cyrl-RS"/>
        </w:rPr>
        <w:t>И</w:t>
      </w:r>
      <w:r w:rsidRPr="0081082A">
        <w:rPr>
          <w:rFonts w:ascii="Times New Roman" w:eastAsia="Calibri" w:hAnsi="Times New Roman" w:cs="Times New Roman"/>
          <w:sz w:val="24"/>
          <w:szCs w:val="24"/>
          <w:lang w:val="sr-Cyrl-RS"/>
        </w:rPr>
        <w:t xml:space="preserve">звештаја о реализацији Програма, </w:t>
      </w:r>
      <w:r w:rsidR="008A6DEB" w:rsidRPr="0081082A">
        <w:rPr>
          <w:rFonts w:ascii="Times New Roman" w:eastAsia="Calibri" w:hAnsi="Times New Roman" w:cs="Times New Roman"/>
          <w:sz w:val="24"/>
          <w:szCs w:val="24"/>
          <w:lang w:val="sr-Cyrl-RS"/>
        </w:rPr>
        <w:t xml:space="preserve">тако да </w:t>
      </w:r>
      <w:r w:rsidRPr="0081082A">
        <w:rPr>
          <w:rFonts w:ascii="Times New Roman" w:eastAsia="Calibri" w:hAnsi="Times New Roman" w:cs="Times New Roman"/>
          <w:sz w:val="24"/>
          <w:szCs w:val="24"/>
          <w:lang w:val="sr-Cyrl-RS"/>
        </w:rPr>
        <w:t>сви заинтересовани учесници имају могућност да отворе дискусију на било коју од тема релевантних за ову реформу. Дијалог је од 2018. године организован на редовној бази једном годишње, изузев 2020. године када је због Ковид</w:t>
      </w:r>
      <w:r w:rsidR="00DF3BE8">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19 мера био отказан. </w:t>
      </w:r>
      <w:r w:rsidR="008A6DEB" w:rsidRPr="0081082A">
        <w:rPr>
          <w:rFonts w:ascii="Times New Roman" w:eastAsia="Calibri" w:hAnsi="Times New Roman" w:cs="Times New Roman"/>
          <w:sz w:val="24"/>
          <w:szCs w:val="24"/>
          <w:lang w:val="sr-Cyrl-RS"/>
        </w:rPr>
        <w:t xml:space="preserve">Састанак је организован и пре усвајања ПРУЈФ 2021-2025, 20. маја 2021. године. </w:t>
      </w:r>
      <w:r w:rsidRPr="0081082A">
        <w:rPr>
          <w:rFonts w:ascii="Times New Roman" w:eastAsia="Calibri" w:hAnsi="Times New Roman" w:cs="Times New Roman"/>
          <w:sz w:val="24"/>
          <w:szCs w:val="24"/>
          <w:lang w:val="sr-Cyrl-RS"/>
        </w:rPr>
        <w:t>У наредном периоду Дијалог о политици управљања јавним финансијама биће организован једном годишње пре усвајања Извештаја о реализацији ПРУЈФ или више пута</w:t>
      </w:r>
      <w:r w:rsidR="008A6DEB"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по потреби. Пре учешћа на самом састанку, али и континуирано, заинтересовани актери могу доставити своје коментаре и сугестије </w:t>
      </w:r>
      <w:r w:rsidR="008A6DEB" w:rsidRPr="0081082A">
        <w:rPr>
          <w:rFonts w:ascii="Times New Roman" w:eastAsia="Calibri" w:hAnsi="Times New Roman" w:cs="Times New Roman"/>
          <w:sz w:val="24"/>
          <w:szCs w:val="24"/>
          <w:lang w:val="sr-Cyrl-RS"/>
        </w:rPr>
        <w:t xml:space="preserve">везане за ПРУЈФ </w:t>
      </w:r>
      <w:r w:rsidRPr="0081082A">
        <w:rPr>
          <w:rFonts w:ascii="Times New Roman" w:eastAsia="Calibri" w:hAnsi="Times New Roman" w:cs="Times New Roman"/>
          <w:sz w:val="24"/>
          <w:szCs w:val="24"/>
          <w:lang w:val="sr-Cyrl-RS"/>
        </w:rPr>
        <w:t xml:space="preserve">путем посебне електронске адресе отворене у ту сврху: </w:t>
      </w:r>
      <w:hyperlink r:id="rId41" w:history="1">
        <w:r w:rsidRPr="0081082A">
          <w:rPr>
            <w:rFonts w:ascii="Times New Roman" w:eastAsia="Calibri" w:hAnsi="Times New Roman" w:cs="Times New Roman"/>
            <w:sz w:val="24"/>
            <w:szCs w:val="24"/>
            <w:lang w:val="sr-Cyrl-RS"/>
          </w:rPr>
          <w:t>pfmdijalog@mfin.gov.rs</w:t>
        </w:r>
      </w:hyperlink>
      <w:r w:rsidR="00C041A6">
        <w:rPr>
          <w:rFonts w:ascii="Times New Roman" w:eastAsia="Calibri" w:hAnsi="Times New Roman" w:cs="Times New Roman"/>
          <w:sz w:val="24"/>
          <w:szCs w:val="24"/>
          <w:lang w:val="sr-Cyrl-RS"/>
        </w:rPr>
        <w:t>.</w:t>
      </w:r>
      <w:r w:rsidR="00011E7E" w:rsidRPr="0081082A">
        <w:rPr>
          <w:rFonts w:ascii="Times New Roman" w:eastAsia="Calibri" w:hAnsi="Times New Roman" w:cs="Times New Roman"/>
          <w:sz w:val="24"/>
          <w:szCs w:val="24"/>
          <w:lang w:val="sr-Cyrl-RS"/>
        </w:rPr>
        <w:t xml:space="preserve"> </w:t>
      </w:r>
    </w:p>
    <w:p w:rsidR="009C00BC" w:rsidRPr="0081082A" w:rsidRDefault="00C456B6" w:rsidP="00C456B6">
      <w:pPr>
        <w:spacing w:before="120" w:after="0" w:line="240" w:lineRule="auto"/>
        <w:ind w:firstLine="706"/>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lastRenderedPageBreak/>
        <w:t>Координација са донаторском заједницом у области реформе управљања јавним финансијама биће обављена, као и до сада, у оквиру Секторске радне групе за Реформу јавне управе, којом коо</w:t>
      </w:r>
      <w:r w:rsidR="008A6DEB" w:rsidRPr="0081082A">
        <w:rPr>
          <w:rFonts w:ascii="Times New Roman" w:eastAsia="Calibri" w:hAnsi="Times New Roman" w:cs="Times New Roman"/>
          <w:sz w:val="24"/>
          <w:szCs w:val="24"/>
          <w:lang w:val="sr-Cyrl-RS"/>
        </w:rPr>
        <w:t>р</w:t>
      </w:r>
      <w:r w:rsidRPr="0081082A">
        <w:rPr>
          <w:rFonts w:ascii="Times New Roman" w:eastAsia="Calibri" w:hAnsi="Times New Roman" w:cs="Times New Roman"/>
          <w:sz w:val="24"/>
          <w:szCs w:val="24"/>
          <w:lang w:val="sr-Cyrl-RS"/>
        </w:rPr>
        <w:t xml:space="preserve">динира Министарство за европске интеграције, кроз састанке </w:t>
      </w:r>
      <w:r w:rsidR="008A6DEB" w:rsidRPr="0081082A">
        <w:rPr>
          <w:rFonts w:ascii="Times New Roman" w:eastAsia="Calibri" w:hAnsi="Times New Roman" w:cs="Times New Roman"/>
          <w:sz w:val="24"/>
          <w:szCs w:val="24"/>
          <w:lang w:val="sr-Cyrl-RS"/>
        </w:rPr>
        <w:t xml:space="preserve">Дијалога </w:t>
      </w:r>
      <w:r w:rsidRPr="0081082A">
        <w:rPr>
          <w:rFonts w:ascii="Times New Roman" w:eastAsia="Calibri" w:hAnsi="Times New Roman" w:cs="Times New Roman"/>
          <w:sz w:val="24"/>
          <w:szCs w:val="24"/>
          <w:lang w:val="sr-Cyrl-RS"/>
        </w:rPr>
        <w:t>о политици управљања јавним финансијама, као и посебним донаторским састанцима посвећеним овој реформи, који ће се одржавати по потреби.</w:t>
      </w:r>
    </w:p>
    <w:p w:rsidR="009C00BC" w:rsidRPr="0081082A" w:rsidRDefault="009C00BC" w:rsidP="00C456B6">
      <w:pPr>
        <w:spacing w:before="120" w:after="0" w:line="240" w:lineRule="auto"/>
        <w:ind w:firstLine="706"/>
        <w:jc w:val="both"/>
        <w:rPr>
          <w:rFonts w:ascii="Times New Roman" w:eastAsia="Calibri" w:hAnsi="Times New Roman" w:cs="Times New Roman"/>
          <w:sz w:val="24"/>
          <w:szCs w:val="24"/>
          <w:lang w:val="sr-Cyrl-RS"/>
        </w:rPr>
      </w:pPr>
    </w:p>
    <w:p w:rsidR="009C00BC" w:rsidRPr="0081082A" w:rsidRDefault="009C00BC" w:rsidP="009C00BC">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jc w:val="center"/>
        <w:outlineLvl w:val="1"/>
        <w:rPr>
          <w:rFonts w:ascii="Times New Roman" w:hAnsi="Times New Roman"/>
          <w:caps/>
          <w:spacing w:val="15"/>
          <w:sz w:val="28"/>
          <w:lang w:val="sr-Cyrl-RS"/>
        </w:rPr>
      </w:pPr>
      <w:r w:rsidRPr="0081082A">
        <w:rPr>
          <w:rFonts w:ascii="Times New Roman" w:hAnsi="Times New Roman"/>
          <w:caps/>
          <w:spacing w:val="15"/>
          <w:sz w:val="28"/>
          <w:lang w:val="sr-Cyrl-RS"/>
        </w:rPr>
        <w:t>Завршне одредбе</w:t>
      </w:r>
    </w:p>
    <w:p w:rsidR="00A34AE0" w:rsidRPr="0081082A" w:rsidRDefault="00A34AE0" w:rsidP="009C00BC">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jc w:val="center"/>
        <w:outlineLvl w:val="1"/>
        <w:rPr>
          <w:rFonts w:ascii="Times New Roman" w:hAnsi="Times New Roman"/>
          <w:caps/>
          <w:spacing w:val="15"/>
          <w:sz w:val="28"/>
          <w:lang w:val="sr-Cyrl-RS"/>
        </w:rPr>
      </w:pPr>
    </w:p>
    <w:p w:rsidR="00A34AE0" w:rsidRPr="0081082A" w:rsidRDefault="00A34AE0" w:rsidP="00A34AE0">
      <w:pPr>
        <w:spacing w:after="100" w:afterAutospacing="1"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Анекси од 1 до 4 су саставни део овог програма.</w:t>
      </w:r>
    </w:p>
    <w:p w:rsidR="009C00BC" w:rsidRPr="0081082A" w:rsidRDefault="009C00BC" w:rsidP="00830DA2">
      <w:pPr>
        <w:spacing w:after="100" w:afterAutospacing="1"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Акциони план за спровођење Програма реформе управљања јавним финансијама за период 2021-2025. године је саставни део овог </w:t>
      </w:r>
      <w:r w:rsidR="00426153" w:rsidRPr="0081082A">
        <w:rPr>
          <w:rFonts w:ascii="Times New Roman" w:eastAsia="Calibri" w:hAnsi="Times New Roman" w:cs="Times New Roman"/>
          <w:sz w:val="24"/>
          <w:szCs w:val="24"/>
          <w:lang w:val="sr-Cyrl-RS"/>
        </w:rPr>
        <w:t>п</w:t>
      </w:r>
      <w:r w:rsidRPr="0081082A">
        <w:rPr>
          <w:rFonts w:ascii="Times New Roman" w:eastAsia="Calibri" w:hAnsi="Times New Roman" w:cs="Times New Roman"/>
          <w:sz w:val="24"/>
          <w:szCs w:val="24"/>
          <w:lang w:val="sr-Cyrl-RS"/>
        </w:rPr>
        <w:t>рограма.</w:t>
      </w:r>
    </w:p>
    <w:p w:rsidR="009C00BC" w:rsidRPr="0081082A" w:rsidRDefault="009C00BC" w:rsidP="00830DA2">
      <w:pPr>
        <w:spacing w:after="100" w:afterAutospacing="1"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Овај </w:t>
      </w:r>
      <w:r w:rsidR="00426153" w:rsidRPr="0081082A">
        <w:rPr>
          <w:rFonts w:ascii="Times New Roman" w:eastAsia="Calibri" w:hAnsi="Times New Roman" w:cs="Times New Roman"/>
          <w:sz w:val="24"/>
          <w:szCs w:val="24"/>
          <w:lang w:val="sr-Cyrl-RS"/>
        </w:rPr>
        <w:t>п</w:t>
      </w:r>
      <w:r w:rsidRPr="0081082A">
        <w:rPr>
          <w:rFonts w:ascii="Times New Roman" w:eastAsia="Calibri" w:hAnsi="Times New Roman" w:cs="Times New Roman"/>
          <w:sz w:val="24"/>
          <w:szCs w:val="24"/>
          <w:lang w:val="sr-Cyrl-RS"/>
        </w:rPr>
        <w:t>рограм објавити на интернет страници Владе, на порталу е-</w:t>
      </w:r>
      <w:r w:rsidR="00183763" w:rsidRPr="0081082A">
        <w:rPr>
          <w:rFonts w:ascii="Times New Roman" w:eastAsia="Calibri" w:hAnsi="Times New Roman" w:cs="Times New Roman"/>
          <w:sz w:val="24"/>
          <w:szCs w:val="24"/>
          <w:lang w:val="sr-Cyrl-RS"/>
        </w:rPr>
        <w:t xml:space="preserve">Управа </w:t>
      </w:r>
      <w:r w:rsidRPr="0081082A">
        <w:rPr>
          <w:rFonts w:ascii="Times New Roman" w:eastAsia="Calibri" w:hAnsi="Times New Roman" w:cs="Times New Roman"/>
          <w:sz w:val="24"/>
          <w:szCs w:val="24"/>
          <w:lang w:val="sr-Cyrl-RS"/>
        </w:rPr>
        <w:t>и на интернет страници Министарства финансија.</w:t>
      </w:r>
    </w:p>
    <w:p w:rsidR="009C00BC" w:rsidRPr="0081082A" w:rsidRDefault="009C00BC" w:rsidP="00830DA2">
      <w:pPr>
        <w:spacing w:after="100" w:afterAutospacing="1" w:line="240" w:lineRule="auto"/>
        <w:ind w:firstLine="708"/>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Овај </w:t>
      </w:r>
      <w:r w:rsidR="00A34AE0" w:rsidRPr="0081082A">
        <w:rPr>
          <w:rFonts w:ascii="Times New Roman" w:eastAsia="Calibri" w:hAnsi="Times New Roman" w:cs="Times New Roman"/>
          <w:sz w:val="24"/>
          <w:szCs w:val="24"/>
          <w:lang w:val="sr-Cyrl-RS"/>
        </w:rPr>
        <w:t>п</w:t>
      </w:r>
      <w:r w:rsidRPr="0081082A">
        <w:rPr>
          <w:rFonts w:ascii="Times New Roman" w:eastAsia="Calibri" w:hAnsi="Times New Roman" w:cs="Times New Roman"/>
          <w:sz w:val="24"/>
          <w:szCs w:val="24"/>
          <w:lang w:val="sr-Cyrl-RS"/>
        </w:rPr>
        <w:t xml:space="preserve">рограм објавити у </w:t>
      </w:r>
      <w:r w:rsidR="00A34AE0"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Службеном гласнику Републике Србије</w:t>
      </w:r>
      <w:r w:rsidR="00A34AE0" w:rsidRPr="0081082A">
        <w:rPr>
          <w:rFonts w:ascii="Times New Roman" w:eastAsia="Calibri" w:hAnsi="Times New Roman" w:cs="Times New Roman"/>
          <w:sz w:val="24"/>
          <w:szCs w:val="24"/>
          <w:lang w:val="sr-Cyrl-RS"/>
        </w:rPr>
        <w:t>”</w:t>
      </w:r>
      <w:r w:rsidRPr="0081082A">
        <w:rPr>
          <w:rFonts w:ascii="Times New Roman" w:eastAsia="Calibri" w:hAnsi="Times New Roman" w:cs="Times New Roman"/>
          <w:sz w:val="24"/>
          <w:szCs w:val="24"/>
          <w:lang w:val="sr-Cyrl-RS"/>
        </w:rPr>
        <w:t xml:space="preserve">. </w:t>
      </w:r>
    </w:p>
    <w:p w:rsidR="00A34AE0" w:rsidRPr="0081082A" w:rsidRDefault="00A34AE0" w:rsidP="00830DA2">
      <w:pPr>
        <w:spacing w:after="100" w:afterAutospacing="1" w:line="240" w:lineRule="auto"/>
        <w:ind w:firstLine="708"/>
        <w:jc w:val="both"/>
        <w:rPr>
          <w:rFonts w:ascii="Times New Roman" w:eastAsia="Calibri" w:hAnsi="Times New Roman" w:cs="Times New Roman"/>
          <w:sz w:val="24"/>
          <w:szCs w:val="24"/>
          <w:lang w:val="sr-Cyrl-RS"/>
        </w:rPr>
      </w:pPr>
    </w:p>
    <w:p w:rsidR="00A34AE0" w:rsidRPr="0081082A" w:rsidRDefault="00A34AE0" w:rsidP="00830DA2">
      <w:pPr>
        <w:spacing w:after="100" w:afterAutospacing="1" w:line="240" w:lineRule="auto"/>
        <w:ind w:firstLine="708"/>
        <w:jc w:val="both"/>
        <w:rPr>
          <w:rFonts w:ascii="Times New Roman" w:eastAsia="Calibri" w:hAnsi="Times New Roman" w:cs="Times New Roman"/>
          <w:sz w:val="24"/>
          <w:szCs w:val="24"/>
          <w:lang w:val="sr-Cyrl-RS"/>
        </w:rPr>
      </w:pPr>
    </w:p>
    <w:p w:rsidR="00A34AE0" w:rsidRPr="0081082A" w:rsidRDefault="00A34AE0" w:rsidP="00A34AE0">
      <w:pPr>
        <w:spacing w:before="120" w:after="0" w:line="240" w:lineRule="auto"/>
        <w:contextualSpacing/>
        <w:jc w:val="both"/>
        <w:rPr>
          <w:rFonts w:ascii="Times New Roman" w:hAnsi="Times New Roman"/>
          <w:sz w:val="24"/>
          <w:szCs w:val="24"/>
          <w:lang w:val="sr-Cyrl-RS"/>
        </w:rPr>
      </w:pPr>
      <w:r w:rsidRPr="0081082A">
        <w:rPr>
          <w:rFonts w:ascii="Times New Roman" w:hAnsi="Times New Roman"/>
          <w:sz w:val="24"/>
          <w:szCs w:val="24"/>
          <w:lang w:val="sr-Cyrl-RS"/>
        </w:rPr>
        <w:t>05 Број:</w:t>
      </w:r>
      <w:r w:rsidR="00C31C36">
        <w:rPr>
          <w:rFonts w:ascii="Times New Roman" w:hAnsi="Times New Roman"/>
          <w:sz w:val="24"/>
          <w:szCs w:val="24"/>
          <w:lang w:val="sr-Cyrl-RS"/>
        </w:rPr>
        <w:t xml:space="preserve"> 400-5898/2021-2</w:t>
      </w:r>
    </w:p>
    <w:p w:rsidR="00A34AE0" w:rsidRPr="0081082A" w:rsidRDefault="00C31C36" w:rsidP="00A34AE0">
      <w:pPr>
        <w:spacing w:before="120" w:after="0" w:line="240" w:lineRule="auto"/>
        <w:contextualSpacing/>
        <w:jc w:val="both"/>
        <w:rPr>
          <w:rFonts w:ascii="Times New Roman" w:hAnsi="Times New Roman"/>
          <w:sz w:val="24"/>
          <w:szCs w:val="24"/>
          <w:lang w:val="sr-Cyrl-RS"/>
        </w:rPr>
      </w:pPr>
      <w:r>
        <w:rPr>
          <w:rFonts w:ascii="Times New Roman" w:hAnsi="Times New Roman"/>
          <w:sz w:val="24"/>
          <w:szCs w:val="24"/>
          <w:lang w:val="sr-Cyrl-RS"/>
        </w:rPr>
        <w:t>У Београду,</w:t>
      </w:r>
      <w:r w:rsidR="00A34AE0" w:rsidRPr="0081082A">
        <w:rPr>
          <w:rFonts w:ascii="Times New Roman" w:hAnsi="Times New Roman"/>
          <w:sz w:val="24"/>
          <w:szCs w:val="24"/>
          <w:lang w:val="sr-Cyrl-RS"/>
        </w:rPr>
        <w:t xml:space="preserve"> </w:t>
      </w:r>
      <w:r>
        <w:rPr>
          <w:rFonts w:ascii="Times New Roman" w:hAnsi="Times New Roman"/>
          <w:sz w:val="24"/>
          <w:szCs w:val="24"/>
          <w:lang w:val="sr-Cyrl-RS"/>
        </w:rPr>
        <w:t xml:space="preserve">24. </w:t>
      </w:r>
      <w:r w:rsidR="00A34AE0" w:rsidRPr="0081082A">
        <w:rPr>
          <w:rFonts w:ascii="Times New Roman" w:hAnsi="Times New Roman"/>
          <w:sz w:val="24"/>
          <w:szCs w:val="24"/>
          <w:lang w:val="sr-Cyrl-RS"/>
        </w:rPr>
        <w:t>јуна 2021. године</w:t>
      </w:r>
    </w:p>
    <w:p w:rsidR="00A34AE0" w:rsidRPr="0081082A" w:rsidRDefault="00A34AE0" w:rsidP="00A34AE0">
      <w:pPr>
        <w:spacing w:before="120" w:after="0" w:line="240" w:lineRule="auto"/>
        <w:contextualSpacing/>
        <w:jc w:val="both"/>
        <w:rPr>
          <w:rFonts w:ascii="Times New Roman" w:hAnsi="Times New Roman"/>
          <w:sz w:val="24"/>
          <w:szCs w:val="24"/>
          <w:lang w:val="sr-Cyrl-RS"/>
        </w:rPr>
      </w:pPr>
    </w:p>
    <w:p w:rsidR="00A34AE0" w:rsidRPr="0081082A" w:rsidRDefault="00A34AE0" w:rsidP="00A34AE0">
      <w:pPr>
        <w:spacing w:before="120" w:after="0" w:line="240" w:lineRule="auto"/>
        <w:contextualSpacing/>
        <w:jc w:val="both"/>
        <w:rPr>
          <w:rFonts w:ascii="Times New Roman" w:hAnsi="Times New Roman"/>
          <w:sz w:val="24"/>
          <w:szCs w:val="24"/>
          <w:lang w:val="sr-Cyrl-RS"/>
        </w:rPr>
      </w:pPr>
    </w:p>
    <w:p w:rsidR="00A34AE0" w:rsidRPr="0081082A" w:rsidRDefault="00A34AE0" w:rsidP="00A34AE0">
      <w:pPr>
        <w:spacing w:before="120" w:after="0" w:line="240" w:lineRule="auto"/>
        <w:contextualSpacing/>
        <w:jc w:val="center"/>
        <w:rPr>
          <w:rFonts w:ascii="Times New Roman" w:hAnsi="Times New Roman"/>
          <w:sz w:val="24"/>
          <w:szCs w:val="24"/>
          <w:lang w:val="sr-Cyrl-RS"/>
        </w:rPr>
      </w:pPr>
      <w:r w:rsidRPr="0081082A">
        <w:rPr>
          <w:rFonts w:ascii="Times New Roman" w:hAnsi="Times New Roman"/>
          <w:sz w:val="24"/>
          <w:szCs w:val="24"/>
          <w:lang w:val="sr-Cyrl-RS"/>
        </w:rPr>
        <w:t>В Л А Д А</w:t>
      </w:r>
    </w:p>
    <w:tbl>
      <w:tblPr>
        <w:tblpPr w:leftFromText="180" w:rightFromText="180" w:vertAnchor="text" w:horzAnchor="margin" w:tblpXSpec="right" w:tblpY="264"/>
        <w:tblW w:w="0" w:type="auto"/>
        <w:tblLook w:val="04A0" w:firstRow="1" w:lastRow="0" w:firstColumn="1" w:lastColumn="0" w:noHBand="0" w:noVBand="1"/>
      </w:tblPr>
      <w:tblGrid>
        <w:gridCol w:w="2660"/>
      </w:tblGrid>
      <w:tr w:rsidR="00A34AE0" w:rsidRPr="0081082A" w:rsidTr="0006580D">
        <w:tc>
          <w:tcPr>
            <w:tcW w:w="2660" w:type="dxa"/>
            <w:shd w:val="clear" w:color="auto" w:fill="auto"/>
          </w:tcPr>
          <w:p w:rsidR="00A34AE0" w:rsidRDefault="00A34AE0" w:rsidP="0006580D">
            <w:pPr>
              <w:spacing w:before="120" w:after="0" w:line="240" w:lineRule="auto"/>
              <w:contextualSpacing/>
              <w:jc w:val="center"/>
              <w:rPr>
                <w:rFonts w:ascii="Times New Roman" w:hAnsi="Times New Roman"/>
                <w:sz w:val="24"/>
                <w:szCs w:val="24"/>
                <w:lang w:val="sr-Cyrl-RS"/>
              </w:rPr>
            </w:pPr>
            <w:r w:rsidRPr="0081082A">
              <w:rPr>
                <w:rFonts w:ascii="Times New Roman" w:hAnsi="Times New Roman"/>
                <w:sz w:val="24"/>
                <w:szCs w:val="24"/>
                <w:lang w:val="sr-Cyrl-RS"/>
              </w:rPr>
              <w:t>ПРЕДСЕДНИК</w:t>
            </w:r>
          </w:p>
          <w:p w:rsidR="00C31C36" w:rsidRPr="0081082A" w:rsidRDefault="00C31C36" w:rsidP="0006580D">
            <w:pPr>
              <w:spacing w:before="120" w:after="0" w:line="240" w:lineRule="auto"/>
              <w:contextualSpacing/>
              <w:jc w:val="center"/>
              <w:rPr>
                <w:rFonts w:ascii="Times New Roman" w:hAnsi="Times New Roman"/>
                <w:sz w:val="24"/>
                <w:szCs w:val="24"/>
                <w:lang w:val="sr-Cyrl-RS"/>
              </w:rPr>
            </w:pPr>
          </w:p>
          <w:p w:rsidR="00A34AE0" w:rsidRPr="0081082A" w:rsidRDefault="00A34AE0" w:rsidP="0006580D">
            <w:pPr>
              <w:spacing w:before="120" w:after="0" w:line="240" w:lineRule="auto"/>
              <w:contextualSpacing/>
              <w:jc w:val="center"/>
              <w:rPr>
                <w:rFonts w:ascii="Times New Roman" w:hAnsi="Times New Roman"/>
                <w:sz w:val="24"/>
                <w:szCs w:val="24"/>
                <w:lang w:val="sr-Cyrl-RS"/>
              </w:rPr>
            </w:pPr>
          </w:p>
        </w:tc>
      </w:tr>
      <w:tr w:rsidR="00A34AE0" w:rsidRPr="0081082A" w:rsidTr="0006580D">
        <w:trPr>
          <w:trHeight w:val="211"/>
        </w:trPr>
        <w:tc>
          <w:tcPr>
            <w:tcW w:w="2660" w:type="dxa"/>
            <w:shd w:val="clear" w:color="auto" w:fill="auto"/>
          </w:tcPr>
          <w:p w:rsidR="00A34AE0" w:rsidRPr="0081082A" w:rsidRDefault="00A34AE0" w:rsidP="0006580D">
            <w:pPr>
              <w:spacing w:before="120" w:after="0" w:line="240" w:lineRule="auto"/>
              <w:contextualSpacing/>
              <w:jc w:val="center"/>
              <w:rPr>
                <w:rFonts w:ascii="Times New Roman" w:hAnsi="Times New Roman"/>
                <w:sz w:val="24"/>
                <w:szCs w:val="24"/>
                <w:lang w:val="sr-Cyrl-RS"/>
              </w:rPr>
            </w:pPr>
            <w:r w:rsidRPr="0081082A">
              <w:rPr>
                <w:rFonts w:ascii="Times New Roman" w:hAnsi="Times New Roman"/>
                <w:sz w:val="24"/>
                <w:szCs w:val="24"/>
                <w:lang w:val="sr-Cyrl-RS"/>
              </w:rPr>
              <w:t>Ана Брнабић</w:t>
            </w:r>
            <w:r w:rsidR="00C31C36">
              <w:rPr>
                <w:rFonts w:ascii="Times New Roman" w:hAnsi="Times New Roman"/>
                <w:sz w:val="24"/>
                <w:szCs w:val="24"/>
                <w:lang w:val="sr-Cyrl-RS"/>
              </w:rPr>
              <w:t>, с.р.</w:t>
            </w:r>
          </w:p>
        </w:tc>
      </w:tr>
    </w:tbl>
    <w:p w:rsidR="00A34AE0" w:rsidRPr="0081082A" w:rsidRDefault="00A34AE0" w:rsidP="00A34AE0">
      <w:pPr>
        <w:spacing w:before="120" w:after="0" w:line="240" w:lineRule="auto"/>
        <w:ind w:left="720"/>
        <w:contextualSpacing/>
        <w:jc w:val="right"/>
        <w:rPr>
          <w:rFonts w:ascii="Times New Roman" w:hAnsi="Times New Roman"/>
          <w:sz w:val="24"/>
          <w:szCs w:val="24"/>
          <w:lang w:val="sr-Cyrl-RS"/>
        </w:rPr>
      </w:pPr>
      <w:r w:rsidRPr="0081082A">
        <w:rPr>
          <w:rFonts w:ascii="Times New Roman" w:hAnsi="Times New Roman"/>
          <w:sz w:val="24"/>
          <w:szCs w:val="24"/>
          <w:lang w:val="sr-Cyrl-RS"/>
        </w:rPr>
        <w:t xml:space="preserve"> </w:t>
      </w:r>
    </w:p>
    <w:p w:rsidR="00A34AE0" w:rsidRPr="0081082A" w:rsidRDefault="00A34AE0" w:rsidP="00A34AE0">
      <w:pPr>
        <w:spacing w:before="120" w:after="0" w:line="240" w:lineRule="auto"/>
        <w:contextualSpacing/>
        <w:jc w:val="center"/>
        <w:rPr>
          <w:rFonts w:ascii="Times New Roman" w:hAnsi="Times New Roman"/>
          <w:b/>
          <w:sz w:val="24"/>
          <w:szCs w:val="24"/>
          <w:lang w:val="sr-Cyrl-RS"/>
        </w:rPr>
      </w:pPr>
    </w:p>
    <w:p w:rsidR="00A34AE0" w:rsidRPr="0081082A" w:rsidRDefault="00A34AE0" w:rsidP="00A34AE0">
      <w:pPr>
        <w:spacing w:before="120" w:after="0" w:line="240" w:lineRule="auto"/>
        <w:contextualSpacing/>
        <w:jc w:val="center"/>
        <w:rPr>
          <w:rFonts w:ascii="Times New Roman" w:hAnsi="Times New Roman"/>
          <w:b/>
          <w:sz w:val="24"/>
          <w:szCs w:val="24"/>
          <w:lang w:val="sr-Cyrl-RS"/>
        </w:rPr>
      </w:pPr>
    </w:p>
    <w:p w:rsidR="00AE3C4E" w:rsidRPr="0081082A" w:rsidRDefault="00AE3C4E" w:rsidP="00C456B6">
      <w:pPr>
        <w:spacing w:before="120" w:after="0" w:line="240" w:lineRule="auto"/>
        <w:ind w:firstLine="706"/>
        <w:jc w:val="both"/>
        <w:rPr>
          <w:rFonts w:ascii="Times New Roman" w:eastAsia="Calibri" w:hAnsi="Times New Roman" w:cs="Times New Roman"/>
          <w:sz w:val="24"/>
          <w:szCs w:val="24"/>
          <w:lang w:val="sr-Cyrl-RS"/>
        </w:rPr>
      </w:pPr>
    </w:p>
    <w:p w:rsidR="00AE3C4E" w:rsidRPr="0081082A" w:rsidRDefault="00AE3C4E">
      <w:pPr>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br w:type="page"/>
      </w:r>
    </w:p>
    <w:p w:rsidR="00AE3C4E" w:rsidRPr="0081082A" w:rsidRDefault="00AE3C4E" w:rsidP="00310BEC">
      <w:pPr>
        <w:keepNext/>
        <w:keepLines/>
        <w:spacing w:after="0" w:line="240" w:lineRule="auto"/>
        <w:jc w:val="center"/>
        <w:outlineLvl w:val="0"/>
        <w:rPr>
          <w:rFonts w:eastAsia="Times New Roman"/>
          <w:b/>
          <w:caps/>
          <w:color w:val="FFFFFF"/>
          <w:sz w:val="36"/>
          <w:szCs w:val="36"/>
          <w:lang w:val="sr-Cyrl-RS"/>
        </w:rPr>
        <w:sectPr w:rsidR="00AE3C4E" w:rsidRPr="0081082A" w:rsidSect="005B6C61">
          <w:headerReference w:type="default" r:id="rId42"/>
          <w:footerReference w:type="default" r:id="rId43"/>
          <w:pgSz w:w="11906" w:h="16838"/>
          <w:pgMar w:top="1440" w:right="1440" w:bottom="1440" w:left="1440" w:header="432" w:footer="720" w:gutter="0"/>
          <w:cols w:space="720"/>
          <w:docGrid w:linePitch="360"/>
        </w:sectPr>
      </w:pPr>
      <w:bookmarkStart w:id="53" w:name="_Toc62403531"/>
      <w:bookmarkStart w:id="54" w:name="_Toc62404250"/>
      <w:bookmarkStart w:id="55" w:name="_Toc62408749"/>
      <w:bookmarkStart w:id="56" w:name="_Toc64555376"/>
      <w:bookmarkStart w:id="57" w:name="_Toc73613632"/>
    </w:p>
    <w:tbl>
      <w:tblPr>
        <w:tblW w:w="16015"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1411"/>
        <w:gridCol w:w="444"/>
        <w:gridCol w:w="411"/>
        <w:gridCol w:w="868"/>
        <w:gridCol w:w="13"/>
        <w:gridCol w:w="18"/>
        <w:gridCol w:w="1600"/>
        <w:gridCol w:w="8"/>
        <w:gridCol w:w="7"/>
        <w:gridCol w:w="19"/>
        <w:gridCol w:w="1230"/>
        <w:gridCol w:w="8"/>
        <w:gridCol w:w="22"/>
        <w:gridCol w:w="302"/>
        <w:gridCol w:w="722"/>
        <w:gridCol w:w="370"/>
        <w:gridCol w:w="295"/>
        <w:gridCol w:w="213"/>
        <w:gridCol w:w="22"/>
        <w:gridCol w:w="11"/>
        <w:gridCol w:w="11"/>
        <w:gridCol w:w="185"/>
        <w:gridCol w:w="120"/>
        <w:gridCol w:w="110"/>
        <w:gridCol w:w="6"/>
        <w:gridCol w:w="28"/>
        <w:gridCol w:w="1050"/>
        <w:gridCol w:w="28"/>
        <w:gridCol w:w="15"/>
        <w:gridCol w:w="11"/>
        <w:gridCol w:w="1098"/>
        <w:gridCol w:w="131"/>
        <w:gridCol w:w="28"/>
        <w:gridCol w:w="17"/>
        <w:gridCol w:w="322"/>
        <w:gridCol w:w="498"/>
        <w:gridCol w:w="64"/>
        <w:gridCol w:w="49"/>
        <w:gridCol w:w="308"/>
        <w:gridCol w:w="28"/>
        <w:gridCol w:w="22"/>
        <w:gridCol w:w="447"/>
        <w:gridCol w:w="105"/>
        <w:gridCol w:w="43"/>
        <w:gridCol w:w="54"/>
        <w:gridCol w:w="13"/>
        <w:gridCol w:w="578"/>
        <w:gridCol w:w="28"/>
        <w:gridCol w:w="23"/>
        <w:gridCol w:w="9"/>
        <w:gridCol w:w="338"/>
        <w:gridCol w:w="20"/>
        <w:gridCol w:w="45"/>
        <w:gridCol w:w="19"/>
        <w:gridCol w:w="432"/>
        <w:gridCol w:w="107"/>
        <w:gridCol w:w="266"/>
        <w:gridCol w:w="28"/>
        <w:gridCol w:w="23"/>
        <w:gridCol w:w="51"/>
        <w:gridCol w:w="96"/>
        <w:gridCol w:w="33"/>
        <w:gridCol w:w="19"/>
        <w:gridCol w:w="7"/>
        <w:gridCol w:w="224"/>
        <w:gridCol w:w="857"/>
        <w:gridCol w:w="21"/>
        <w:gridCol w:w="6"/>
      </w:tblGrid>
      <w:tr w:rsidR="00AE3C4E" w:rsidRPr="0081082A" w:rsidTr="00310BEC">
        <w:trPr>
          <w:trHeight w:val="300"/>
          <w:jc w:val="center"/>
        </w:trPr>
        <w:tc>
          <w:tcPr>
            <w:tcW w:w="16015" w:type="dxa"/>
            <w:gridSpan w:val="68"/>
            <w:shd w:val="clear" w:color="auto" w:fill="4F81BD"/>
            <w:vAlign w:val="center"/>
          </w:tcPr>
          <w:p w:rsidR="00AE3C4E" w:rsidRPr="0081082A" w:rsidRDefault="00AE3C4E" w:rsidP="00310BEC">
            <w:pPr>
              <w:keepNext/>
              <w:keepLines/>
              <w:spacing w:after="0" w:line="240" w:lineRule="auto"/>
              <w:jc w:val="center"/>
              <w:outlineLvl w:val="0"/>
              <w:rPr>
                <w:rFonts w:eastAsia="Times New Roman"/>
                <w:b/>
                <w:caps/>
                <w:color w:val="FFFFFF"/>
                <w:sz w:val="36"/>
                <w:szCs w:val="36"/>
                <w:lang w:val="sr-Cyrl-RS"/>
              </w:rPr>
            </w:pPr>
            <w:r w:rsidRPr="0081082A">
              <w:rPr>
                <w:rFonts w:eastAsia="Times New Roman"/>
                <w:b/>
                <w:caps/>
                <w:color w:val="FFFFFF"/>
                <w:sz w:val="36"/>
                <w:szCs w:val="36"/>
                <w:lang w:val="sr-Cyrl-RS"/>
              </w:rPr>
              <w:lastRenderedPageBreak/>
              <w:t>AКЦИОНИ ПЛАН ЗА СПРОВОЂЕЊЕ Програма реформе управљања јавним финансијама ЗА ПЕРИОД 2021-2025. ГОДИНЕ</w:t>
            </w:r>
            <w:bookmarkEnd w:id="53"/>
            <w:bookmarkEnd w:id="54"/>
            <w:bookmarkEnd w:id="55"/>
            <w:bookmarkEnd w:id="56"/>
            <w:bookmarkEnd w:id="57"/>
          </w:p>
          <w:p w:rsidR="00AE3C4E" w:rsidRPr="0081082A" w:rsidRDefault="00AE3C4E" w:rsidP="00310BEC">
            <w:pPr>
              <w:spacing w:after="0" w:line="240" w:lineRule="auto"/>
              <w:rPr>
                <w:b/>
                <w:color w:val="FFFFFF"/>
                <w:lang w:val="sr-Cyrl-RS" w:eastAsia="en-GB"/>
              </w:rPr>
            </w:pPr>
          </w:p>
        </w:tc>
      </w:tr>
      <w:tr w:rsidR="00AE3C4E" w:rsidRPr="0081082A" w:rsidTr="00310BEC">
        <w:trPr>
          <w:trHeight w:val="300"/>
          <w:jc w:val="center"/>
        </w:trPr>
        <w:tc>
          <w:tcPr>
            <w:tcW w:w="16015" w:type="dxa"/>
            <w:gridSpan w:val="68"/>
            <w:shd w:val="clear" w:color="auto" w:fill="A6A6A6"/>
            <w:vAlign w:val="center"/>
            <w:hideMark/>
          </w:tcPr>
          <w:p w:rsidR="00AE3C4E" w:rsidRPr="0081082A" w:rsidRDefault="00AE3C4E" w:rsidP="00310BEC">
            <w:pPr>
              <w:keepNext/>
              <w:keepLines/>
              <w:spacing w:after="0" w:line="240" w:lineRule="auto"/>
              <w:outlineLvl w:val="0"/>
              <w:rPr>
                <w:rFonts w:eastAsia="Times New Roman"/>
                <w:color w:val="FFFFFF" w:themeColor="background1"/>
                <w:lang w:val="sr-Cyrl-RS" w:eastAsia="en-GB"/>
              </w:rPr>
            </w:pPr>
            <w:bookmarkStart w:id="58" w:name="_Toc73613633"/>
            <w:r w:rsidRPr="0081082A">
              <w:rPr>
                <w:b/>
                <w:color w:val="FFFFFF" w:themeColor="background1"/>
                <w:lang w:val="sr-Cyrl-RS"/>
              </w:rPr>
              <w:t>ОПШТИ ЦИЉ:</w:t>
            </w:r>
            <w:r w:rsidRPr="0081082A">
              <w:rPr>
                <w:color w:val="FFFFFF" w:themeColor="background1"/>
                <w:lang w:val="sr-Cyrl-RS"/>
              </w:rPr>
              <w:t xml:space="preserve"> </w:t>
            </w:r>
            <w:r w:rsidRPr="0081082A">
              <w:rPr>
                <w:b/>
                <w:bCs/>
                <w:color w:val="FFFFFF" w:themeColor="background1"/>
                <w:lang w:val="sr-Cyrl-RS"/>
              </w:rPr>
              <w:t>ОСТВАРИВАЊЕ ОДРЖИВОГ БУЏЕТА СА СТАБИЛНИМ ЈАВНИМ ДУГОМ У ОДНОСУ НА БДП УЗ ПОМОЋ БОЉЕГ ФИНАНСИЈСКОГ УПРАВЉАЊА И КОНТРОЛЕ, ПРОЦЕСА РЕВИЗИЈЕ И ПОВЕЗИВАЊA БУЏЕТСКОГ ПЛАНИРАЊА СА ПОЛИТИКАМА ВЛАДЕ</w:t>
            </w:r>
            <w:bookmarkEnd w:id="58"/>
          </w:p>
        </w:tc>
      </w:tr>
      <w:tr w:rsidR="00AE3C4E" w:rsidRPr="0081082A" w:rsidTr="00310BEC">
        <w:trPr>
          <w:gridAfter w:val="1"/>
          <w:wAfter w:w="6" w:type="dxa"/>
          <w:trHeight w:val="300"/>
          <w:jc w:val="center"/>
        </w:trPr>
        <w:tc>
          <w:tcPr>
            <w:tcW w:w="4773" w:type="dxa"/>
            <w:gridSpan w:val="8"/>
            <w:shd w:val="clear" w:color="D7E3EE" w:fill="A6A6A6"/>
            <w:vAlign w:val="center"/>
          </w:tcPr>
          <w:p w:rsidR="00AE3C4E" w:rsidRPr="0081082A" w:rsidRDefault="00AE3C4E" w:rsidP="00310BEC">
            <w:pPr>
              <w:tabs>
                <w:tab w:val="left" w:pos="9923"/>
              </w:tabs>
              <w:spacing w:after="0" w:line="240" w:lineRule="auto"/>
              <w:rPr>
                <w:rFonts w:eastAsia="Times New Roman"/>
                <w:b/>
                <w:bCs/>
                <w:color w:val="FFFFFF"/>
                <w:lang w:val="sr-Cyrl-RS" w:eastAsia="en-GB"/>
              </w:rPr>
            </w:pPr>
            <w:r w:rsidRPr="0081082A">
              <w:rPr>
                <w:rFonts w:eastAsia="Times New Roman"/>
                <w:b/>
                <w:bCs/>
                <w:color w:val="FFFFFF"/>
                <w:lang w:val="sr-Cyrl-RS" w:eastAsia="en-GB"/>
              </w:rPr>
              <w:t>Назив:</w:t>
            </w:r>
          </w:p>
        </w:tc>
        <w:tc>
          <w:tcPr>
            <w:tcW w:w="11236" w:type="dxa"/>
            <w:gridSpan w:val="59"/>
            <w:shd w:val="clear" w:color="D7E3EE" w:fill="A6A6A6"/>
            <w:vAlign w:val="center"/>
          </w:tcPr>
          <w:p w:rsidR="00AE3C4E" w:rsidRPr="0081082A" w:rsidRDefault="00AE3C4E" w:rsidP="00310BEC">
            <w:pPr>
              <w:tabs>
                <w:tab w:val="left" w:pos="9923"/>
              </w:tabs>
              <w:spacing w:after="0" w:line="240" w:lineRule="auto"/>
              <w:rPr>
                <w:rFonts w:eastAsia="Times New Roman"/>
                <w:b/>
                <w:bCs/>
                <w:color w:val="FFFFFF"/>
                <w:lang w:val="sr-Cyrl-RS" w:eastAsia="en-GB"/>
              </w:rPr>
            </w:pPr>
            <w:r w:rsidRPr="0081082A">
              <w:rPr>
                <w:rFonts w:eastAsia="Times New Roman"/>
                <w:b/>
                <w:bCs/>
                <w:color w:val="FFFFFF"/>
                <w:lang w:val="sr-Cyrl-RS" w:eastAsia="en-GB"/>
              </w:rPr>
              <w:t>Акциони план за спровођење Програма реформе управљања јавним финансијама</w:t>
            </w:r>
          </w:p>
        </w:tc>
      </w:tr>
      <w:tr w:rsidR="00AE3C4E" w:rsidRPr="0081082A" w:rsidTr="00310BEC">
        <w:trPr>
          <w:gridAfter w:val="1"/>
          <w:wAfter w:w="6" w:type="dxa"/>
          <w:trHeight w:val="300"/>
          <w:jc w:val="center"/>
        </w:trPr>
        <w:tc>
          <w:tcPr>
            <w:tcW w:w="4773" w:type="dxa"/>
            <w:gridSpan w:val="8"/>
            <w:shd w:val="clear" w:color="D7E3EE" w:fill="A6A6A6"/>
            <w:vAlign w:val="center"/>
            <w:hideMark/>
          </w:tcPr>
          <w:p w:rsidR="00AE3C4E" w:rsidRPr="0081082A" w:rsidRDefault="00AE3C4E" w:rsidP="00310BEC">
            <w:pPr>
              <w:tabs>
                <w:tab w:val="left" w:pos="9923"/>
              </w:tabs>
              <w:spacing w:after="0" w:line="240" w:lineRule="auto"/>
              <w:rPr>
                <w:rFonts w:eastAsia="Times New Roman"/>
                <w:b/>
                <w:bCs/>
                <w:color w:val="FFFFFF"/>
                <w:lang w:val="sr-Cyrl-RS" w:eastAsia="en-GB"/>
              </w:rPr>
            </w:pPr>
            <w:r w:rsidRPr="0081082A">
              <w:rPr>
                <w:rFonts w:eastAsia="Times New Roman"/>
                <w:b/>
                <w:bCs/>
                <w:color w:val="FFFFFF"/>
                <w:lang w:val="sr-Cyrl-RS" w:eastAsia="en-GB"/>
              </w:rPr>
              <w:t>Институција одговорна за праћење и контролу реализације:</w:t>
            </w:r>
          </w:p>
        </w:tc>
        <w:tc>
          <w:tcPr>
            <w:tcW w:w="11236" w:type="dxa"/>
            <w:gridSpan w:val="59"/>
            <w:shd w:val="clear" w:color="D7E3EE" w:fill="A6A6A6"/>
            <w:vAlign w:val="center"/>
            <w:hideMark/>
          </w:tcPr>
          <w:p w:rsidR="00AE3C4E" w:rsidRPr="0081082A" w:rsidRDefault="00AE3C4E" w:rsidP="00310BEC">
            <w:pPr>
              <w:tabs>
                <w:tab w:val="left" w:pos="9923"/>
              </w:tabs>
              <w:spacing w:after="0" w:line="240" w:lineRule="auto"/>
              <w:rPr>
                <w:rFonts w:eastAsia="Times New Roman"/>
                <w:b/>
                <w:bCs/>
                <w:color w:val="FFFFFF"/>
                <w:lang w:val="sr-Cyrl-RS" w:eastAsia="en-GB"/>
              </w:rPr>
            </w:pPr>
            <w:r w:rsidRPr="0081082A">
              <w:rPr>
                <w:rFonts w:eastAsia="Times New Roman"/>
                <w:b/>
                <w:bCs/>
                <w:color w:val="FFFFFF"/>
                <w:lang w:val="sr-Cyrl-RS" w:eastAsia="en-GB"/>
              </w:rPr>
              <w:t>Министарство финансија</w:t>
            </w:r>
          </w:p>
        </w:tc>
      </w:tr>
      <w:tr w:rsidR="00AE3C4E" w:rsidRPr="0081082A" w:rsidTr="00310BEC">
        <w:trPr>
          <w:gridAfter w:val="1"/>
          <w:wAfter w:w="6" w:type="dxa"/>
          <w:trHeight w:val="300"/>
          <w:jc w:val="center"/>
        </w:trPr>
        <w:tc>
          <w:tcPr>
            <w:tcW w:w="4773" w:type="dxa"/>
            <w:gridSpan w:val="8"/>
            <w:shd w:val="clear" w:color="D7E3EE" w:fill="A6A6A6"/>
            <w:vAlign w:val="center"/>
            <w:hideMark/>
          </w:tcPr>
          <w:p w:rsidR="00AE3C4E" w:rsidRPr="0081082A" w:rsidRDefault="00AE3C4E" w:rsidP="00310BEC">
            <w:pPr>
              <w:tabs>
                <w:tab w:val="left" w:pos="9923"/>
              </w:tabs>
              <w:spacing w:after="0" w:line="240" w:lineRule="auto"/>
              <w:rPr>
                <w:rFonts w:eastAsia="Times New Roman"/>
                <w:b/>
                <w:bCs/>
                <w:color w:val="FFFFFF"/>
                <w:lang w:val="sr-Cyrl-RS" w:eastAsia="en-GB"/>
              </w:rPr>
            </w:pPr>
            <w:r w:rsidRPr="0081082A">
              <w:rPr>
                <w:rFonts w:eastAsia="Times New Roman"/>
                <w:b/>
                <w:bCs/>
                <w:color w:val="FFFFFF"/>
                <w:lang w:val="sr-Cyrl-RS" w:eastAsia="en-GB"/>
              </w:rPr>
              <w:t>Документ јавне политике за који је акциони план утврђен:</w:t>
            </w:r>
          </w:p>
        </w:tc>
        <w:tc>
          <w:tcPr>
            <w:tcW w:w="11236" w:type="dxa"/>
            <w:gridSpan w:val="59"/>
            <w:shd w:val="clear" w:color="D7E3EE" w:fill="A6A6A6"/>
            <w:vAlign w:val="center"/>
            <w:hideMark/>
          </w:tcPr>
          <w:p w:rsidR="00AE3C4E" w:rsidRPr="0081082A" w:rsidRDefault="00AE3C4E" w:rsidP="00310BEC">
            <w:pPr>
              <w:tabs>
                <w:tab w:val="left" w:pos="9923"/>
              </w:tabs>
              <w:spacing w:after="0" w:line="240" w:lineRule="auto"/>
              <w:rPr>
                <w:rFonts w:eastAsia="Times New Roman"/>
                <w:b/>
                <w:bCs/>
                <w:color w:val="FFFFFF"/>
                <w:lang w:val="sr-Cyrl-RS" w:eastAsia="en-GB"/>
              </w:rPr>
            </w:pPr>
            <w:r w:rsidRPr="0081082A">
              <w:rPr>
                <w:rFonts w:eastAsia="Times New Roman"/>
                <w:b/>
                <w:bCs/>
                <w:color w:val="FFFFFF"/>
                <w:lang w:val="sr-Cyrl-RS" w:eastAsia="en-GB"/>
              </w:rPr>
              <w:t>Програм реформе управљања јавним финансијама 2021-2025</w:t>
            </w:r>
          </w:p>
        </w:tc>
      </w:tr>
      <w:tr w:rsidR="00AE3C4E" w:rsidRPr="0081082A" w:rsidTr="00310BEC">
        <w:trPr>
          <w:gridAfter w:val="1"/>
          <w:wAfter w:w="6" w:type="dxa"/>
          <w:trHeight w:val="300"/>
          <w:jc w:val="center"/>
        </w:trPr>
        <w:tc>
          <w:tcPr>
            <w:tcW w:w="4773" w:type="dxa"/>
            <w:gridSpan w:val="8"/>
            <w:shd w:val="clear" w:color="D7E3EE" w:fill="A6A6A6"/>
            <w:vAlign w:val="center"/>
          </w:tcPr>
          <w:p w:rsidR="00AE3C4E" w:rsidRPr="0081082A" w:rsidRDefault="00AE3C4E" w:rsidP="00310BEC">
            <w:pPr>
              <w:tabs>
                <w:tab w:val="left" w:pos="9923"/>
              </w:tabs>
              <w:spacing w:after="0" w:line="240" w:lineRule="auto"/>
              <w:rPr>
                <w:rFonts w:eastAsia="Times New Roman"/>
                <w:b/>
                <w:bCs/>
                <w:color w:val="FFFFFF"/>
                <w:lang w:val="sr-Cyrl-RS" w:eastAsia="en-GB"/>
              </w:rPr>
            </w:pPr>
            <w:r w:rsidRPr="0081082A">
              <w:rPr>
                <w:rFonts w:eastAsia="Times New Roman"/>
                <w:b/>
                <w:bCs/>
                <w:color w:val="FFFFFF"/>
                <w:lang w:val="sr-Cyrl-RS" w:eastAsia="en-GB"/>
              </w:rPr>
              <w:t>Кровни документ јавних политика</w:t>
            </w:r>
          </w:p>
        </w:tc>
        <w:tc>
          <w:tcPr>
            <w:tcW w:w="11236" w:type="dxa"/>
            <w:gridSpan w:val="59"/>
            <w:shd w:val="clear" w:color="D7E3EE" w:fill="A6A6A6"/>
            <w:vAlign w:val="center"/>
          </w:tcPr>
          <w:p w:rsidR="00AE3C4E" w:rsidRPr="0081082A" w:rsidRDefault="00AE3C4E" w:rsidP="00310BEC">
            <w:pPr>
              <w:tabs>
                <w:tab w:val="left" w:pos="9923"/>
              </w:tabs>
              <w:spacing w:after="0" w:line="240" w:lineRule="auto"/>
              <w:rPr>
                <w:rFonts w:eastAsia="Times New Roman"/>
                <w:b/>
                <w:bCs/>
                <w:color w:val="FFFFFF"/>
                <w:lang w:val="sr-Cyrl-RS" w:eastAsia="en-GB"/>
              </w:rPr>
            </w:pPr>
            <w:r w:rsidRPr="0081082A">
              <w:rPr>
                <w:rFonts w:eastAsia="Times New Roman"/>
                <w:b/>
                <w:bCs/>
                <w:color w:val="FFFFFF"/>
                <w:lang w:val="sr-Cyrl-RS" w:eastAsia="en-GB"/>
              </w:rPr>
              <w:t>Стратегија реформе јавне управе 2021-2030</w:t>
            </w:r>
          </w:p>
        </w:tc>
      </w:tr>
      <w:tr w:rsidR="00AE3C4E" w:rsidRPr="0081082A" w:rsidTr="00310BEC">
        <w:trPr>
          <w:gridAfter w:val="1"/>
          <w:wAfter w:w="6" w:type="dxa"/>
          <w:trHeight w:val="45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 (и) на нивоу општег циља (показатељ ефекта)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Почетна вредност </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996" w:type="dxa"/>
            <w:gridSpan w:val="5"/>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6" w:type="dxa"/>
            <w:gridSpan w:val="8"/>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63" w:type="dxa"/>
            <w:gridSpan w:val="8"/>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67" w:type="dxa"/>
            <w:gridSpan w:val="9"/>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61" w:type="dxa"/>
            <w:gridSpan w:val="6"/>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638"/>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bCs/>
                <w:color w:val="000000"/>
                <w:sz w:val="16"/>
                <w:szCs w:val="16"/>
                <w:lang w:val="sr-Cyrl-RS" w:eastAsia="en-GB"/>
              </w:rPr>
            </w:pPr>
            <w:r w:rsidRPr="0081082A">
              <w:rPr>
                <w:rFonts w:eastAsia="Times New Roman"/>
                <w:bCs/>
                <w:color w:val="000000"/>
                <w:sz w:val="16"/>
                <w:szCs w:val="16"/>
                <w:lang w:val="sr-Cyrl-RS" w:eastAsia="en-GB"/>
              </w:rPr>
              <w:t>Реални раст БДП</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rPr>
                <w:rFonts w:eastAsia="Times New Roman"/>
                <w:bCs/>
                <w:color w:val="000000"/>
                <w:sz w:val="16"/>
                <w:szCs w:val="16"/>
                <w:lang w:val="sr-Cyrl-RS" w:eastAsia="en-GB"/>
              </w:rPr>
            </w:pPr>
            <w:r w:rsidRPr="0081082A">
              <w:rPr>
                <w:rFonts w:eastAsia="Times New Roman"/>
                <w:bCs/>
                <w:color w:val="000000"/>
                <w:sz w:val="16"/>
                <w:szCs w:val="16"/>
                <w:lang w:val="sr-Cyrl-RS" w:eastAsia="en-GB"/>
              </w:rPr>
              <w:t>Проценат (%)</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rPr>
                <w:rFonts w:eastAsia="Times New Roman"/>
                <w:bCs/>
                <w:color w:val="000000"/>
                <w:sz w:val="16"/>
                <w:szCs w:val="16"/>
                <w:lang w:val="sr-Cyrl-RS" w:eastAsia="en-GB"/>
              </w:rPr>
            </w:pPr>
            <w:r w:rsidRPr="0081082A">
              <w:rPr>
                <w:rFonts w:eastAsia="Times New Roman"/>
                <w:bCs/>
                <w:color w:val="000000"/>
                <w:sz w:val="16"/>
                <w:szCs w:val="16"/>
                <w:lang w:val="sr-Cyrl-RS" w:eastAsia="en-GB"/>
              </w:rPr>
              <w:t>Фискална стратегија, Програм економских реформи</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p>
        </w:tc>
        <w:tc>
          <w:tcPr>
            <w:tcW w:w="996" w:type="dxa"/>
            <w:gridSpan w:val="5"/>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r w:rsidRPr="0081082A">
              <w:rPr>
                <w:rFonts w:eastAsia="Times New Roman"/>
                <w:bCs/>
                <w:color w:val="000000"/>
                <w:sz w:val="16"/>
                <w:szCs w:val="16"/>
                <w:lang w:val="sr-Cyrl-RS" w:eastAsia="en-GB"/>
              </w:rPr>
              <w:t>6%</w:t>
            </w:r>
          </w:p>
        </w:tc>
        <w:tc>
          <w:tcPr>
            <w:tcW w:w="1066" w:type="dxa"/>
            <w:gridSpan w:val="8"/>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r w:rsidRPr="0081082A">
              <w:rPr>
                <w:rFonts w:eastAsia="Times New Roman"/>
                <w:bCs/>
                <w:color w:val="000000"/>
                <w:sz w:val="16"/>
                <w:szCs w:val="16"/>
                <w:lang w:val="sr-Cyrl-RS" w:eastAsia="en-GB"/>
              </w:rPr>
              <w:t>4%</w:t>
            </w:r>
          </w:p>
        </w:tc>
        <w:tc>
          <w:tcPr>
            <w:tcW w:w="1063" w:type="dxa"/>
            <w:gridSpan w:val="8"/>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r w:rsidRPr="0081082A">
              <w:rPr>
                <w:rFonts w:eastAsia="Times New Roman"/>
                <w:bCs/>
                <w:color w:val="000000"/>
                <w:sz w:val="16"/>
                <w:szCs w:val="16"/>
                <w:lang w:val="sr-Cyrl-RS" w:eastAsia="en-GB"/>
              </w:rPr>
              <w:t>4%</w:t>
            </w:r>
          </w:p>
        </w:tc>
        <w:tc>
          <w:tcPr>
            <w:tcW w:w="1067" w:type="dxa"/>
            <w:gridSpan w:val="9"/>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p>
        </w:tc>
        <w:tc>
          <w:tcPr>
            <w:tcW w:w="1161" w:type="dxa"/>
            <w:gridSpan w:val="6"/>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p>
        </w:tc>
      </w:tr>
      <w:tr w:rsidR="00AE3C4E" w:rsidRPr="0081082A" w:rsidTr="00310BEC">
        <w:trPr>
          <w:gridAfter w:val="1"/>
          <w:wAfter w:w="6" w:type="dxa"/>
          <w:trHeight w:val="720"/>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bCs/>
                <w:color w:val="000000"/>
                <w:sz w:val="16"/>
                <w:szCs w:val="16"/>
                <w:lang w:val="sr-Cyrl-RS" w:eastAsia="en-GB"/>
              </w:rPr>
            </w:pPr>
            <w:r w:rsidRPr="0081082A">
              <w:rPr>
                <w:rFonts w:eastAsia="Times New Roman"/>
                <w:bCs/>
                <w:color w:val="000000"/>
                <w:sz w:val="16"/>
                <w:szCs w:val="16"/>
                <w:lang w:val="sr-Cyrl-RS" w:eastAsia="en-GB"/>
              </w:rPr>
              <w:t>Ниво дуга опште државе у БДП-у</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rPr>
                <w:rFonts w:eastAsia="Times New Roman"/>
                <w:bCs/>
                <w:color w:val="000000"/>
                <w:sz w:val="16"/>
                <w:szCs w:val="16"/>
                <w:lang w:val="sr-Cyrl-RS" w:eastAsia="en-GB"/>
              </w:rPr>
            </w:pPr>
            <w:r w:rsidRPr="0081082A">
              <w:rPr>
                <w:rFonts w:eastAsia="Times New Roman"/>
                <w:bCs/>
                <w:color w:val="000000"/>
                <w:sz w:val="16"/>
                <w:szCs w:val="16"/>
                <w:lang w:val="sr-Cyrl-RS" w:eastAsia="en-GB"/>
              </w:rPr>
              <w:t>Проценат (%)</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rPr>
                <w:rFonts w:eastAsia="Times New Roman"/>
                <w:bCs/>
                <w:color w:val="000000"/>
                <w:sz w:val="16"/>
                <w:szCs w:val="16"/>
                <w:lang w:val="sr-Cyrl-RS" w:eastAsia="en-GB"/>
              </w:rPr>
            </w:pPr>
            <w:r w:rsidRPr="0081082A">
              <w:rPr>
                <w:rFonts w:eastAsia="Times New Roman"/>
                <w:bCs/>
                <w:color w:val="000000"/>
                <w:sz w:val="16"/>
                <w:szCs w:val="16"/>
                <w:lang w:val="sr-Cyrl-RS" w:eastAsia="en-GB"/>
              </w:rPr>
              <w:t>Фискална стратегија, Програм економских реформи</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p>
        </w:tc>
        <w:tc>
          <w:tcPr>
            <w:tcW w:w="996" w:type="dxa"/>
            <w:gridSpan w:val="5"/>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r w:rsidRPr="0081082A">
              <w:rPr>
                <w:rFonts w:eastAsia="Times New Roman"/>
                <w:bCs/>
                <w:color w:val="000000"/>
                <w:sz w:val="16"/>
                <w:szCs w:val="16"/>
                <w:lang w:val="sr-Cyrl-RS" w:eastAsia="en-GB"/>
              </w:rPr>
              <w:t>58.7%</w:t>
            </w:r>
          </w:p>
        </w:tc>
        <w:tc>
          <w:tcPr>
            <w:tcW w:w="1066" w:type="dxa"/>
            <w:gridSpan w:val="8"/>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r w:rsidRPr="0081082A">
              <w:rPr>
                <w:rFonts w:eastAsia="Times New Roman"/>
                <w:bCs/>
                <w:color w:val="000000"/>
                <w:sz w:val="16"/>
                <w:szCs w:val="16"/>
                <w:lang w:val="sr-Cyrl-RS" w:eastAsia="en-GB"/>
              </w:rPr>
              <w:t>57.9%</w:t>
            </w:r>
          </w:p>
        </w:tc>
        <w:tc>
          <w:tcPr>
            <w:tcW w:w="1063" w:type="dxa"/>
            <w:gridSpan w:val="8"/>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r w:rsidRPr="0081082A">
              <w:rPr>
                <w:rFonts w:eastAsia="Times New Roman"/>
                <w:bCs/>
                <w:color w:val="000000"/>
                <w:sz w:val="16"/>
                <w:szCs w:val="16"/>
                <w:lang w:val="sr-Cyrl-RS" w:eastAsia="en-GB"/>
              </w:rPr>
              <w:t>56%</w:t>
            </w:r>
          </w:p>
        </w:tc>
        <w:tc>
          <w:tcPr>
            <w:tcW w:w="1067" w:type="dxa"/>
            <w:gridSpan w:val="9"/>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p>
        </w:tc>
        <w:tc>
          <w:tcPr>
            <w:tcW w:w="1161" w:type="dxa"/>
            <w:gridSpan w:val="6"/>
            <w:shd w:val="clear" w:color="auto" w:fill="auto"/>
            <w:vAlign w:val="center"/>
            <w:hideMark/>
          </w:tcPr>
          <w:p w:rsidR="00AE3C4E" w:rsidRPr="0081082A" w:rsidRDefault="00AE3C4E" w:rsidP="00310BEC">
            <w:pPr>
              <w:tabs>
                <w:tab w:val="left" w:pos="9923"/>
              </w:tabs>
              <w:spacing w:after="0" w:line="240" w:lineRule="auto"/>
              <w:jc w:val="right"/>
              <w:rPr>
                <w:rFonts w:eastAsia="Times New Roman"/>
                <w:bCs/>
                <w:color w:val="000000"/>
                <w:sz w:val="16"/>
                <w:szCs w:val="16"/>
                <w:lang w:val="sr-Cyrl-RS" w:eastAsia="en-GB"/>
              </w:rPr>
            </w:pPr>
          </w:p>
        </w:tc>
      </w:tr>
      <w:tr w:rsidR="00AE3C4E" w:rsidRPr="0081082A" w:rsidTr="00310BEC">
        <w:trPr>
          <w:trHeight w:val="300"/>
          <w:jc w:val="center"/>
        </w:trPr>
        <w:tc>
          <w:tcPr>
            <w:tcW w:w="16015" w:type="dxa"/>
            <w:gridSpan w:val="68"/>
            <w:shd w:val="clear" w:color="auto" w:fill="DEEAF6" w:themeFill="accent1" w:themeFillTint="33"/>
            <w:hideMark/>
          </w:tcPr>
          <w:p w:rsidR="00AE3C4E" w:rsidRPr="0081082A" w:rsidRDefault="00AE3C4E" w:rsidP="00310BEC">
            <w:pPr>
              <w:keepNext/>
              <w:keepLines/>
              <w:spacing w:after="0" w:line="240" w:lineRule="auto"/>
              <w:outlineLvl w:val="0"/>
              <w:rPr>
                <w:rFonts w:eastAsia="Times New Roman"/>
                <w:b/>
                <w:color w:val="365F91"/>
                <w:lang w:val="sr-Cyrl-RS" w:eastAsia="en-GB"/>
              </w:rPr>
            </w:pPr>
            <w:bookmarkStart w:id="59" w:name="_Toc73613634"/>
            <w:r w:rsidRPr="0081082A">
              <w:rPr>
                <w:rFonts w:eastAsia="Times New Roman"/>
                <w:b/>
                <w:color w:val="365F91"/>
                <w:lang w:val="sr-Cyrl-RS" w:eastAsia="en-GB"/>
              </w:rPr>
              <w:t>ПОСЕБНИ ЦИЉ I:  УНАПРЕЂЕНИ КАПАЦИТЕТИ ЗА БУЏЕТСКО ПЛАНИРАЊЕ И УПРАВЉАЊЕ ЈАВНИМ ИНВЕСТИЦИЈАМА</w:t>
            </w:r>
            <w:bookmarkEnd w:id="59"/>
          </w:p>
        </w:tc>
      </w:tr>
      <w:tr w:rsidR="00AE3C4E" w:rsidRPr="0081082A" w:rsidTr="00310BEC">
        <w:trPr>
          <w:gridAfter w:val="1"/>
          <w:wAfter w:w="6" w:type="dxa"/>
          <w:trHeight w:val="45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посебног циља (показатељ исхода)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Почетна вредност </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996" w:type="dxa"/>
            <w:gridSpan w:val="5"/>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6" w:type="dxa"/>
            <w:gridSpan w:val="8"/>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Циљана вредност </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63" w:type="dxa"/>
            <w:gridSpan w:val="8"/>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Циљана вредност </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67" w:type="dxa"/>
            <w:gridSpan w:val="9"/>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Циљана вредност </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61" w:type="dxa"/>
            <w:gridSpan w:val="6"/>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Циљана вредност </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795"/>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Информације о учинку за пружање јавних услуга</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Оцена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ПЕФА Процена за Републику Србију</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Ц+</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2020</w:t>
            </w:r>
          </w:p>
        </w:tc>
        <w:tc>
          <w:tcPr>
            <w:tcW w:w="996"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6"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3"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7"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161"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w:t>
            </w: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60" w:name="_Toc73613635"/>
            <w:r w:rsidRPr="0081082A">
              <w:rPr>
                <w:rFonts w:eastAsia="Times New Roman"/>
                <w:b/>
                <w:i/>
                <w:color w:val="365F91"/>
                <w:sz w:val="18"/>
                <w:szCs w:val="18"/>
                <w:lang w:val="sr-Cyrl-RS" w:eastAsia="en-GB"/>
              </w:rPr>
              <w:lastRenderedPageBreak/>
              <w:t>Мера 1.1: Унапређење програмског буџета</w:t>
            </w:r>
            <w:bookmarkEnd w:id="60"/>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61" w:name="_Toc73613636"/>
            <w:r w:rsidRPr="0081082A">
              <w:rPr>
                <w:rFonts w:eastAsia="Times New Roman"/>
                <w:b/>
                <w:i/>
                <w:color w:val="365F91"/>
                <w:sz w:val="18"/>
                <w:szCs w:val="18"/>
                <w:lang w:val="sr-Cyrl-RS" w:eastAsia="en-GB"/>
              </w:rPr>
              <w:t>Институција одговорна за спровођење (координацију спровођења) мере:</w:t>
            </w:r>
            <w:r w:rsidR="003F401B">
              <w:rPr>
                <w:rFonts w:eastAsia="Times New Roman"/>
                <w:b/>
                <w:i/>
                <w:color w:val="365F91"/>
                <w:sz w:val="18"/>
                <w:szCs w:val="18"/>
                <w:lang w:val="sr-Cyrl-RS" w:eastAsia="en-GB"/>
              </w:rPr>
              <w:t xml:space="preserve"> </w:t>
            </w:r>
            <w:r w:rsidRPr="0081082A">
              <w:rPr>
                <w:rFonts w:eastAsia="Times New Roman"/>
                <w:b/>
                <w:i/>
                <w:color w:val="365F91"/>
                <w:sz w:val="18"/>
                <w:szCs w:val="18"/>
                <w:lang w:val="sr-Cyrl-RS" w:eastAsia="en-GB"/>
              </w:rPr>
              <w:t>Министарство финансија – Сектор буџета</w:t>
            </w:r>
            <w:bookmarkEnd w:id="61"/>
          </w:p>
        </w:tc>
      </w:tr>
      <w:tr w:rsidR="00AE3C4E" w:rsidRPr="0081082A" w:rsidTr="00310BEC">
        <w:trPr>
          <w:trHeight w:val="289"/>
          <w:jc w:val="center"/>
        </w:trPr>
        <w:tc>
          <w:tcPr>
            <w:tcW w:w="8310" w:type="dxa"/>
            <w:gridSpan w:val="23"/>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62" w:name="_Toc73613637"/>
            <w:r w:rsidRPr="0081082A">
              <w:rPr>
                <w:rFonts w:eastAsia="Times New Roman"/>
                <w:b/>
                <w:i/>
                <w:color w:val="365F91"/>
                <w:sz w:val="18"/>
                <w:szCs w:val="18"/>
                <w:lang w:val="sr-Cyrl-RS" w:eastAsia="en-GB"/>
              </w:rPr>
              <w:t>Период спровођења: 2021-2025</w:t>
            </w:r>
            <w:bookmarkEnd w:id="62"/>
          </w:p>
        </w:tc>
        <w:tc>
          <w:tcPr>
            <w:tcW w:w="7705" w:type="dxa"/>
            <w:gridSpan w:val="45"/>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63" w:name="_Toc73613638"/>
            <w:r w:rsidRPr="0081082A">
              <w:rPr>
                <w:rFonts w:eastAsia="Times New Roman"/>
                <w:b/>
                <w:i/>
                <w:color w:val="365F91"/>
                <w:sz w:val="18"/>
                <w:szCs w:val="18"/>
                <w:lang w:val="sr-Cyrl-RS" w:eastAsia="en-GB"/>
              </w:rPr>
              <w:t>Тип мере: Информативно едукативна</w:t>
            </w:r>
            <w:bookmarkEnd w:id="63"/>
          </w:p>
        </w:tc>
      </w:tr>
      <w:tr w:rsidR="00AE3C4E" w:rsidRPr="0081082A" w:rsidTr="00310BEC">
        <w:trPr>
          <w:gridAfter w:val="1"/>
          <w:wAfter w:w="6" w:type="dxa"/>
          <w:trHeight w:val="329"/>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Jединица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Почетна вредност </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Базна година </w:t>
            </w:r>
          </w:p>
        </w:tc>
        <w:tc>
          <w:tcPr>
            <w:tcW w:w="996" w:type="dxa"/>
            <w:gridSpan w:val="5"/>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6" w:type="dxa"/>
            <w:gridSpan w:val="8"/>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Циљана вредност </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63" w:type="dxa"/>
            <w:gridSpan w:val="8"/>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Циљана вредност </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67" w:type="dxa"/>
            <w:gridSpan w:val="9"/>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Циљана вредност </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61" w:type="dxa"/>
            <w:gridSpan w:val="6"/>
            <w:shd w:val="clear" w:color="D7E3EE"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Циљана вредност </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1575"/>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Израђена анализа примене програмског буџета</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19" w:type="dxa"/>
            <w:gridSpan w:val="6"/>
            <w:shd w:val="clear" w:color="auto" w:fill="auto"/>
            <w:vAlign w:val="center"/>
            <w:hideMark/>
          </w:tcPr>
          <w:p w:rsidR="00AE3C4E" w:rsidRPr="0081082A" w:rsidRDefault="00AE3C4E" w:rsidP="00310BEC">
            <w:pPr>
              <w:jc w:val="center"/>
              <w:rPr>
                <w:rFonts w:ascii="Times New Roman" w:hAnsi="Times New Roman"/>
                <w:sz w:val="18"/>
                <w:szCs w:val="18"/>
                <w:lang w:val="sr-Cyrl-RS"/>
              </w:rPr>
            </w:pPr>
          </w:p>
          <w:p w:rsidR="00AE3C4E" w:rsidRPr="0081082A" w:rsidRDefault="00AE3C4E" w:rsidP="008C0D87">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Израђена анализа</w:t>
            </w:r>
          </w:p>
          <w:p w:rsidR="00AE3C4E" w:rsidRPr="0081082A" w:rsidRDefault="00AE3C4E" w:rsidP="00310BEC">
            <w:pPr>
              <w:jc w:val="center"/>
              <w:rPr>
                <w:rFonts w:eastAsia="Times New Roman"/>
                <w:sz w:val="16"/>
                <w:szCs w:val="16"/>
                <w:lang w:val="sr-Cyrl-RS" w:eastAsia="en-GB"/>
              </w:rPr>
            </w:pP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996"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6"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3"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7"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61"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r>
      <w:tr w:rsidR="00AE3C4E" w:rsidRPr="0081082A" w:rsidTr="00310BEC">
        <w:trPr>
          <w:gridAfter w:val="1"/>
          <w:wAfter w:w="6" w:type="dxa"/>
          <w:trHeight w:val="841"/>
          <w:jc w:val="center"/>
        </w:trPr>
        <w:tc>
          <w:tcPr>
            <w:tcW w:w="3134" w:type="dxa"/>
            <w:gridSpan w:val="4"/>
            <w:shd w:val="clear" w:color="auto" w:fill="auto"/>
            <w:vAlign w:val="center"/>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Израђена анализа униформне структуре програмског буџета јединица локалне самоуправе</w:t>
            </w:r>
          </w:p>
        </w:tc>
        <w:tc>
          <w:tcPr>
            <w:tcW w:w="2895"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19" w:type="dxa"/>
            <w:gridSpan w:val="6"/>
            <w:shd w:val="clear" w:color="auto" w:fill="auto"/>
            <w:vAlign w:val="center"/>
          </w:tcPr>
          <w:p w:rsidR="00AE3C4E" w:rsidRPr="0081082A" w:rsidRDefault="00AE3C4E" w:rsidP="008C0D87">
            <w:pPr>
              <w:tabs>
                <w:tab w:val="left" w:pos="9923"/>
              </w:tabs>
              <w:spacing w:after="0" w:line="240" w:lineRule="auto"/>
              <w:jc w:val="center"/>
              <w:rPr>
                <w:rFonts w:ascii="Times New Roman" w:hAnsi="Times New Roman"/>
                <w:sz w:val="18"/>
                <w:szCs w:val="18"/>
                <w:lang w:val="sr-Cyrl-RS"/>
              </w:rPr>
            </w:pPr>
            <w:r w:rsidRPr="0081082A">
              <w:rPr>
                <w:rFonts w:eastAsia="Times New Roman"/>
                <w:color w:val="000000"/>
                <w:sz w:val="16"/>
                <w:szCs w:val="16"/>
                <w:lang w:val="sr-Cyrl-RS" w:eastAsia="en-GB"/>
              </w:rPr>
              <w:t>Израђена анализа</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996"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6"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7"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61"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r>
      <w:tr w:rsidR="00AE3C4E" w:rsidRPr="0081082A" w:rsidTr="00310BEC">
        <w:trPr>
          <w:gridAfter w:val="1"/>
          <w:wAfter w:w="6" w:type="dxa"/>
          <w:trHeight w:val="1110"/>
          <w:jc w:val="center"/>
        </w:trPr>
        <w:tc>
          <w:tcPr>
            <w:tcW w:w="3134" w:type="dxa"/>
            <w:gridSpan w:val="4"/>
            <w:shd w:val="clear" w:color="auto" w:fill="auto"/>
            <w:vAlign w:val="center"/>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Утврђена униформна програмска структура за организације обавезног социјалног осигурања и њихове кориснике</w:t>
            </w:r>
          </w:p>
        </w:tc>
        <w:tc>
          <w:tcPr>
            <w:tcW w:w="2895"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19" w:type="dxa"/>
            <w:gridSpan w:val="6"/>
            <w:shd w:val="clear" w:color="auto" w:fill="auto"/>
            <w:vAlign w:val="center"/>
          </w:tcPr>
          <w:p w:rsidR="00AE3C4E" w:rsidRPr="0081082A" w:rsidRDefault="00AE3C4E" w:rsidP="008C0D87">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Закон о буџету</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996"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6"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7"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61"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r>
      <w:tr w:rsidR="00AE3C4E" w:rsidRPr="0081082A" w:rsidTr="00310BEC">
        <w:trPr>
          <w:gridAfter w:val="2"/>
          <w:wAfter w:w="27" w:type="dxa"/>
          <w:trHeight w:val="68"/>
          <w:jc w:val="center"/>
        </w:trPr>
        <w:tc>
          <w:tcPr>
            <w:tcW w:w="3134" w:type="dxa"/>
            <w:gridSpan w:val="4"/>
            <w:vMerge w:val="restart"/>
            <w:shd w:val="clear" w:color="FFFFCC"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639"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Институција одговорна за спровођење </w:t>
            </w:r>
          </w:p>
        </w:tc>
        <w:tc>
          <w:tcPr>
            <w:tcW w:w="1719" w:type="dxa"/>
            <w:gridSpan w:val="6"/>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240" w:type="dxa"/>
            <w:gridSpan w:val="49"/>
            <w:shd w:val="clear" w:color="FFFFCC"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                                                                                         Укупна процењена финансијска средства по изворима у 000 дин.</w:t>
            </w:r>
          </w:p>
        </w:tc>
      </w:tr>
      <w:tr w:rsidR="00AE3C4E" w:rsidRPr="0081082A" w:rsidTr="00310BEC">
        <w:trPr>
          <w:gridAfter w:val="2"/>
          <w:wAfter w:w="27" w:type="dxa"/>
          <w:trHeight w:val="570"/>
          <w:jc w:val="center"/>
        </w:trPr>
        <w:tc>
          <w:tcPr>
            <w:tcW w:w="3134" w:type="dxa"/>
            <w:gridSpan w:val="4"/>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719" w:type="dxa"/>
            <w:gridSpan w:val="6"/>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784" w:type="dxa"/>
            <w:gridSpan w:val="11"/>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24"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060" w:type="dxa"/>
            <w:gridSpan w:val="6"/>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56" w:type="dxa"/>
            <w:gridSpan w:val="8"/>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54" w:type="dxa"/>
            <w:gridSpan w:val="8"/>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4"/>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842"/>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1.1.1 Анализа примене програмског буџета и употребе показатеља учинка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2022</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донаторска средства - ГИЗ</w:t>
            </w:r>
          </w:p>
        </w:tc>
        <w:tc>
          <w:tcPr>
            <w:tcW w:w="1124"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lang w:val="sr-Cyrl-RS" w:eastAsia="en-GB"/>
              </w:rPr>
            </w:pPr>
            <w:r w:rsidRPr="0081082A">
              <w:rPr>
                <w:rFonts w:eastAsia="Times New Roman"/>
                <w:color w:val="000000"/>
                <w:sz w:val="16"/>
                <w:szCs w:val="16"/>
                <w:lang w:val="sr-Cyrl-RS" w:eastAsia="en-GB"/>
              </w:rPr>
              <w:t>2301-0013</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698"/>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1.1.2 Анализа униформне структуре програмског буџета јединица локалне самоуправе</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2022</w:t>
            </w:r>
            <w:r w:rsidRPr="0081082A">
              <w:rPr>
                <w:rFonts w:eastAsia="Times New Roman"/>
                <w:color w:val="000000"/>
                <w:sz w:val="16"/>
                <w:szCs w:val="16"/>
                <w:lang w:val="sr-Cyrl-RS" w:eastAsia="en-GB"/>
              </w:rPr>
              <w:br/>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донаторска средства - ГИЗ</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2301-0013</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836"/>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1.1.3 Утврђивање програмске структуре за организације обавезног социјалног осигурања и њихове кориснике</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2025</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Буџет </w:t>
            </w:r>
            <w:r w:rsidR="005C685F">
              <w:rPr>
                <w:rFonts w:eastAsia="Times New Roman"/>
                <w:sz w:val="16"/>
                <w:szCs w:val="16"/>
                <w:lang w:val="sr-Cyrl-RS" w:eastAsia="en-GB"/>
              </w:rPr>
              <w:t>Републике Србије</w:t>
            </w:r>
            <w:r w:rsidR="005C685F" w:rsidRPr="0081082A">
              <w:rPr>
                <w:rFonts w:eastAsia="Times New Roman"/>
                <w:color w:val="000000"/>
                <w:sz w:val="16"/>
                <w:szCs w:val="16"/>
                <w:lang w:val="sr-Cyrl-RS" w:eastAsia="en-GB"/>
              </w:rPr>
              <w:t xml:space="preserve"> </w:t>
            </w:r>
            <w:r w:rsidRPr="0081082A">
              <w:rPr>
                <w:rFonts w:eastAsia="Times New Roman"/>
                <w:color w:val="000000"/>
                <w:sz w:val="16"/>
                <w:szCs w:val="16"/>
                <w:lang w:val="sr-Cyrl-RS" w:eastAsia="en-GB"/>
              </w:rPr>
              <w:t>и донаторска средства</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2301-0013</w:t>
            </w:r>
          </w:p>
        </w:tc>
        <w:tc>
          <w:tcPr>
            <w:tcW w:w="1060" w:type="dxa"/>
            <w:gridSpan w:val="6"/>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6" w:type="dxa"/>
            <w:gridSpan w:val="8"/>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4" w:type="dxa"/>
            <w:gridSpan w:val="8"/>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r>
      <w:tr w:rsidR="00AE3C4E" w:rsidRPr="0081082A" w:rsidTr="00310BEC">
        <w:trPr>
          <w:gridAfter w:val="2"/>
          <w:wAfter w:w="27" w:type="dxa"/>
          <w:trHeight w:val="930"/>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1.1.4 Радионице и обуке за све кориснике на свим нивоима власти</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2025</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Национална академија за јавну управу (НАЈУ)</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 РС</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0615-0001</w:t>
            </w:r>
          </w:p>
        </w:tc>
        <w:tc>
          <w:tcPr>
            <w:tcW w:w="1060" w:type="dxa"/>
            <w:gridSpan w:val="6"/>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150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6" w:type="dxa"/>
            <w:gridSpan w:val="8"/>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150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4" w:type="dxa"/>
            <w:gridSpan w:val="8"/>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150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r>
      <w:tr w:rsidR="00AE3C4E" w:rsidRPr="0081082A" w:rsidTr="00310BEC">
        <w:trPr>
          <w:gridAfter w:val="2"/>
          <w:wAfter w:w="27" w:type="dxa"/>
          <w:trHeight w:val="762"/>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1.1.5 Студијска посета у вези унапређења извештаја о учинку</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2022</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Донаторска средства</w:t>
            </w:r>
            <w:r w:rsidRPr="0081082A">
              <w:rPr>
                <w:rFonts w:eastAsia="Times New Roman"/>
                <w:color w:val="000000"/>
                <w:sz w:val="16"/>
                <w:szCs w:val="16"/>
                <w:lang w:val="sr-Cyrl-RS" w:eastAsia="en-GB"/>
              </w:rPr>
              <w:br/>
            </w:r>
          </w:p>
        </w:tc>
        <w:tc>
          <w:tcPr>
            <w:tcW w:w="1124"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lang w:val="sr-Cyrl-RS" w:eastAsia="en-GB"/>
              </w:rPr>
            </w:pPr>
            <w:r w:rsidRPr="0081082A">
              <w:rPr>
                <w:rFonts w:eastAsia="Times New Roman"/>
                <w:color w:val="000000"/>
                <w:lang w:val="sr-Cyrl-RS" w:eastAsia="en-GB"/>
              </w:rPr>
              <w:t>-</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64" w:name="_Toc73613639"/>
            <w:r w:rsidRPr="0081082A">
              <w:rPr>
                <w:rFonts w:eastAsia="Times New Roman"/>
                <w:b/>
                <w:i/>
                <w:color w:val="365F91"/>
                <w:sz w:val="18"/>
                <w:szCs w:val="18"/>
                <w:lang w:val="sr-Cyrl-RS" w:eastAsia="en-GB"/>
              </w:rPr>
              <w:t>Мера 1.2: Унапређење капацитета у вези припреме и обавеза земаља чланица ЕУ током процеса припреме буџета</w:t>
            </w:r>
            <w:bookmarkEnd w:id="64"/>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65" w:name="_Toc73613640"/>
            <w:r w:rsidRPr="0081082A">
              <w:rPr>
                <w:rFonts w:eastAsia="Times New Roman"/>
                <w:b/>
                <w:i/>
                <w:color w:val="365F91"/>
                <w:sz w:val="18"/>
                <w:szCs w:val="18"/>
                <w:lang w:val="sr-Cyrl-RS" w:eastAsia="en-GB"/>
              </w:rPr>
              <w:t>Институција одговорна за спровођење (координацију спровођења) мере:</w:t>
            </w:r>
            <w:r w:rsidR="00156A1C">
              <w:rPr>
                <w:rFonts w:eastAsia="Times New Roman"/>
                <w:b/>
                <w:i/>
                <w:color w:val="365F91"/>
                <w:sz w:val="18"/>
                <w:szCs w:val="18"/>
                <w:lang w:val="sr-Cyrl-RS" w:eastAsia="en-GB"/>
              </w:rPr>
              <w:t xml:space="preserve"> </w:t>
            </w:r>
            <w:r w:rsidRPr="0081082A">
              <w:rPr>
                <w:rFonts w:eastAsia="Times New Roman"/>
                <w:b/>
                <w:i/>
                <w:color w:val="365F91"/>
                <w:sz w:val="18"/>
                <w:szCs w:val="18"/>
                <w:lang w:val="sr-Cyrl-RS" w:eastAsia="en-GB"/>
              </w:rPr>
              <w:t>Министарство финансија – Сектор буџета</w:t>
            </w:r>
            <w:bookmarkEnd w:id="65"/>
          </w:p>
        </w:tc>
      </w:tr>
      <w:tr w:rsidR="00AE3C4E" w:rsidRPr="0081082A" w:rsidTr="00310BEC">
        <w:trPr>
          <w:trHeight w:val="289"/>
          <w:jc w:val="center"/>
        </w:trPr>
        <w:tc>
          <w:tcPr>
            <w:tcW w:w="8190" w:type="dxa"/>
            <w:gridSpan w:val="22"/>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66" w:name="_Toc73613641"/>
            <w:r w:rsidRPr="0081082A">
              <w:rPr>
                <w:rFonts w:eastAsia="Times New Roman"/>
                <w:b/>
                <w:i/>
                <w:color w:val="365F91"/>
                <w:sz w:val="18"/>
                <w:szCs w:val="18"/>
                <w:lang w:val="sr-Cyrl-RS" w:eastAsia="en-GB"/>
              </w:rPr>
              <w:t>Период спровођења: 2021-2025</w:t>
            </w:r>
            <w:bookmarkEnd w:id="66"/>
          </w:p>
        </w:tc>
        <w:tc>
          <w:tcPr>
            <w:tcW w:w="7825" w:type="dxa"/>
            <w:gridSpan w:val="46"/>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67" w:name="_Toc73613642"/>
            <w:r w:rsidRPr="0081082A">
              <w:rPr>
                <w:rFonts w:eastAsia="Times New Roman"/>
                <w:b/>
                <w:i/>
                <w:color w:val="365F91"/>
                <w:sz w:val="18"/>
                <w:szCs w:val="18"/>
                <w:lang w:val="sr-Cyrl-RS" w:eastAsia="en-GB"/>
              </w:rPr>
              <w:t>Тип мере: Институционално управљачко организациона</w:t>
            </w:r>
            <w:bookmarkEnd w:id="67"/>
          </w:p>
        </w:tc>
      </w:tr>
      <w:tr w:rsidR="00AE3C4E" w:rsidRPr="0081082A" w:rsidTr="00310BEC">
        <w:trPr>
          <w:gridAfter w:val="1"/>
          <w:wAfter w:w="6" w:type="dxa"/>
          <w:trHeight w:val="48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060"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9"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2022</w:t>
            </w:r>
          </w:p>
        </w:tc>
        <w:tc>
          <w:tcPr>
            <w:tcW w:w="1060"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2023</w:t>
            </w:r>
          </w:p>
        </w:tc>
        <w:tc>
          <w:tcPr>
            <w:tcW w:w="1055"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2024</w:t>
            </w:r>
          </w:p>
        </w:tc>
        <w:tc>
          <w:tcPr>
            <w:tcW w:w="1109"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2025</w:t>
            </w:r>
          </w:p>
        </w:tc>
      </w:tr>
      <w:tr w:rsidR="00AE3C4E" w:rsidRPr="0081082A" w:rsidTr="00310BEC">
        <w:trPr>
          <w:gridAfter w:val="1"/>
          <w:wAfter w:w="6" w:type="dxa"/>
          <w:trHeight w:val="765"/>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Израђена анализа процеса припреме буџета земаља чланица ЕУ</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Израђена анализа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9"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0"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tc>
        <w:tc>
          <w:tcPr>
            <w:tcW w:w="1055"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0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310BEC">
        <w:trPr>
          <w:gridAfter w:val="1"/>
          <w:wAfter w:w="6" w:type="dxa"/>
          <w:trHeight w:val="765"/>
          <w:jc w:val="center"/>
        </w:trPr>
        <w:tc>
          <w:tcPr>
            <w:tcW w:w="3134" w:type="dxa"/>
            <w:gridSpan w:val="4"/>
            <w:shd w:val="clear" w:color="auto" w:fill="auto"/>
            <w:vAlign w:val="center"/>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Број студијских посета</w:t>
            </w:r>
          </w:p>
        </w:tc>
        <w:tc>
          <w:tcPr>
            <w:tcW w:w="2895"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19" w:type="dxa"/>
            <w:gridSpan w:val="6"/>
            <w:shd w:val="clear" w:color="auto" w:fill="auto"/>
            <w:vAlign w:val="center"/>
          </w:tcPr>
          <w:p w:rsidR="00AE3C4E" w:rsidRPr="0081082A" w:rsidRDefault="00622E88"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Извештај са</w:t>
            </w:r>
            <w:r w:rsidR="00AE3C4E" w:rsidRPr="0081082A">
              <w:rPr>
                <w:rFonts w:eastAsia="Times New Roman"/>
                <w:sz w:val="16"/>
                <w:szCs w:val="16"/>
                <w:lang w:val="sr-Cyrl-RS" w:eastAsia="en-GB"/>
              </w:rPr>
              <w:t xml:space="preserve"> студијских посета</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060"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69"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60"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w:t>
            </w:r>
          </w:p>
        </w:tc>
        <w:tc>
          <w:tcPr>
            <w:tcW w:w="1055"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tc>
        <w:tc>
          <w:tcPr>
            <w:tcW w:w="110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tc>
      </w:tr>
      <w:tr w:rsidR="00AE3C4E" w:rsidRPr="0081082A" w:rsidTr="00310BEC">
        <w:trPr>
          <w:gridAfter w:val="2"/>
          <w:wAfter w:w="27" w:type="dxa"/>
          <w:trHeight w:val="300"/>
          <w:jc w:val="center"/>
        </w:trPr>
        <w:tc>
          <w:tcPr>
            <w:tcW w:w="3134"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639"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Институција одговорна за спровођење</w:t>
            </w:r>
          </w:p>
        </w:tc>
        <w:tc>
          <w:tcPr>
            <w:tcW w:w="1719" w:type="dxa"/>
            <w:gridSpan w:val="6"/>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240" w:type="dxa"/>
            <w:gridSpan w:val="4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у 000 дин.</w:t>
            </w:r>
          </w:p>
        </w:tc>
      </w:tr>
      <w:tr w:rsidR="00AE3C4E" w:rsidRPr="0081082A" w:rsidTr="00310BEC">
        <w:trPr>
          <w:gridAfter w:val="2"/>
          <w:wAfter w:w="27" w:type="dxa"/>
          <w:trHeight w:val="570"/>
          <w:jc w:val="center"/>
        </w:trPr>
        <w:tc>
          <w:tcPr>
            <w:tcW w:w="3134" w:type="dxa"/>
            <w:gridSpan w:val="4"/>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19" w:type="dxa"/>
            <w:gridSpan w:val="6"/>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84" w:type="dxa"/>
            <w:gridSpan w:val="11"/>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24"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060" w:type="dxa"/>
            <w:gridSpan w:val="6"/>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56"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54"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4"/>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656"/>
          <w:jc w:val="center"/>
        </w:trPr>
        <w:tc>
          <w:tcPr>
            <w:tcW w:w="3134" w:type="dxa"/>
            <w:gridSpan w:val="4"/>
            <w:shd w:val="clear" w:color="000000" w:fill="FFFFFF"/>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1.2.1 Анализа процеса припреме буџета земаља чланица ЕУ и обавеза Р</w:t>
            </w:r>
            <w:r w:rsidR="00CB7149">
              <w:rPr>
                <w:rFonts w:eastAsia="Times New Roman"/>
                <w:sz w:val="16"/>
                <w:szCs w:val="16"/>
                <w:lang w:val="sr-Cyrl-RS" w:eastAsia="en-GB"/>
              </w:rPr>
              <w:t xml:space="preserve">епублике </w:t>
            </w:r>
            <w:r w:rsidRPr="0081082A">
              <w:rPr>
                <w:rFonts w:eastAsia="Times New Roman"/>
                <w:sz w:val="16"/>
                <w:szCs w:val="16"/>
                <w:lang w:val="sr-Cyrl-RS" w:eastAsia="en-GB"/>
              </w:rPr>
              <w:t>С</w:t>
            </w:r>
            <w:r w:rsidR="00FE5B97">
              <w:rPr>
                <w:rFonts w:eastAsia="Times New Roman"/>
                <w:sz w:val="16"/>
                <w:szCs w:val="16"/>
                <w:lang w:val="sr-Cyrl-RS" w:eastAsia="en-GB"/>
              </w:rPr>
              <w:t>рбије</w:t>
            </w:r>
            <w:r w:rsidRPr="0081082A">
              <w:rPr>
                <w:rFonts w:eastAsia="Times New Roman"/>
                <w:sz w:val="16"/>
                <w:szCs w:val="16"/>
                <w:lang w:val="sr-Cyrl-RS" w:eastAsia="en-GB"/>
              </w:rPr>
              <w:t xml:space="preserve"> приликом припреме буџета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2023</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Буџет </w:t>
            </w:r>
            <w:r w:rsidR="005C685F" w:rsidRPr="0081082A">
              <w:rPr>
                <w:rFonts w:eastAsia="Times New Roman"/>
                <w:sz w:val="16"/>
                <w:szCs w:val="16"/>
                <w:lang w:val="sr-Cyrl-RS" w:eastAsia="en-GB"/>
              </w:rPr>
              <w:t>Р</w:t>
            </w:r>
            <w:r w:rsidR="005C685F">
              <w:rPr>
                <w:rFonts w:eastAsia="Times New Roman"/>
                <w:sz w:val="16"/>
                <w:szCs w:val="16"/>
                <w:lang w:val="sr-Cyrl-RS" w:eastAsia="en-GB"/>
              </w:rPr>
              <w:t xml:space="preserve">епублике </w:t>
            </w:r>
            <w:r w:rsidR="005C685F" w:rsidRPr="0081082A">
              <w:rPr>
                <w:rFonts w:eastAsia="Times New Roman"/>
                <w:sz w:val="16"/>
                <w:szCs w:val="16"/>
                <w:lang w:val="sr-Cyrl-RS" w:eastAsia="en-GB"/>
              </w:rPr>
              <w:t>С</w:t>
            </w:r>
            <w:r w:rsidR="005C685F">
              <w:rPr>
                <w:rFonts w:eastAsia="Times New Roman"/>
                <w:sz w:val="16"/>
                <w:szCs w:val="16"/>
                <w:lang w:val="sr-Cyrl-RS" w:eastAsia="en-GB"/>
              </w:rPr>
              <w:t>рбије</w:t>
            </w:r>
            <w:r w:rsidR="005C685F" w:rsidRPr="0081082A">
              <w:rPr>
                <w:rFonts w:eastAsia="Times New Roman"/>
                <w:color w:val="000000"/>
                <w:sz w:val="16"/>
                <w:szCs w:val="16"/>
                <w:lang w:val="sr-Cyrl-RS" w:eastAsia="en-GB"/>
              </w:rPr>
              <w:t xml:space="preserve"> </w:t>
            </w:r>
            <w:r w:rsidRPr="0081082A">
              <w:rPr>
                <w:rFonts w:eastAsia="Times New Roman"/>
                <w:color w:val="000000"/>
                <w:sz w:val="16"/>
                <w:szCs w:val="16"/>
                <w:lang w:val="sr-Cyrl-RS" w:eastAsia="en-GB"/>
              </w:rPr>
              <w:t>и донаторска средства</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2301-0013</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566"/>
          <w:jc w:val="center"/>
        </w:trPr>
        <w:tc>
          <w:tcPr>
            <w:tcW w:w="3134" w:type="dxa"/>
            <w:gridSpan w:val="4"/>
            <w:shd w:val="clear" w:color="000000" w:fill="FFFFFF"/>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1.2.2 Обуке запослених у Министарству финансија и директним буџетским корисницима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2025</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Буџет </w:t>
            </w:r>
            <w:r w:rsidR="005C685F" w:rsidRPr="0081082A">
              <w:rPr>
                <w:rFonts w:eastAsia="Times New Roman"/>
                <w:sz w:val="16"/>
                <w:szCs w:val="16"/>
                <w:lang w:val="sr-Cyrl-RS" w:eastAsia="en-GB"/>
              </w:rPr>
              <w:t>Р</w:t>
            </w:r>
            <w:r w:rsidR="005C685F">
              <w:rPr>
                <w:rFonts w:eastAsia="Times New Roman"/>
                <w:sz w:val="16"/>
                <w:szCs w:val="16"/>
                <w:lang w:val="sr-Cyrl-RS" w:eastAsia="en-GB"/>
              </w:rPr>
              <w:t xml:space="preserve">епублике </w:t>
            </w:r>
            <w:r w:rsidR="005C685F" w:rsidRPr="0081082A">
              <w:rPr>
                <w:rFonts w:eastAsia="Times New Roman"/>
                <w:sz w:val="16"/>
                <w:szCs w:val="16"/>
                <w:lang w:val="sr-Cyrl-RS" w:eastAsia="en-GB"/>
              </w:rPr>
              <w:t>С</w:t>
            </w:r>
            <w:r w:rsidR="005C685F">
              <w:rPr>
                <w:rFonts w:eastAsia="Times New Roman"/>
                <w:sz w:val="16"/>
                <w:szCs w:val="16"/>
                <w:lang w:val="sr-Cyrl-RS" w:eastAsia="en-GB"/>
              </w:rPr>
              <w:t>рбије</w:t>
            </w:r>
            <w:r w:rsidRPr="0081082A">
              <w:rPr>
                <w:rFonts w:eastAsia="Times New Roman"/>
                <w:color w:val="000000"/>
                <w:sz w:val="16"/>
                <w:szCs w:val="16"/>
                <w:lang w:val="sr-Cyrl-RS" w:eastAsia="en-GB"/>
              </w:rPr>
              <w:t xml:space="preserve"> и донаторска средства</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2301-0013</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w:t>
            </w:r>
          </w:p>
        </w:tc>
      </w:tr>
      <w:tr w:rsidR="00AE3C4E" w:rsidRPr="0081082A" w:rsidTr="00310BEC">
        <w:trPr>
          <w:gridAfter w:val="2"/>
          <w:wAfter w:w="27" w:type="dxa"/>
          <w:trHeight w:val="533"/>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1.2.3 Студијска посета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2025</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Донаторска средства</w:t>
            </w:r>
          </w:p>
        </w:tc>
        <w:tc>
          <w:tcPr>
            <w:tcW w:w="1124"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2301-0013</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w:t>
            </w:r>
          </w:p>
        </w:tc>
      </w:tr>
      <w:tr w:rsidR="00AE3C4E" w:rsidRPr="0081082A" w:rsidTr="00310BEC">
        <w:trPr>
          <w:trHeight w:val="3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0"/>
              <w:rPr>
                <w:rFonts w:eastAsia="Times New Roman"/>
                <w:b/>
                <w:i/>
                <w:color w:val="365F91"/>
                <w:sz w:val="18"/>
                <w:szCs w:val="18"/>
                <w:lang w:val="sr-Cyrl-RS" w:eastAsia="en-GB"/>
              </w:rPr>
            </w:pPr>
            <w:bookmarkStart w:id="68" w:name="_Toc73613643"/>
            <w:r w:rsidRPr="0081082A">
              <w:rPr>
                <w:rFonts w:eastAsia="Times New Roman"/>
                <w:b/>
                <w:i/>
                <w:color w:val="365F91"/>
                <w:sz w:val="18"/>
                <w:szCs w:val="18"/>
                <w:lang w:val="sr-Cyrl-RS" w:eastAsia="en-GB"/>
              </w:rPr>
              <w:t>Мера 1.3: Унапређење средњорочног планирања</w:t>
            </w:r>
            <w:bookmarkEnd w:id="68"/>
          </w:p>
        </w:tc>
      </w:tr>
      <w:tr w:rsidR="00AE3C4E" w:rsidRPr="0081082A" w:rsidTr="00310BEC">
        <w:trPr>
          <w:trHeight w:val="3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69" w:name="_Toc73613644"/>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622E88" w:rsidRPr="0081082A">
              <w:rPr>
                <w:rFonts w:eastAsia="Times New Roman"/>
                <w:b/>
                <w:i/>
                <w:color w:val="365F91"/>
                <w:sz w:val="18"/>
                <w:szCs w:val="18"/>
                <w:lang w:val="sr-Cyrl-RS" w:eastAsia="en-GB"/>
              </w:rPr>
              <w:t>мере: Републички</w:t>
            </w:r>
            <w:r w:rsidRPr="0081082A">
              <w:rPr>
                <w:rFonts w:eastAsia="Times New Roman"/>
                <w:b/>
                <w:i/>
                <w:color w:val="365F91"/>
                <w:sz w:val="18"/>
                <w:szCs w:val="18"/>
                <w:lang w:val="sr-Cyrl-RS" w:eastAsia="en-GB"/>
              </w:rPr>
              <w:t xml:space="preserve"> секретаријат за јавне политике</w:t>
            </w:r>
            <w:bookmarkEnd w:id="69"/>
          </w:p>
        </w:tc>
      </w:tr>
      <w:tr w:rsidR="00AE3C4E" w:rsidRPr="0081082A" w:rsidTr="00310BEC">
        <w:trPr>
          <w:trHeight w:val="365"/>
          <w:jc w:val="center"/>
        </w:trPr>
        <w:tc>
          <w:tcPr>
            <w:tcW w:w="8190" w:type="dxa"/>
            <w:gridSpan w:val="22"/>
            <w:shd w:val="clear" w:color="auto" w:fill="F2F2F2" w:themeFill="background1" w:themeFillShade="F2"/>
          </w:tcPr>
          <w:p w:rsidR="00AE3C4E" w:rsidRPr="0081082A" w:rsidRDefault="00AE3C4E" w:rsidP="00310BEC">
            <w:pPr>
              <w:keepNext/>
              <w:keepLines/>
              <w:spacing w:after="0" w:line="240" w:lineRule="auto"/>
              <w:outlineLvl w:val="0"/>
              <w:rPr>
                <w:rFonts w:eastAsia="Times New Roman"/>
                <w:b/>
                <w:i/>
                <w:color w:val="365F91"/>
                <w:sz w:val="18"/>
                <w:szCs w:val="18"/>
                <w:lang w:val="sr-Cyrl-RS" w:eastAsia="en-GB"/>
              </w:rPr>
            </w:pPr>
            <w:bookmarkStart w:id="70" w:name="_Toc73613645"/>
            <w:r w:rsidRPr="0081082A">
              <w:rPr>
                <w:rFonts w:eastAsia="Times New Roman"/>
                <w:b/>
                <w:i/>
                <w:color w:val="365F91"/>
                <w:sz w:val="18"/>
                <w:szCs w:val="18"/>
                <w:lang w:val="sr-Cyrl-RS" w:eastAsia="en-GB"/>
              </w:rPr>
              <w:t>Период спровођења: 2021-2025</w:t>
            </w:r>
            <w:bookmarkEnd w:id="70"/>
          </w:p>
        </w:tc>
        <w:tc>
          <w:tcPr>
            <w:tcW w:w="7825" w:type="dxa"/>
            <w:gridSpan w:val="46"/>
            <w:shd w:val="clear" w:color="auto" w:fill="F2F2F2" w:themeFill="background1" w:themeFillShade="F2"/>
          </w:tcPr>
          <w:p w:rsidR="00AE3C4E" w:rsidRPr="0081082A" w:rsidRDefault="00AE3C4E" w:rsidP="00310BEC">
            <w:pPr>
              <w:keepNext/>
              <w:keepLines/>
              <w:spacing w:after="0" w:line="240" w:lineRule="auto"/>
              <w:outlineLvl w:val="0"/>
              <w:rPr>
                <w:rFonts w:eastAsia="Times New Roman"/>
                <w:b/>
                <w:i/>
                <w:color w:val="365F91"/>
                <w:sz w:val="18"/>
                <w:szCs w:val="18"/>
                <w:lang w:val="sr-Cyrl-RS" w:eastAsia="en-GB"/>
              </w:rPr>
            </w:pPr>
            <w:bookmarkStart w:id="71" w:name="_Toc73613646"/>
            <w:r w:rsidRPr="0081082A">
              <w:rPr>
                <w:rFonts w:eastAsia="Times New Roman"/>
                <w:b/>
                <w:i/>
                <w:color w:val="365F91"/>
                <w:sz w:val="18"/>
                <w:szCs w:val="18"/>
                <w:lang w:val="sr-Cyrl-RS" w:eastAsia="en-GB"/>
              </w:rPr>
              <w:t>Тип мере: Информативно едукативна</w:t>
            </w:r>
            <w:bookmarkEnd w:id="71"/>
          </w:p>
        </w:tc>
      </w:tr>
      <w:tr w:rsidR="00AE3C4E" w:rsidRPr="0081082A" w:rsidDel="00C12C9C" w:rsidTr="00310BEC">
        <w:trPr>
          <w:gridAfter w:val="1"/>
          <w:wAfter w:w="6" w:type="dxa"/>
          <w:trHeight w:val="633"/>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109" w:type="dxa"/>
            <w:gridSpan w:val="7"/>
            <w:shd w:val="clear" w:color="auto" w:fill="F2F2F2" w:themeFill="background1" w:themeFillShade="F2"/>
            <w:hideMark/>
          </w:tcPr>
          <w:p w:rsidR="00AE3C4E" w:rsidRPr="0081082A" w:rsidRDefault="00AE3C4E" w:rsidP="00310BEC">
            <w:pPr>
              <w:jc w:val="center"/>
              <w:rPr>
                <w:b/>
                <w:sz w:val="16"/>
                <w:szCs w:val="18"/>
                <w:lang w:val="sr-Cyrl-RS"/>
              </w:rPr>
            </w:pPr>
            <w:r w:rsidRPr="0081082A">
              <w:rPr>
                <w:b/>
                <w:sz w:val="16"/>
                <w:szCs w:val="18"/>
                <w:lang w:val="sr-Cyrl-RS"/>
              </w:rPr>
              <w:t>Циљана вредност 2021</w:t>
            </w:r>
          </w:p>
        </w:tc>
        <w:tc>
          <w:tcPr>
            <w:tcW w:w="1020" w:type="dxa"/>
            <w:gridSpan w:val="8"/>
            <w:shd w:val="clear" w:color="auto" w:fill="F2F2F2" w:themeFill="background1" w:themeFillShade="F2"/>
            <w:hideMark/>
          </w:tcPr>
          <w:p w:rsidR="00AE3C4E" w:rsidRPr="0081082A" w:rsidRDefault="00AE3C4E" w:rsidP="00310BEC">
            <w:pPr>
              <w:jc w:val="center"/>
              <w:rPr>
                <w:b/>
                <w:sz w:val="16"/>
                <w:szCs w:val="18"/>
                <w:lang w:val="sr-Cyrl-RS"/>
              </w:rPr>
            </w:pPr>
            <w:r w:rsidRPr="0081082A">
              <w:rPr>
                <w:b/>
                <w:sz w:val="16"/>
                <w:szCs w:val="18"/>
                <w:lang w:val="sr-Cyrl-RS"/>
              </w:rPr>
              <w:t>Циљана вредност 2022</w:t>
            </w:r>
          </w:p>
        </w:tc>
        <w:tc>
          <w:tcPr>
            <w:tcW w:w="1060" w:type="dxa"/>
            <w:gridSpan w:val="8"/>
            <w:shd w:val="clear" w:color="auto" w:fill="F2F2F2" w:themeFill="background1" w:themeFillShade="F2"/>
            <w:hideMark/>
          </w:tcPr>
          <w:p w:rsidR="00AE3C4E" w:rsidRPr="0081082A" w:rsidRDefault="00AE3C4E" w:rsidP="00310BEC">
            <w:pPr>
              <w:jc w:val="center"/>
              <w:rPr>
                <w:b/>
                <w:sz w:val="16"/>
                <w:szCs w:val="18"/>
                <w:lang w:val="sr-Cyrl-RS"/>
              </w:rPr>
            </w:pPr>
            <w:r w:rsidRPr="0081082A">
              <w:rPr>
                <w:b/>
                <w:sz w:val="16"/>
                <w:szCs w:val="18"/>
                <w:lang w:val="sr-Cyrl-RS"/>
              </w:rPr>
              <w:t>Циљана вредност 2023</w:t>
            </w:r>
          </w:p>
        </w:tc>
        <w:tc>
          <w:tcPr>
            <w:tcW w:w="1055" w:type="dxa"/>
            <w:gridSpan w:val="9"/>
            <w:shd w:val="clear" w:color="auto" w:fill="F2F2F2" w:themeFill="background1" w:themeFillShade="F2"/>
            <w:hideMark/>
          </w:tcPr>
          <w:p w:rsidR="00AE3C4E" w:rsidRPr="0081082A" w:rsidDel="00C12C9C" w:rsidRDefault="00AE3C4E" w:rsidP="00310BEC">
            <w:pPr>
              <w:jc w:val="center"/>
              <w:rPr>
                <w:b/>
                <w:sz w:val="16"/>
                <w:szCs w:val="18"/>
                <w:lang w:val="sr-Cyrl-RS"/>
              </w:rPr>
            </w:pPr>
            <w:r w:rsidRPr="0081082A">
              <w:rPr>
                <w:b/>
                <w:sz w:val="16"/>
                <w:szCs w:val="18"/>
                <w:lang w:val="sr-Cyrl-RS"/>
              </w:rPr>
              <w:t>Циљана вредност 2024</w:t>
            </w:r>
          </w:p>
        </w:tc>
        <w:tc>
          <w:tcPr>
            <w:tcW w:w="1109" w:type="dxa"/>
            <w:gridSpan w:val="4"/>
            <w:shd w:val="clear" w:color="auto" w:fill="F2F2F2" w:themeFill="background1" w:themeFillShade="F2"/>
            <w:hideMark/>
          </w:tcPr>
          <w:p w:rsidR="00AE3C4E" w:rsidRPr="0081082A" w:rsidDel="00C12C9C" w:rsidRDefault="00AE3C4E" w:rsidP="00310BEC">
            <w:pPr>
              <w:jc w:val="center"/>
              <w:rPr>
                <w:b/>
                <w:sz w:val="16"/>
                <w:szCs w:val="18"/>
                <w:lang w:val="sr-Cyrl-RS"/>
              </w:rPr>
            </w:pPr>
            <w:r w:rsidRPr="0081082A">
              <w:rPr>
                <w:b/>
                <w:sz w:val="16"/>
                <w:szCs w:val="18"/>
                <w:lang w:val="sr-Cyrl-RS"/>
              </w:rPr>
              <w:t>Циљана вредност 2025</w:t>
            </w:r>
          </w:p>
        </w:tc>
      </w:tr>
      <w:tr w:rsidR="00AE3C4E" w:rsidRPr="0081082A" w:rsidTr="00310BEC">
        <w:trPr>
          <w:gridAfter w:val="1"/>
          <w:wAfter w:w="6" w:type="dxa"/>
          <w:trHeight w:val="795"/>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 усвојених и средњорочних планова обвезника средњорочног планирања на републичком нивоу</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Интернет странице обвезника средњорочног планирања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2020</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7</w:t>
            </w:r>
          </w:p>
        </w:tc>
        <w:tc>
          <w:tcPr>
            <w:tcW w:w="1069"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22</w:t>
            </w:r>
          </w:p>
        </w:tc>
        <w:tc>
          <w:tcPr>
            <w:tcW w:w="1060"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w:t>
            </w:r>
          </w:p>
        </w:tc>
        <w:tc>
          <w:tcPr>
            <w:tcW w:w="1055"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w:t>
            </w:r>
          </w:p>
        </w:tc>
        <w:tc>
          <w:tcPr>
            <w:tcW w:w="110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w:t>
            </w:r>
          </w:p>
        </w:tc>
      </w:tr>
      <w:tr w:rsidR="00AE3C4E" w:rsidRPr="0081082A" w:rsidTr="00310BEC">
        <w:trPr>
          <w:gridAfter w:val="2"/>
          <w:wAfter w:w="27" w:type="dxa"/>
          <w:trHeight w:val="300"/>
          <w:jc w:val="center"/>
        </w:trPr>
        <w:tc>
          <w:tcPr>
            <w:tcW w:w="3134"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639"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Институција одговорна за спровођење</w:t>
            </w:r>
          </w:p>
        </w:tc>
        <w:tc>
          <w:tcPr>
            <w:tcW w:w="1719" w:type="dxa"/>
            <w:gridSpan w:val="6"/>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240" w:type="dxa"/>
            <w:gridSpan w:val="4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у 000 дин.</w:t>
            </w:r>
          </w:p>
        </w:tc>
      </w:tr>
      <w:tr w:rsidR="00AE3C4E" w:rsidRPr="0081082A" w:rsidTr="00310BEC">
        <w:trPr>
          <w:gridAfter w:val="2"/>
          <w:wAfter w:w="27" w:type="dxa"/>
          <w:trHeight w:val="465"/>
          <w:jc w:val="center"/>
        </w:trPr>
        <w:tc>
          <w:tcPr>
            <w:tcW w:w="3134"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19" w:type="dxa"/>
            <w:gridSpan w:val="6"/>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84" w:type="dxa"/>
            <w:gridSpan w:val="11"/>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24"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060" w:type="dxa"/>
            <w:gridSpan w:val="6"/>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56"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54"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4"/>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1065"/>
          <w:jc w:val="center"/>
        </w:trPr>
        <w:tc>
          <w:tcPr>
            <w:tcW w:w="3134" w:type="dxa"/>
            <w:gridSpan w:val="4"/>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1.3.1 Менторска подршка изради средњорочних планова обвезника средњорочног планирања на републичком нивоу</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2023</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РСЈП</w:t>
            </w:r>
          </w:p>
        </w:tc>
        <w:tc>
          <w:tcPr>
            <w:tcW w:w="1719" w:type="dxa"/>
            <w:gridSpan w:val="6"/>
            <w:shd w:val="clear" w:color="auto" w:fill="auto"/>
            <w:vAlign w:val="center"/>
            <w:hideMark/>
          </w:tcPr>
          <w:p w:rsidR="00AE3C4E" w:rsidRPr="0081082A" w:rsidRDefault="005F4DDC"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Приходи из Буџета, Донорска средства- (ИПА 2015 Пројекат комплементарне техничке помоћи за реформу јавне управе)</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0610 – 0006</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(редовна издвајања)</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6"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985"/>
          <w:jc w:val="center"/>
        </w:trPr>
        <w:tc>
          <w:tcPr>
            <w:tcW w:w="3134" w:type="dxa"/>
            <w:gridSpan w:val="4"/>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1.3.2 Израда анализе степена усаглашености средњорочних планова са документима јавних политика у одговарaјућој области планирања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2025</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РСЈП</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 РС</w:t>
            </w:r>
          </w:p>
        </w:tc>
        <w:tc>
          <w:tcPr>
            <w:tcW w:w="1124"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0610 – 0006</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(редовна издвајања)</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6"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72" w:name="_Toc73613647"/>
            <w:r w:rsidRPr="0081082A">
              <w:rPr>
                <w:rFonts w:eastAsia="Times New Roman"/>
                <w:b/>
                <w:i/>
                <w:color w:val="365F91"/>
                <w:sz w:val="18"/>
                <w:szCs w:val="18"/>
                <w:lang w:val="sr-Cyrl-RS" w:eastAsia="en-GB"/>
              </w:rPr>
              <w:t xml:space="preserve">Мера 1.4: Унапређење окружења за ефикасно управљање капиталним пројектима </w:t>
            </w:r>
            <w:bookmarkEnd w:id="72"/>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73" w:name="_Toc73613648"/>
            <w:r w:rsidRPr="0081082A">
              <w:rPr>
                <w:rFonts w:eastAsia="Times New Roman"/>
                <w:b/>
                <w:i/>
                <w:color w:val="365F91"/>
                <w:sz w:val="18"/>
                <w:lang w:val="sr-Cyrl-RS" w:eastAsia="en-GB"/>
              </w:rPr>
              <w:t xml:space="preserve">Институција одговорна за спровођење (координацију спровођења) </w:t>
            </w:r>
            <w:r w:rsidR="00622E88" w:rsidRPr="0081082A">
              <w:rPr>
                <w:rFonts w:eastAsia="Times New Roman"/>
                <w:b/>
                <w:i/>
                <w:color w:val="365F91"/>
                <w:sz w:val="18"/>
                <w:lang w:val="sr-Cyrl-RS" w:eastAsia="en-GB"/>
              </w:rPr>
              <w:t>мере: Министарство</w:t>
            </w:r>
            <w:r w:rsidRPr="0081082A">
              <w:rPr>
                <w:rFonts w:eastAsia="Times New Roman"/>
                <w:b/>
                <w:i/>
                <w:color w:val="365F91"/>
                <w:sz w:val="18"/>
                <w:lang w:val="sr-Cyrl-RS" w:eastAsia="en-GB"/>
              </w:rPr>
              <w:t xml:space="preserve"> финансија-Сектор за праћење фискалних ризика</w:t>
            </w:r>
            <w:bookmarkEnd w:id="73"/>
          </w:p>
        </w:tc>
      </w:tr>
      <w:tr w:rsidR="00AE3C4E" w:rsidRPr="0081082A" w:rsidTr="00310BEC">
        <w:trPr>
          <w:trHeight w:val="289"/>
          <w:jc w:val="center"/>
        </w:trPr>
        <w:tc>
          <w:tcPr>
            <w:tcW w:w="8190" w:type="dxa"/>
            <w:gridSpan w:val="22"/>
            <w:shd w:val="clear" w:color="auto" w:fill="F2F2F2" w:themeFill="background1" w:themeFillShade="F2"/>
          </w:tcPr>
          <w:p w:rsidR="00AE3C4E" w:rsidRPr="0081082A" w:rsidRDefault="00AE3C4E" w:rsidP="00310BEC">
            <w:pPr>
              <w:rPr>
                <w:rFonts w:eastAsia="Times New Roman"/>
                <w:b/>
                <w:i/>
                <w:color w:val="365F91"/>
                <w:lang w:val="sr-Cyrl-RS" w:eastAsia="en-GB"/>
              </w:rPr>
            </w:pPr>
            <w:r w:rsidRPr="0081082A">
              <w:rPr>
                <w:rFonts w:eastAsia="Times New Roman"/>
                <w:b/>
                <w:i/>
                <w:color w:val="365F91"/>
                <w:lang w:val="sr-Cyrl-RS" w:eastAsia="en-GB"/>
              </w:rPr>
              <w:t>Период спровођења: 2021-2025</w:t>
            </w:r>
          </w:p>
        </w:tc>
        <w:tc>
          <w:tcPr>
            <w:tcW w:w="7825" w:type="dxa"/>
            <w:gridSpan w:val="46"/>
            <w:shd w:val="clear" w:color="auto" w:fill="F2F2F2" w:themeFill="background1" w:themeFillShade="F2"/>
          </w:tcPr>
          <w:p w:rsidR="00AE3C4E" w:rsidRPr="0081082A" w:rsidRDefault="00AE3C4E" w:rsidP="00310BEC">
            <w:pPr>
              <w:rPr>
                <w:rFonts w:eastAsia="Times New Roman"/>
                <w:b/>
                <w:i/>
                <w:color w:val="365F91"/>
                <w:lang w:val="sr-Cyrl-RS" w:eastAsia="en-GB"/>
              </w:rPr>
            </w:pPr>
            <w:r w:rsidRPr="0081082A">
              <w:rPr>
                <w:rFonts w:eastAsia="Times New Roman"/>
                <w:b/>
                <w:i/>
                <w:color w:val="365F91"/>
                <w:lang w:val="sr-Cyrl-RS" w:eastAsia="en-GB"/>
              </w:rPr>
              <w:t>Тип мере: Регулаторна</w:t>
            </w:r>
          </w:p>
        </w:tc>
      </w:tr>
      <w:tr w:rsidR="00AE3C4E" w:rsidRPr="0081082A" w:rsidTr="00310BEC">
        <w:trPr>
          <w:gridAfter w:val="1"/>
          <w:wAfter w:w="6" w:type="dxa"/>
          <w:trHeight w:val="48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Показатељ(и)  на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996" w:type="dxa"/>
            <w:gridSpan w:val="5"/>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23"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86"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991"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257"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1140"/>
          <w:jc w:val="center"/>
        </w:trPr>
        <w:tc>
          <w:tcPr>
            <w:tcW w:w="3134" w:type="dxa"/>
            <w:gridSpan w:val="4"/>
            <w:shd w:val="clear" w:color="auto" w:fill="auto"/>
            <w:vAlign w:val="center"/>
            <w:hideMark/>
          </w:tcPr>
          <w:p w:rsidR="00AE3C4E" w:rsidRPr="0081082A" w:rsidRDefault="00AE3C4E" w:rsidP="001010BE">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Капитални пројекти (изузимајући оне од посебног значаја за РС) који нису прошли предимплементациону фазу сходно методо</w:t>
            </w:r>
            <w:r w:rsidR="0009423C">
              <w:rPr>
                <w:rFonts w:eastAsia="Times New Roman"/>
                <w:sz w:val="16"/>
                <w:szCs w:val="16"/>
                <w:lang w:val="sr-Cyrl-RS" w:eastAsia="en-GB"/>
              </w:rPr>
              <w:t>логији, а укључени су у буџет Републике</w:t>
            </w:r>
            <w:r w:rsidRPr="0081082A">
              <w:rPr>
                <w:rFonts w:eastAsia="Times New Roman"/>
                <w:sz w:val="16"/>
                <w:szCs w:val="16"/>
                <w:lang w:val="sr-Cyrl-RS" w:eastAsia="en-GB"/>
              </w:rPr>
              <w:t xml:space="preserve"> Србије, где су ресорна министарства у својству овлашћених предлагача</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Закон о буџету/Извештај за РККИ</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61</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996"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50</w:t>
            </w:r>
          </w:p>
        </w:tc>
        <w:tc>
          <w:tcPr>
            <w:tcW w:w="1023"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w:t>
            </w:r>
          </w:p>
        </w:tc>
        <w:tc>
          <w:tcPr>
            <w:tcW w:w="1086"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w:t>
            </w:r>
          </w:p>
        </w:tc>
        <w:tc>
          <w:tcPr>
            <w:tcW w:w="991"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5</w:t>
            </w:r>
          </w:p>
        </w:tc>
        <w:tc>
          <w:tcPr>
            <w:tcW w:w="1257"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r>
      <w:tr w:rsidR="00AE3C4E" w:rsidRPr="0081082A" w:rsidTr="00310BEC">
        <w:trPr>
          <w:gridAfter w:val="1"/>
          <w:wAfter w:w="6" w:type="dxa"/>
          <w:trHeight w:val="1140"/>
          <w:jc w:val="center"/>
        </w:trPr>
        <w:tc>
          <w:tcPr>
            <w:tcW w:w="3134" w:type="dxa"/>
            <w:gridSpan w:val="4"/>
            <w:shd w:val="clear" w:color="auto" w:fill="auto"/>
            <w:vAlign w:val="center"/>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Обучени државни службеници из јединица за управљање пројектима на нивоу ресорних министарстава и других институција</w:t>
            </w:r>
          </w:p>
        </w:tc>
        <w:tc>
          <w:tcPr>
            <w:tcW w:w="2895" w:type="dxa"/>
            <w:gridSpan w:val="7"/>
            <w:shd w:val="clear" w:color="auto" w:fill="auto"/>
            <w:vAlign w:val="center"/>
          </w:tcPr>
          <w:p w:rsidR="00AE3C4E" w:rsidRPr="0081082A" w:rsidDel="00E0601E"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19" w:type="dxa"/>
            <w:gridSpan w:val="6"/>
            <w:shd w:val="clear" w:color="auto" w:fill="auto"/>
            <w:vAlign w:val="center"/>
          </w:tcPr>
          <w:p w:rsidR="00AE3C4E" w:rsidRPr="0081082A" w:rsidRDefault="00AE3C4E" w:rsidP="00310BEC">
            <w:pPr>
              <w:tabs>
                <w:tab w:val="left" w:pos="9923"/>
              </w:tabs>
              <w:spacing w:after="0" w:line="240" w:lineRule="auto"/>
              <w:jc w:val="center"/>
              <w:rPr>
                <w:rFonts w:ascii="Times New Roman" w:hAnsi="Times New Roman"/>
                <w:lang w:val="sr-Cyrl-RS"/>
              </w:rPr>
            </w:pPr>
            <w:r w:rsidRPr="0081082A">
              <w:rPr>
                <w:rFonts w:eastAsia="Times New Roman"/>
                <w:sz w:val="16"/>
                <w:szCs w:val="16"/>
                <w:lang w:val="sr-Cyrl-RS" w:eastAsia="en-GB"/>
              </w:rPr>
              <w:t>Извештај о одржаним радионицама - НАЈУ</w:t>
            </w:r>
          </w:p>
        </w:tc>
        <w:tc>
          <w:tcPr>
            <w:tcW w:w="1784" w:type="dxa"/>
            <w:gridSpan w:val="11"/>
            <w:shd w:val="clear" w:color="auto" w:fill="auto"/>
            <w:vAlign w:val="center"/>
          </w:tcPr>
          <w:p w:rsidR="00AE3C4E" w:rsidRPr="0081082A" w:rsidDel="00E0601E"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996" w:type="dxa"/>
            <w:gridSpan w:val="5"/>
            <w:shd w:val="clear" w:color="auto" w:fill="auto"/>
            <w:vAlign w:val="center"/>
          </w:tcPr>
          <w:p w:rsidR="00AE3C4E" w:rsidRPr="0081082A" w:rsidDel="00E0601E"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023" w:type="dxa"/>
            <w:gridSpan w:val="7"/>
            <w:shd w:val="clear" w:color="auto" w:fill="auto"/>
            <w:vAlign w:val="center"/>
          </w:tcPr>
          <w:p w:rsidR="00AE3C4E" w:rsidRPr="0081082A" w:rsidDel="00E0601E"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w:t>
            </w:r>
          </w:p>
        </w:tc>
        <w:tc>
          <w:tcPr>
            <w:tcW w:w="1086" w:type="dxa"/>
            <w:gridSpan w:val="8"/>
            <w:shd w:val="clear" w:color="auto" w:fill="auto"/>
            <w:vAlign w:val="center"/>
          </w:tcPr>
          <w:p w:rsidR="00AE3C4E" w:rsidRPr="0081082A" w:rsidDel="00E0601E"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50%</w:t>
            </w:r>
          </w:p>
        </w:tc>
        <w:tc>
          <w:tcPr>
            <w:tcW w:w="991" w:type="dxa"/>
            <w:gridSpan w:val="9"/>
            <w:shd w:val="clear" w:color="auto" w:fill="auto"/>
            <w:vAlign w:val="center"/>
          </w:tcPr>
          <w:p w:rsidR="00AE3C4E" w:rsidRPr="0081082A" w:rsidDel="00E0601E"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70%</w:t>
            </w:r>
          </w:p>
        </w:tc>
        <w:tc>
          <w:tcPr>
            <w:tcW w:w="1257"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80%</w:t>
            </w:r>
          </w:p>
        </w:tc>
      </w:tr>
      <w:tr w:rsidR="00AE3C4E" w:rsidRPr="0081082A" w:rsidTr="00310BEC">
        <w:trPr>
          <w:gridAfter w:val="2"/>
          <w:wAfter w:w="27" w:type="dxa"/>
          <w:trHeight w:val="300"/>
          <w:jc w:val="center"/>
        </w:trPr>
        <w:tc>
          <w:tcPr>
            <w:tcW w:w="3134"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639"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Институција одговорна за спровођење</w:t>
            </w:r>
          </w:p>
        </w:tc>
        <w:tc>
          <w:tcPr>
            <w:tcW w:w="1719" w:type="dxa"/>
            <w:gridSpan w:val="6"/>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240" w:type="dxa"/>
            <w:gridSpan w:val="4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у 000 дин.</w:t>
            </w:r>
          </w:p>
        </w:tc>
      </w:tr>
      <w:tr w:rsidR="00AE3C4E" w:rsidRPr="0081082A" w:rsidTr="00310BEC">
        <w:trPr>
          <w:gridAfter w:val="2"/>
          <w:wAfter w:w="27" w:type="dxa"/>
          <w:trHeight w:val="465"/>
          <w:jc w:val="center"/>
        </w:trPr>
        <w:tc>
          <w:tcPr>
            <w:tcW w:w="3134"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19" w:type="dxa"/>
            <w:gridSpan w:val="6"/>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84" w:type="dxa"/>
            <w:gridSpan w:val="11"/>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24"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060" w:type="dxa"/>
            <w:gridSpan w:val="6"/>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56"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54"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4"/>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350"/>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1.4.1</w:t>
            </w:r>
            <w:r w:rsidR="00572DF3" w:rsidRPr="0081082A">
              <w:rPr>
                <w:rFonts w:eastAsia="Times New Roman"/>
                <w:sz w:val="16"/>
                <w:szCs w:val="16"/>
                <w:lang w:val="sr-Cyrl-RS" w:eastAsia="en-GB"/>
              </w:rPr>
              <w:t xml:space="preserve"> </w:t>
            </w:r>
            <w:r w:rsidRPr="0081082A">
              <w:rPr>
                <w:rFonts w:eastAsia="Times New Roman"/>
                <w:sz w:val="16"/>
                <w:szCs w:val="16"/>
                <w:lang w:val="sr-Cyrl-RS" w:eastAsia="en-GB"/>
              </w:rPr>
              <w:t>Измене и допуне правног оквира у складу са идентификованим слабостима примене у пракси</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2022</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8743A9"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 РС</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2301-004 (Редовна издвајања)</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688"/>
          <w:jc w:val="center"/>
        </w:trPr>
        <w:tc>
          <w:tcPr>
            <w:tcW w:w="3134" w:type="dxa"/>
            <w:gridSpan w:val="4"/>
            <w:shd w:val="clear" w:color="auto" w:fill="auto"/>
            <w:vAlign w:val="center"/>
            <w:hideMark/>
          </w:tcPr>
          <w:p w:rsidR="00AE3C4E" w:rsidRPr="0081082A" w:rsidRDefault="00622E88"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1.4.2 Израда</w:t>
            </w:r>
            <w:r w:rsidR="00AE3C4E" w:rsidRPr="0081082A">
              <w:rPr>
                <w:rFonts w:eastAsia="Times New Roman"/>
                <w:sz w:val="16"/>
                <w:szCs w:val="16"/>
                <w:lang w:val="sr-Cyrl-RS" w:eastAsia="en-GB"/>
              </w:rPr>
              <w:t xml:space="preserve"> програма обуке за релевантне учеснике у процесу управљања капиталним пројектима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2023</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НАЈУ</w:t>
            </w:r>
          </w:p>
        </w:tc>
        <w:tc>
          <w:tcPr>
            <w:tcW w:w="1784" w:type="dxa"/>
            <w:gridSpan w:val="11"/>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 РС</w:t>
            </w:r>
          </w:p>
        </w:tc>
        <w:tc>
          <w:tcPr>
            <w:tcW w:w="1124"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2301-004</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1265"/>
          <w:jc w:val="center"/>
        </w:trPr>
        <w:tc>
          <w:tcPr>
            <w:tcW w:w="3134" w:type="dxa"/>
            <w:gridSpan w:val="4"/>
            <w:shd w:val="clear" w:color="auto" w:fill="auto"/>
            <w:vAlign w:val="center"/>
          </w:tcPr>
          <w:p w:rsidR="00AE3C4E" w:rsidRPr="0081082A" w:rsidRDefault="00622E88" w:rsidP="00310BEC">
            <w:pPr>
              <w:rPr>
                <w:rFonts w:eastAsia="Times New Roman"/>
                <w:sz w:val="16"/>
                <w:szCs w:val="16"/>
                <w:lang w:val="sr-Cyrl-RS" w:eastAsia="en-GB"/>
              </w:rPr>
            </w:pPr>
            <w:r w:rsidRPr="0081082A">
              <w:rPr>
                <w:rFonts w:eastAsia="Times New Roman"/>
                <w:sz w:val="16"/>
                <w:szCs w:val="16"/>
                <w:lang w:val="sr-Cyrl-RS" w:eastAsia="en-GB"/>
              </w:rPr>
              <w:t>1.4.3 Израда</w:t>
            </w:r>
            <w:r w:rsidR="00AE3C4E" w:rsidRPr="0081082A">
              <w:rPr>
                <w:rFonts w:eastAsia="Times New Roman"/>
                <w:sz w:val="16"/>
                <w:szCs w:val="16"/>
                <w:lang w:val="sr-Cyrl-RS" w:eastAsia="en-GB"/>
              </w:rPr>
              <w:t xml:space="preserve"> извештаја за јавност о статусу капиталних пројеката који се прате у складу са методологијом</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2025</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719" w:type="dxa"/>
            <w:gridSpan w:val="6"/>
            <w:shd w:val="clear" w:color="auto" w:fill="auto"/>
            <w:vAlign w:val="center"/>
          </w:tcPr>
          <w:p w:rsidR="00AE3C4E" w:rsidRPr="0081082A" w:rsidRDefault="005F4DDC"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784" w:type="dxa"/>
            <w:gridSpan w:val="11"/>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tc>
        <w:tc>
          <w:tcPr>
            <w:tcW w:w="1124" w:type="dxa"/>
            <w:gridSpan w:val="3"/>
            <w:shd w:val="clear" w:color="auto" w:fill="auto"/>
            <w:noWrap/>
          </w:tcPr>
          <w:p w:rsidR="00AE3C4E" w:rsidRPr="0081082A" w:rsidRDefault="00AE3C4E" w:rsidP="00310BEC">
            <w:pPr>
              <w:jc w:val="center"/>
              <w:rPr>
                <w:rFonts w:eastAsia="Times New Roman"/>
                <w:sz w:val="16"/>
                <w:szCs w:val="16"/>
                <w:lang w:val="sr-Cyrl-RS" w:eastAsia="en-GB"/>
              </w:rPr>
            </w:pPr>
          </w:p>
          <w:p w:rsidR="00AE3C4E" w:rsidRPr="0081082A" w:rsidRDefault="00AE3C4E" w:rsidP="00310BEC">
            <w:pPr>
              <w:jc w:val="center"/>
              <w:rPr>
                <w:rFonts w:eastAsia="Times New Roman"/>
                <w:sz w:val="16"/>
                <w:szCs w:val="16"/>
                <w:lang w:val="sr-Cyrl-RS" w:eastAsia="en-GB"/>
              </w:rPr>
            </w:pPr>
            <w:r w:rsidRPr="0081082A">
              <w:rPr>
                <w:rFonts w:eastAsia="Times New Roman"/>
                <w:sz w:val="16"/>
                <w:szCs w:val="16"/>
                <w:lang w:val="sr-Cyrl-RS" w:eastAsia="en-GB"/>
              </w:rPr>
              <w:t>2301-004</w:t>
            </w:r>
          </w:p>
          <w:p w:rsidR="00AE3C4E" w:rsidRPr="0081082A" w:rsidRDefault="00AE3C4E" w:rsidP="00310BEC">
            <w:pPr>
              <w:jc w:val="center"/>
              <w:rPr>
                <w:rFonts w:eastAsia="Times New Roman"/>
                <w:sz w:val="16"/>
                <w:szCs w:val="16"/>
                <w:lang w:val="sr-Cyrl-RS" w:eastAsia="en-GB"/>
              </w:rPr>
            </w:pPr>
            <w:r w:rsidRPr="0081082A">
              <w:rPr>
                <w:rFonts w:eastAsia="Times New Roman"/>
                <w:sz w:val="16"/>
                <w:szCs w:val="16"/>
                <w:lang w:val="sr-Cyrl-RS" w:eastAsia="en-GB"/>
              </w:rPr>
              <w:t>Редовна издвајања</w:t>
            </w:r>
          </w:p>
        </w:tc>
        <w:tc>
          <w:tcPr>
            <w:tcW w:w="1060" w:type="dxa"/>
            <w:gridSpan w:val="6"/>
            <w:shd w:val="clear" w:color="auto" w:fill="auto"/>
            <w:noWrap/>
            <w:vAlign w:val="center"/>
          </w:tcPr>
          <w:p w:rsidR="00AE3C4E" w:rsidRPr="0081082A" w:rsidDel="002758DB"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885"/>
          <w:jc w:val="center"/>
        </w:trPr>
        <w:tc>
          <w:tcPr>
            <w:tcW w:w="3134" w:type="dxa"/>
            <w:gridSpan w:val="4"/>
            <w:shd w:val="clear" w:color="auto" w:fill="auto"/>
            <w:vAlign w:val="center"/>
          </w:tcPr>
          <w:p w:rsidR="00AE3C4E" w:rsidRPr="00183763" w:rsidRDefault="00622E88" w:rsidP="00310BEC">
            <w:pPr>
              <w:rPr>
                <w:rFonts w:eastAsia="Times New Roman"/>
                <w:sz w:val="15"/>
                <w:szCs w:val="15"/>
                <w:lang w:val="sr-Cyrl-RS" w:eastAsia="en-GB"/>
              </w:rPr>
            </w:pPr>
            <w:r w:rsidRPr="00183763">
              <w:rPr>
                <w:rFonts w:eastAsia="Times New Roman"/>
                <w:sz w:val="15"/>
                <w:szCs w:val="15"/>
                <w:lang w:val="sr-Cyrl-RS" w:eastAsia="en-GB"/>
              </w:rPr>
              <w:t>1.4.4 Израда</w:t>
            </w:r>
            <w:r w:rsidR="00AE3C4E" w:rsidRPr="00183763">
              <w:rPr>
                <w:rFonts w:eastAsia="Times New Roman"/>
                <w:sz w:val="15"/>
                <w:szCs w:val="15"/>
                <w:lang w:val="sr-Cyrl-RS" w:eastAsia="en-GB"/>
              </w:rPr>
              <w:t xml:space="preserve"> приручника о методологији УКП (дизајн, припрема за штампу, лектура, консултантска подршка за садржај)</w:t>
            </w:r>
          </w:p>
        </w:tc>
        <w:tc>
          <w:tcPr>
            <w:tcW w:w="1639" w:type="dxa"/>
            <w:gridSpan w:val="4"/>
            <w:shd w:val="clear" w:color="auto" w:fill="auto"/>
            <w:vAlign w:val="center"/>
          </w:tcPr>
          <w:p w:rsidR="00AE3C4E" w:rsidRPr="00183763" w:rsidRDefault="00AE3C4E" w:rsidP="00310BEC">
            <w:pPr>
              <w:tabs>
                <w:tab w:val="left" w:pos="9923"/>
              </w:tabs>
              <w:spacing w:after="0" w:line="240" w:lineRule="auto"/>
              <w:jc w:val="center"/>
              <w:rPr>
                <w:rFonts w:eastAsia="Times New Roman"/>
                <w:color w:val="000000"/>
                <w:sz w:val="15"/>
                <w:szCs w:val="15"/>
                <w:lang w:val="sr-Cyrl-RS" w:eastAsia="en-GB"/>
              </w:rPr>
            </w:pPr>
            <w:r w:rsidRPr="00183763">
              <w:rPr>
                <w:rFonts w:eastAsia="Times New Roman"/>
                <w:color w:val="000000"/>
                <w:sz w:val="15"/>
                <w:szCs w:val="15"/>
                <w:lang w:val="sr-Cyrl-RS" w:eastAsia="en-GB"/>
              </w:rPr>
              <w:t>Q2 2023</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719" w:type="dxa"/>
            <w:gridSpan w:val="6"/>
            <w:shd w:val="clear" w:color="auto" w:fill="auto"/>
            <w:vAlign w:val="center"/>
          </w:tcPr>
          <w:p w:rsidR="00AE3C4E" w:rsidRPr="0081082A" w:rsidRDefault="005F4DDC"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 РС</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Донаторска средства</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Светска банка</w:t>
            </w:r>
          </w:p>
        </w:tc>
        <w:tc>
          <w:tcPr>
            <w:tcW w:w="1124" w:type="dxa"/>
            <w:gridSpan w:val="3"/>
            <w:shd w:val="clear" w:color="auto" w:fill="auto"/>
            <w:noWrap/>
            <w:vAlign w:val="center"/>
          </w:tcPr>
          <w:p w:rsidR="00AE3C4E" w:rsidRPr="0081082A" w:rsidRDefault="00AE3C4E" w:rsidP="00310BEC">
            <w:pPr>
              <w:jc w:val="center"/>
              <w:rPr>
                <w:rFonts w:eastAsia="Times New Roman"/>
                <w:sz w:val="16"/>
                <w:szCs w:val="16"/>
                <w:lang w:val="sr-Cyrl-RS" w:eastAsia="en-GB"/>
              </w:rPr>
            </w:pPr>
            <w:r w:rsidRPr="0081082A">
              <w:rPr>
                <w:rFonts w:eastAsia="Times New Roman"/>
                <w:sz w:val="16"/>
                <w:szCs w:val="16"/>
                <w:lang w:val="sr-Cyrl-RS" w:eastAsia="en-GB"/>
              </w:rPr>
              <w:t>2301-004</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sz w:val="16"/>
                <w:szCs w:val="16"/>
                <w:lang w:val="sr-Cyrl-RS" w:eastAsia="en-GB"/>
              </w:rPr>
              <w:t>Редовна издвајања</w:t>
            </w:r>
          </w:p>
        </w:tc>
        <w:tc>
          <w:tcPr>
            <w:tcW w:w="1060" w:type="dxa"/>
            <w:gridSpan w:val="6"/>
            <w:shd w:val="clear" w:color="auto" w:fill="auto"/>
            <w:noWrap/>
            <w:vAlign w:val="center"/>
          </w:tcPr>
          <w:p w:rsidR="00AE3C4E" w:rsidRPr="0081082A" w:rsidDel="002758DB"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167.7*</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885"/>
          <w:jc w:val="center"/>
        </w:trPr>
        <w:tc>
          <w:tcPr>
            <w:tcW w:w="3134" w:type="dxa"/>
            <w:gridSpan w:val="4"/>
            <w:shd w:val="clear" w:color="auto" w:fill="auto"/>
            <w:vAlign w:val="center"/>
          </w:tcPr>
          <w:p w:rsidR="00AE3C4E" w:rsidRPr="0081082A" w:rsidRDefault="00AE3C4E" w:rsidP="00310BEC">
            <w:pPr>
              <w:rPr>
                <w:rFonts w:eastAsia="Times New Roman"/>
                <w:sz w:val="16"/>
                <w:szCs w:val="16"/>
                <w:lang w:val="sr-Cyrl-RS" w:eastAsia="en-GB"/>
              </w:rPr>
            </w:pPr>
            <w:r w:rsidRPr="0081082A">
              <w:rPr>
                <w:rFonts w:eastAsia="Times New Roman"/>
                <w:sz w:val="16"/>
                <w:szCs w:val="16"/>
                <w:lang w:val="sr-Cyrl-RS" w:eastAsia="en-GB"/>
              </w:rPr>
              <w:lastRenderedPageBreak/>
              <w:t>1.4.5 Израда информационог система за управљање капиталним пројектима</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2021</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719"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sz w:val="16"/>
                <w:szCs w:val="16"/>
                <w:lang w:val="sr-Cyrl-RS" w:eastAsia="en-GB"/>
              </w:rPr>
              <w:t>Буџетски корисници</w:t>
            </w:r>
          </w:p>
        </w:tc>
        <w:tc>
          <w:tcPr>
            <w:tcW w:w="1784" w:type="dxa"/>
            <w:gridSpan w:val="11"/>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 РС</w:t>
            </w:r>
          </w:p>
        </w:tc>
        <w:tc>
          <w:tcPr>
            <w:tcW w:w="1124"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2301-</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5016</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0" w:type="dxa"/>
            <w:gridSpan w:val="6"/>
            <w:shd w:val="clear" w:color="auto" w:fill="auto"/>
            <w:noWrap/>
            <w:vAlign w:val="center"/>
          </w:tcPr>
          <w:p w:rsidR="00AE3C4E" w:rsidRPr="0081082A" w:rsidDel="002758DB"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211.200</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808080"/>
                <w:sz w:val="18"/>
                <w:szCs w:val="18"/>
                <w:lang w:val="sr-Cyrl-RS" w:eastAsia="en-GB"/>
              </w:rPr>
            </w:pPr>
            <w:bookmarkStart w:id="74" w:name="_Toc73613649"/>
            <w:r w:rsidRPr="0081082A">
              <w:rPr>
                <w:rFonts w:eastAsia="Times New Roman"/>
                <w:b/>
                <w:i/>
                <w:color w:val="1F4E79" w:themeColor="accent1" w:themeShade="80"/>
                <w:sz w:val="18"/>
                <w:szCs w:val="18"/>
                <w:lang w:val="sr-Cyrl-RS" w:eastAsia="en-GB"/>
              </w:rPr>
              <w:t>Мера 1.5: Јачање капацитета Сектора за праћење фискалних ризика</w:t>
            </w:r>
            <w:bookmarkEnd w:id="74"/>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75" w:name="_Toc73613650"/>
            <w:r w:rsidRPr="0081082A">
              <w:rPr>
                <w:rFonts w:eastAsia="Times New Roman"/>
                <w:b/>
                <w:i/>
                <w:color w:val="365F91"/>
                <w:sz w:val="18"/>
                <w:lang w:val="sr-Cyrl-RS" w:eastAsia="en-GB"/>
              </w:rPr>
              <w:t xml:space="preserve">Институција одговорна за спровођење (координацију спровођења) </w:t>
            </w:r>
            <w:r w:rsidR="00622E88" w:rsidRPr="0081082A">
              <w:rPr>
                <w:rFonts w:eastAsia="Times New Roman"/>
                <w:b/>
                <w:i/>
                <w:color w:val="365F91"/>
                <w:sz w:val="18"/>
                <w:lang w:val="sr-Cyrl-RS" w:eastAsia="en-GB"/>
              </w:rPr>
              <w:t>мере: Министарство</w:t>
            </w:r>
            <w:r w:rsidRPr="0081082A">
              <w:rPr>
                <w:rFonts w:eastAsia="Times New Roman"/>
                <w:b/>
                <w:i/>
                <w:color w:val="365F91"/>
                <w:sz w:val="18"/>
                <w:lang w:val="sr-Cyrl-RS" w:eastAsia="en-GB"/>
              </w:rPr>
              <w:t xml:space="preserve"> финансија-Сектор за праћење фискалних ризика</w:t>
            </w:r>
            <w:bookmarkEnd w:id="75"/>
          </w:p>
        </w:tc>
      </w:tr>
      <w:tr w:rsidR="00AE3C4E" w:rsidRPr="0081082A" w:rsidTr="00310BEC">
        <w:trPr>
          <w:trHeight w:val="289"/>
          <w:jc w:val="center"/>
        </w:trPr>
        <w:tc>
          <w:tcPr>
            <w:tcW w:w="8190" w:type="dxa"/>
            <w:gridSpan w:val="22"/>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1F4E79" w:themeColor="accent1" w:themeShade="80"/>
                <w:sz w:val="18"/>
                <w:szCs w:val="18"/>
                <w:lang w:val="sr-Cyrl-RS" w:eastAsia="en-GB"/>
              </w:rPr>
            </w:pPr>
            <w:bookmarkStart w:id="76" w:name="_Toc73613651"/>
            <w:r w:rsidRPr="0081082A">
              <w:rPr>
                <w:rFonts w:eastAsia="Times New Roman"/>
                <w:b/>
                <w:i/>
                <w:color w:val="1F4E79" w:themeColor="accent1" w:themeShade="80"/>
                <w:sz w:val="18"/>
                <w:szCs w:val="18"/>
                <w:lang w:val="sr-Cyrl-RS" w:eastAsia="en-GB"/>
              </w:rPr>
              <w:t>Период спровођења: 2021-2025</w:t>
            </w:r>
            <w:bookmarkEnd w:id="76"/>
          </w:p>
        </w:tc>
        <w:tc>
          <w:tcPr>
            <w:tcW w:w="7825" w:type="dxa"/>
            <w:gridSpan w:val="46"/>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1F4E79" w:themeColor="accent1" w:themeShade="80"/>
                <w:sz w:val="18"/>
                <w:szCs w:val="18"/>
                <w:lang w:val="sr-Cyrl-RS" w:eastAsia="en-GB"/>
              </w:rPr>
            </w:pPr>
            <w:bookmarkStart w:id="77" w:name="_Toc73613652"/>
            <w:r w:rsidRPr="0081082A">
              <w:rPr>
                <w:rFonts w:eastAsia="Times New Roman"/>
                <w:b/>
                <w:i/>
                <w:color w:val="1F4E79" w:themeColor="accent1" w:themeShade="80"/>
                <w:sz w:val="18"/>
                <w:szCs w:val="18"/>
                <w:lang w:val="sr-Cyrl-RS" w:eastAsia="en-GB"/>
              </w:rPr>
              <w:t>Тип мере: Институционално управљачко организациона</w:t>
            </w:r>
            <w:bookmarkEnd w:id="77"/>
          </w:p>
        </w:tc>
      </w:tr>
      <w:tr w:rsidR="00AE3C4E" w:rsidRPr="0081082A" w:rsidTr="00310BEC">
        <w:trPr>
          <w:gridAfter w:val="1"/>
          <w:wAfter w:w="6" w:type="dxa"/>
          <w:trHeight w:val="48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622E88"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060"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9"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60"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2023</w:t>
            </w:r>
          </w:p>
        </w:tc>
        <w:tc>
          <w:tcPr>
            <w:tcW w:w="1062" w:type="dxa"/>
            <w:gridSpan w:val="10"/>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2024</w:t>
            </w:r>
          </w:p>
        </w:tc>
        <w:tc>
          <w:tcPr>
            <w:tcW w:w="1102"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2025</w:t>
            </w:r>
          </w:p>
        </w:tc>
      </w:tr>
      <w:tr w:rsidR="00AE3C4E" w:rsidRPr="0081082A" w:rsidTr="00310BEC">
        <w:trPr>
          <w:gridAfter w:val="1"/>
          <w:wAfter w:w="6" w:type="dxa"/>
          <w:trHeight w:val="1140"/>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Попуњена </w:t>
            </w:r>
            <w:r w:rsidR="00622E88" w:rsidRPr="0081082A">
              <w:rPr>
                <w:rFonts w:eastAsia="Times New Roman"/>
                <w:color w:val="000000"/>
                <w:sz w:val="16"/>
                <w:szCs w:val="16"/>
                <w:lang w:val="sr-Cyrl-RS" w:eastAsia="en-GB"/>
              </w:rPr>
              <w:t>систематизована радна</w:t>
            </w:r>
            <w:r w:rsidRPr="0081082A">
              <w:rPr>
                <w:rFonts w:eastAsia="Times New Roman"/>
                <w:color w:val="000000"/>
                <w:sz w:val="16"/>
                <w:szCs w:val="16"/>
                <w:lang w:val="sr-Cyrl-RS" w:eastAsia="en-GB"/>
              </w:rPr>
              <w:t xml:space="preserve"> места у Сектору за праћење фискалних ризика</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Информатор о раду Министарства финансија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33%</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60%</w:t>
            </w:r>
          </w:p>
        </w:tc>
        <w:tc>
          <w:tcPr>
            <w:tcW w:w="1069"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80%</w:t>
            </w:r>
          </w:p>
        </w:tc>
        <w:tc>
          <w:tcPr>
            <w:tcW w:w="1060"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90%</w:t>
            </w:r>
          </w:p>
        </w:tc>
        <w:tc>
          <w:tcPr>
            <w:tcW w:w="1062" w:type="dxa"/>
            <w:gridSpan w:val="10"/>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90%</w:t>
            </w:r>
          </w:p>
        </w:tc>
        <w:tc>
          <w:tcPr>
            <w:tcW w:w="1102" w:type="dxa"/>
            <w:gridSpan w:val="3"/>
            <w:shd w:val="clear" w:color="auto" w:fill="auto"/>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90%</w:t>
            </w:r>
          </w:p>
        </w:tc>
      </w:tr>
      <w:tr w:rsidR="00AE3C4E" w:rsidRPr="0081082A" w:rsidTr="00310BEC">
        <w:trPr>
          <w:gridAfter w:val="1"/>
          <w:wAfter w:w="6" w:type="dxa"/>
          <w:trHeight w:val="1140"/>
          <w:jc w:val="center"/>
        </w:trPr>
        <w:tc>
          <w:tcPr>
            <w:tcW w:w="3134" w:type="dxa"/>
            <w:gridSpan w:val="4"/>
            <w:shd w:val="clear" w:color="auto" w:fill="auto"/>
            <w:vAlign w:val="center"/>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p>
          <w:p w:rsidR="00AE3C4E" w:rsidRPr="0081082A" w:rsidRDefault="00AE3C4E" w:rsidP="00310BEC">
            <w:pPr>
              <w:rPr>
                <w:rFonts w:eastAsia="Times New Roman"/>
                <w:sz w:val="16"/>
                <w:szCs w:val="16"/>
                <w:lang w:val="sr-Cyrl-RS" w:eastAsia="en-GB"/>
              </w:rPr>
            </w:pPr>
            <w:r w:rsidRPr="0081082A">
              <w:rPr>
                <w:rFonts w:eastAsia="Times New Roman"/>
                <w:color w:val="000000"/>
                <w:sz w:val="16"/>
                <w:szCs w:val="16"/>
                <w:lang w:val="sr-Cyrl-RS" w:eastAsia="en-GB"/>
              </w:rPr>
              <w:t>Обучени запослени у Сектору за праћење фискалних ризика</w:t>
            </w:r>
          </w:p>
        </w:tc>
        <w:tc>
          <w:tcPr>
            <w:tcW w:w="2895"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719"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Извештај о спроведеним обукама</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060"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069"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80%</w:t>
            </w:r>
          </w:p>
        </w:tc>
        <w:tc>
          <w:tcPr>
            <w:tcW w:w="1060"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90%</w:t>
            </w:r>
          </w:p>
        </w:tc>
        <w:tc>
          <w:tcPr>
            <w:tcW w:w="1062" w:type="dxa"/>
            <w:gridSpan w:val="10"/>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02"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r>
      <w:tr w:rsidR="00AE3C4E" w:rsidRPr="0081082A" w:rsidTr="00310BEC">
        <w:trPr>
          <w:gridAfter w:val="2"/>
          <w:wAfter w:w="27" w:type="dxa"/>
          <w:trHeight w:val="300"/>
          <w:jc w:val="center"/>
        </w:trPr>
        <w:tc>
          <w:tcPr>
            <w:tcW w:w="3134"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639"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Институција одговорна за спровођење</w:t>
            </w:r>
          </w:p>
        </w:tc>
        <w:tc>
          <w:tcPr>
            <w:tcW w:w="1719" w:type="dxa"/>
            <w:gridSpan w:val="6"/>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240" w:type="dxa"/>
            <w:gridSpan w:val="4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у 000 дин.</w:t>
            </w:r>
          </w:p>
        </w:tc>
      </w:tr>
      <w:tr w:rsidR="00AE3C4E" w:rsidRPr="0081082A" w:rsidTr="00310BEC">
        <w:trPr>
          <w:gridAfter w:val="2"/>
          <w:wAfter w:w="27" w:type="dxa"/>
          <w:trHeight w:val="465"/>
          <w:jc w:val="center"/>
        </w:trPr>
        <w:tc>
          <w:tcPr>
            <w:tcW w:w="3134"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19" w:type="dxa"/>
            <w:gridSpan w:val="6"/>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84" w:type="dxa"/>
            <w:gridSpan w:val="11"/>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24"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060" w:type="dxa"/>
            <w:gridSpan w:val="6"/>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56"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54"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4"/>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1185"/>
          <w:jc w:val="center"/>
        </w:trPr>
        <w:tc>
          <w:tcPr>
            <w:tcW w:w="3134" w:type="dxa"/>
            <w:gridSpan w:val="4"/>
            <w:shd w:val="clear" w:color="auto" w:fill="auto"/>
            <w:vAlign w:val="center"/>
            <w:hideMark/>
          </w:tcPr>
          <w:p w:rsidR="00AE3C4E" w:rsidRPr="0081082A" w:rsidRDefault="00622E88"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1.5.1 </w:t>
            </w:r>
            <w:r w:rsidRPr="0081082A">
              <w:rPr>
                <w:rFonts w:eastAsia="Times New Roman"/>
                <w:color w:val="000000"/>
                <w:sz w:val="16"/>
                <w:szCs w:val="16"/>
                <w:lang w:val="sr-Cyrl-RS" w:eastAsia="en-GB"/>
              </w:rPr>
              <w:t>Обука</w:t>
            </w:r>
            <w:r w:rsidR="00AE3C4E" w:rsidRPr="0081082A">
              <w:rPr>
                <w:rFonts w:eastAsia="Times New Roman"/>
                <w:color w:val="000000"/>
                <w:sz w:val="16"/>
                <w:szCs w:val="16"/>
                <w:lang w:val="sr-Cyrl-RS" w:eastAsia="en-GB"/>
              </w:rPr>
              <w:t xml:space="preserve"> за запослене Министарства финансија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2023</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473B02"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sz w:val="16"/>
                <w:szCs w:val="16"/>
                <w:lang w:val="sr-Cyrl-RS" w:eastAsia="en-GB"/>
              </w:rPr>
              <w:t>(SECO)</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19.300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19.300</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885"/>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1.5.2 </w:t>
            </w:r>
            <w:r w:rsidRPr="0081082A">
              <w:rPr>
                <w:rFonts w:eastAsia="Times New Roman"/>
                <w:color w:val="000000"/>
                <w:sz w:val="16"/>
                <w:szCs w:val="16"/>
                <w:lang w:val="sr-Cyrl-RS" w:eastAsia="en-GB"/>
              </w:rPr>
              <w:t>Успостављање методологија за Групу за праћење фискалних ризика везаних за пословање јавног сектора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2021</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473B02"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 РС</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Донорска средства</w:t>
            </w:r>
            <w:r w:rsidRPr="0081082A">
              <w:rPr>
                <w:rFonts w:eastAsia="Times New Roman"/>
                <w:i/>
                <w:color w:val="000000"/>
                <w:sz w:val="16"/>
                <w:szCs w:val="16"/>
                <w:lang w:val="sr-Cyrl-RS" w:eastAsia="en-GB"/>
              </w:rPr>
              <w:t xml:space="preserve"> (SECO)</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 (Редовна издвајања)</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705"/>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 xml:space="preserve">1.5.3 </w:t>
            </w:r>
            <w:r w:rsidRPr="0081082A">
              <w:rPr>
                <w:rFonts w:eastAsia="Times New Roman"/>
                <w:color w:val="000000"/>
                <w:sz w:val="16"/>
                <w:szCs w:val="16"/>
                <w:lang w:val="sr-Cyrl-RS" w:eastAsia="en-GB"/>
              </w:rPr>
              <w:t>Успостављање методологија за Групу за праћење осталих фискалних ризика – ризици од елементарних непогода и судски спорови</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2021</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719" w:type="dxa"/>
            <w:gridSpan w:val="6"/>
            <w:shd w:val="clear" w:color="auto" w:fill="auto"/>
            <w:vAlign w:val="center"/>
            <w:hideMark/>
          </w:tcPr>
          <w:p w:rsidR="00AE3C4E" w:rsidRPr="0081082A" w:rsidRDefault="00473B02"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 РС</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Донорска средства</w:t>
            </w:r>
            <w:r w:rsidRPr="0081082A">
              <w:rPr>
                <w:rFonts w:eastAsia="Times New Roman"/>
                <w:i/>
                <w:color w:val="000000"/>
                <w:sz w:val="16"/>
                <w:szCs w:val="16"/>
                <w:lang w:val="sr-Cyrl-RS" w:eastAsia="en-GB"/>
              </w:rPr>
              <w:t xml:space="preserve"> (SECO)</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2031 (Редовна издвајања)</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trHeight w:val="210"/>
          <w:jc w:val="center"/>
        </w:trPr>
        <w:tc>
          <w:tcPr>
            <w:tcW w:w="16015" w:type="dxa"/>
            <w:gridSpan w:val="68"/>
            <w:shd w:val="clear" w:color="auto" w:fill="DEEAF6" w:themeFill="accent1" w:themeFillTint="33"/>
            <w:hideMark/>
          </w:tcPr>
          <w:p w:rsidR="00AE3C4E" w:rsidRPr="0081082A" w:rsidRDefault="00AE3C4E" w:rsidP="00310BEC">
            <w:pPr>
              <w:keepNext/>
              <w:keepLines/>
              <w:spacing w:after="0" w:line="240" w:lineRule="auto"/>
              <w:outlineLvl w:val="0"/>
              <w:rPr>
                <w:rFonts w:eastAsia="Times New Roman" w:cstheme="minorHAnsi"/>
                <w:color w:val="365F91"/>
                <w:lang w:val="sr-Cyrl-RS" w:eastAsia="en-GB"/>
              </w:rPr>
            </w:pPr>
            <w:bookmarkStart w:id="78" w:name="_Toc73613653"/>
            <w:r w:rsidRPr="0081082A">
              <w:rPr>
                <w:rFonts w:eastAsia="Times New Roman"/>
                <w:b/>
                <w:color w:val="365F91"/>
                <w:lang w:val="sr-Cyrl-RS" w:eastAsia="en-GB"/>
              </w:rPr>
              <w:t>ПОСЕБНИ ЦИЉ II: ЕФИКАСНО ПРИКУПЉАЊЕ И УПРАВЉАЊЕ БУЏЕТСКИМ СРЕДСТВИМА</w:t>
            </w:r>
            <w:bookmarkEnd w:id="78"/>
          </w:p>
        </w:tc>
      </w:tr>
      <w:tr w:rsidR="00AE3C4E" w:rsidRPr="0081082A" w:rsidTr="00310BEC">
        <w:trPr>
          <w:gridAfter w:val="1"/>
          <w:wAfter w:w="6" w:type="dxa"/>
          <w:trHeight w:val="45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посебног циља (показатељ исхода)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060"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9"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60"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9"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1080"/>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Стварни приходи и расходи буџета опште државе на годишњем нивоу су у опсегу 5% од пројектованих у фискалној стратегији.</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Фискална стратегија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 опсегу од 5%</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2019</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 опсегу од 5%</w:t>
            </w:r>
          </w:p>
        </w:tc>
        <w:tc>
          <w:tcPr>
            <w:tcW w:w="1069"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 опсегу од 5%</w:t>
            </w:r>
          </w:p>
        </w:tc>
        <w:tc>
          <w:tcPr>
            <w:tcW w:w="1060"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 опсегу од 5%</w:t>
            </w:r>
          </w:p>
        </w:tc>
        <w:tc>
          <w:tcPr>
            <w:tcW w:w="1055"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 опсегу од 5%</w:t>
            </w:r>
          </w:p>
        </w:tc>
        <w:tc>
          <w:tcPr>
            <w:tcW w:w="110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 опсегу од 5%</w:t>
            </w:r>
          </w:p>
        </w:tc>
      </w:tr>
      <w:tr w:rsidR="00AE3C4E" w:rsidRPr="0081082A" w:rsidTr="00310BEC">
        <w:trPr>
          <w:gridAfter w:val="1"/>
          <w:wAfter w:w="6" w:type="dxa"/>
          <w:trHeight w:val="600"/>
          <w:jc w:val="center"/>
        </w:trPr>
        <w:tc>
          <w:tcPr>
            <w:tcW w:w="3134" w:type="dxa"/>
            <w:gridSpan w:val="4"/>
            <w:shd w:val="clear" w:color="auto" w:fill="auto"/>
            <w:vAlign w:val="center"/>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Годишњи трошкови сервисирања јавног дуга (плаћања камата – нето износ ) као % БДП</w:t>
            </w:r>
          </w:p>
        </w:tc>
        <w:tc>
          <w:tcPr>
            <w:tcW w:w="2895"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719"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Годишњи извештај о раду Управе за јавни дуг</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1.9%</w:t>
            </w: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2020</w:t>
            </w:r>
          </w:p>
        </w:tc>
        <w:tc>
          <w:tcPr>
            <w:tcW w:w="1060"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1.9%</w:t>
            </w:r>
          </w:p>
        </w:tc>
        <w:tc>
          <w:tcPr>
            <w:tcW w:w="1069"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1.9%</w:t>
            </w:r>
          </w:p>
        </w:tc>
        <w:tc>
          <w:tcPr>
            <w:tcW w:w="1060"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1.7%</w:t>
            </w:r>
          </w:p>
        </w:tc>
      </w:tr>
      <w:tr w:rsidR="00AE3C4E" w:rsidRPr="0081082A" w:rsidTr="00310BEC">
        <w:trPr>
          <w:gridAfter w:val="1"/>
          <w:wAfter w:w="6" w:type="dxa"/>
          <w:trHeight w:val="553"/>
          <w:jc w:val="center"/>
        </w:trPr>
        <w:tc>
          <w:tcPr>
            <w:tcW w:w="3134" w:type="dxa"/>
            <w:gridSpan w:val="4"/>
            <w:shd w:val="clear" w:color="auto" w:fill="auto"/>
            <w:vAlign w:val="center"/>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Просечно трајање отвореног поступка</w:t>
            </w:r>
          </w:p>
        </w:tc>
        <w:tc>
          <w:tcPr>
            <w:tcW w:w="2895"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Дан</w:t>
            </w:r>
          </w:p>
        </w:tc>
        <w:tc>
          <w:tcPr>
            <w:tcW w:w="1719"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Годишњи извештај о јавним набавкама</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52</w:t>
            </w: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2020</w:t>
            </w:r>
          </w:p>
        </w:tc>
        <w:tc>
          <w:tcPr>
            <w:tcW w:w="1060"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50</w:t>
            </w:r>
          </w:p>
        </w:tc>
        <w:tc>
          <w:tcPr>
            <w:tcW w:w="1069"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48</w:t>
            </w:r>
          </w:p>
        </w:tc>
        <w:tc>
          <w:tcPr>
            <w:tcW w:w="1060"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46</w:t>
            </w:r>
          </w:p>
        </w:tc>
        <w:tc>
          <w:tcPr>
            <w:tcW w:w="1055"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45</w:t>
            </w:r>
          </w:p>
        </w:tc>
        <w:tc>
          <w:tcPr>
            <w:tcW w:w="110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44</w:t>
            </w: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79" w:name="_Toc73613654"/>
            <w:r w:rsidRPr="0081082A">
              <w:rPr>
                <w:rFonts w:eastAsia="Times New Roman"/>
                <w:b/>
                <w:i/>
                <w:color w:val="365F91"/>
                <w:sz w:val="18"/>
                <w:szCs w:val="18"/>
                <w:lang w:val="sr-Cyrl-RS" w:eastAsia="en-GB"/>
              </w:rPr>
              <w:t>Мера 2.1: Ефикасно прикупљање буџетских прихода који су у надлежности Пореске управе</w:t>
            </w:r>
            <w:bookmarkEnd w:id="79"/>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80" w:name="_Toc73613655"/>
            <w:r w:rsidRPr="0081082A">
              <w:rPr>
                <w:rFonts w:eastAsia="Times New Roman"/>
                <w:b/>
                <w:i/>
                <w:color w:val="365F91"/>
                <w:sz w:val="18"/>
                <w:lang w:val="sr-Cyrl-RS" w:eastAsia="en-GB"/>
              </w:rPr>
              <w:t xml:space="preserve">Институција одговорна за спровођење (координацију спровођења) </w:t>
            </w:r>
            <w:r w:rsidR="00622E88" w:rsidRPr="0081082A">
              <w:rPr>
                <w:rFonts w:eastAsia="Times New Roman"/>
                <w:b/>
                <w:i/>
                <w:color w:val="365F91"/>
                <w:sz w:val="18"/>
                <w:lang w:val="sr-Cyrl-RS" w:eastAsia="en-GB"/>
              </w:rPr>
              <w:t>мере: Министарство</w:t>
            </w:r>
            <w:r w:rsidRPr="0081082A">
              <w:rPr>
                <w:rFonts w:eastAsia="Times New Roman"/>
                <w:b/>
                <w:i/>
                <w:color w:val="365F91"/>
                <w:sz w:val="18"/>
                <w:lang w:val="sr-Cyrl-RS" w:eastAsia="en-GB"/>
              </w:rPr>
              <w:t xml:space="preserve"> финансија-Пореска управа</w:t>
            </w:r>
            <w:bookmarkEnd w:id="80"/>
          </w:p>
        </w:tc>
      </w:tr>
      <w:tr w:rsidR="00AE3C4E" w:rsidRPr="0081082A" w:rsidTr="00310BEC">
        <w:trPr>
          <w:trHeight w:val="289"/>
          <w:jc w:val="center"/>
        </w:trPr>
        <w:tc>
          <w:tcPr>
            <w:tcW w:w="8190" w:type="dxa"/>
            <w:gridSpan w:val="22"/>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1F4E79" w:themeColor="accent1" w:themeShade="80"/>
                <w:sz w:val="18"/>
                <w:szCs w:val="18"/>
                <w:lang w:val="sr-Cyrl-RS" w:eastAsia="en-GB"/>
              </w:rPr>
            </w:pPr>
            <w:bookmarkStart w:id="81" w:name="_Toc73613656"/>
            <w:r w:rsidRPr="0081082A">
              <w:rPr>
                <w:rFonts w:eastAsia="Times New Roman"/>
                <w:b/>
                <w:i/>
                <w:color w:val="1F4E79" w:themeColor="accent1" w:themeShade="80"/>
                <w:sz w:val="18"/>
                <w:szCs w:val="18"/>
                <w:lang w:val="sr-Cyrl-RS" w:eastAsia="en-GB"/>
              </w:rPr>
              <w:t>Период спровођења: 2021-2025</w:t>
            </w:r>
            <w:bookmarkEnd w:id="81"/>
          </w:p>
        </w:tc>
        <w:tc>
          <w:tcPr>
            <w:tcW w:w="7825" w:type="dxa"/>
            <w:gridSpan w:val="46"/>
            <w:shd w:val="clear" w:color="auto" w:fill="F2F2F2" w:themeFill="background1" w:themeFillShade="F2"/>
          </w:tcPr>
          <w:p w:rsidR="00AE3C4E" w:rsidRPr="0081082A" w:rsidRDefault="00AE3C4E" w:rsidP="00310BEC">
            <w:pPr>
              <w:keepNext/>
              <w:keepLines/>
              <w:spacing w:after="0" w:line="240" w:lineRule="auto"/>
              <w:outlineLvl w:val="1"/>
              <w:rPr>
                <w:lang w:val="sr-Cyrl-RS"/>
              </w:rPr>
            </w:pPr>
            <w:bookmarkStart w:id="82" w:name="_Toc73613657"/>
            <w:r w:rsidRPr="0081082A">
              <w:rPr>
                <w:rFonts w:eastAsia="Times New Roman"/>
                <w:b/>
                <w:i/>
                <w:color w:val="1F4E79" w:themeColor="accent1" w:themeShade="80"/>
                <w:sz w:val="18"/>
                <w:szCs w:val="18"/>
                <w:lang w:val="sr-Cyrl-RS" w:eastAsia="en-GB"/>
              </w:rPr>
              <w:t>Тип мере: Институционално управљачко организациона</w:t>
            </w:r>
            <w:bookmarkEnd w:id="82"/>
          </w:p>
        </w:tc>
      </w:tr>
      <w:tr w:rsidR="00AE3C4E" w:rsidRPr="0081082A" w:rsidTr="00310BEC">
        <w:trPr>
          <w:gridAfter w:val="1"/>
          <w:wAfter w:w="6" w:type="dxa"/>
          <w:trHeight w:val="48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622E88"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060"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9"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60"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9"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766"/>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оствaрене наплате у односу на одобрену буџетску процену (порез на доходак, порез на добит, бруто домаћи ПДВ, бруто акцизе)</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Закон о буџету и Извештај Пореске управе</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110,9</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7030A0"/>
                <w:sz w:val="16"/>
                <w:szCs w:val="16"/>
                <w:lang w:val="sr-Cyrl-RS" w:eastAsia="en-GB"/>
              </w:rPr>
            </w:pP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c>
          <w:tcPr>
            <w:tcW w:w="1069"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c>
          <w:tcPr>
            <w:tcW w:w="1060"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c>
          <w:tcPr>
            <w:tcW w:w="1055"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c>
          <w:tcPr>
            <w:tcW w:w="110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r>
      <w:tr w:rsidR="00AE3C4E" w:rsidRPr="0081082A" w:rsidTr="00310BEC">
        <w:trPr>
          <w:gridAfter w:val="2"/>
          <w:wAfter w:w="27" w:type="dxa"/>
          <w:trHeight w:val="300"/>
          <w:jc w:val="center"/>
        </w:trPr>
        <w:tc>
          <w:tcPr>
            <w:tcW w:w="3134"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639"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Институција одговорна за спровођење</w:t>
            </w:r>
          </w:p>
        </w:tc>
        <w:tc>
          <w:tcPr>
            <w:tcW w:w="1719" w:type="dxa"/>
            <w:gridSpan w:val="6"/>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240" w:type="dxa"/>
            <w:gridSpan w:val="4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у 000 дин.</w:t>
            </w:r>
          </w:p>
        </w:tc>
      </w:tr>
      <w:tr w:rsidR="00AE3C4E" w:rsidRPr="0081082A" w:rsidTr="00310BEC">
        <w:trPr>
          <w:gridAfter w:val="2"/>
          <w:wAfter w:w="27" w:type="dxa"/>
          <w:trHeight w:val="465"/>
          <w:jc w:val="center"/>
        </w:trPr>
        <w:tc>
          <w:tcPr>
            <w:tcW w:w="3134"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19" w:type="dxa"/>
            <w:gridSpan w:val="6"/>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84" w:type="dxa"/>
            <w:gridSpan w:val="11"/>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24"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060" w:type="dxa"/>
            <w:gridSpan w:val="6"/>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56"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54"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4"/>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580"/>
          <w:jc w:val="center"/>
        </w:trPr>
        <w:tc>
          <w:tcPr>
            <w:tcW w:w="3134" w:type="dxa"/>
            <w:gridSpan w:val="4"/>
            <w:shd w:val="clear" w:color="000000" w:fill="FFFFFF"/>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2.1.1 Реинжењеринг пословних процеса основних функција</w:t>
            </w:r>
          </w:p>
        </w:tc>
        <w:tc>
          <w:tcPr>
            <w:tcW w:w="1639" w:type="dxa"/>
            <w:gridSpan w:val="4"/>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Q2 2022</w:t>
            </w:r>
          </w:p>
        </w:tc>
        <w:tc>
          <w:tcPr>
            <w:tcW w:w="1256" w:type="dxa"/>
            <w:gridSpan w:val="3"/>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Пореска управа</w:t>
            </w:r>
          </w:p>
        </w:tc>
        <w:tc>
          <w:tcPr>
            <w:tcW w:w="1719" w:type="dxa"/>
            <w:gridSpan w:val="6"/>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Mинистарство финансија</w:t>
            </w:r>
          </w:p>
        </w:tc>
        <w:tc>
          <w:tcPr>
            <w:tcW w:w="1784" w:type="dxa"/>
            <w:gridSpan w:val="11"/>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Светска банка</w:t>
            </w:r>
          </w:p>
        </w:tc>
        <w:tc>
          <w:tcPr>
            <w:tcW w:w="1124" w:type="dxa"/>
            <w:gridSpan w:val="3"/>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TAMP projekat (zajam 8936-YF)</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66.979</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p>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133.958</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22.326-</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634"/>
          <w:jc w:val="center"/>
        </w:trPr>
        <w:tc>
          <w:tcPr>
            <w:tcW w:w="3134" w:type="dxa"/>
            <w:gridSpan w:val="4"/>
            <w:shd w:val="clear" w:color="000000" w:fill="FFFFFF"/>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2.1.2 Увођење новог система фискализације</w:t>
            </w:r>
          </w:p>
        </w:tc>
        <w:tc>
          <w:tcPr>
            <w:tcW w:w="1639" w:type="dxa"/>
            <w:gridSpan w:val="4"/>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Q3 2022</w:t>
            </w:r>
          </w:p>
        </w:tc>
        <w:tc>
          <w:tcPr>
            <w:tcW w:w="1256" w:type="dxa"/>
            <w:gridSpan w:val="3"/>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Пореска управа</w:t>
            </w:r>
          </w:p>
        </w:tc>
        <w:tc>
          <w:tcPr>
            <w:tcW w:w="1719" w:type="dxa"/>
            <w:gridSpan w:val="6"/>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Mинистарство финансија</w:t>
            </w:r>
          </w:p>
        </w:tc>
        <w:tc>
          <w:tcPr>
            <w:tcW w:w="1784" w:type="dxa"/>
            <w:gridSpan w:val="11"/>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Буџетска средства</w:t>
            </w:r>
          </w:p>
        </w:tc>
        <w:tc>
          <w:tcPr>
            <w:tcW w:w="1124" w:type="dxa"/>
            <w:gridSpan w:val="3"/>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1.153.152</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352"/>
          <w:jc w:val="center"/>
        </w:trPr>
        <w:tc>
          <w:tcPr>
            <w:tcW w:w="3134" w:type="dxa"/>
            <w:gridSpan w:val="4"/>
            <w:shd w:val="clear" w:color="000000" w:fill="FFFFFF"/>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2.1.3 Унапређење ИКТ инфраструктуре - COTS</w:t>
            </w:r>
          </w:p>
        </w:tc>
        <w:tc>
          <w:tcPr>
            <w:tcW w:w="1639" w:type="dxa"/>
            <w:gridSpan w:val="4"/>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2024</w:t>
            </w:r>
          </w:p>
        </w:tc>
        <w:tc>
          <w:tcPr>
            <w:tcW w:w="1256" w:type="dxa"/>
            <w:gridSpan w:val="3"/>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Пореска управа</w:t>
            </w:r>
          </w:p>
        </w:tc>
        <w:tc>
          <w:tcPr>
            <w:tcW w:w="1719" w:type="dxa"/>
            <w:gridSpan w:val="6"/>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Mинистарство финансија</w:t>
            </w:r>
          </w:p>
        </w:tc>
        <w:tc>
          <w:tcPr>
            <w:tcW w:w="1784" w:type="dxa"/>
            <w:gridSpan w:val="11"/>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Светска банка</w:t>
            </w:r>
          </w:p>
        </w:tc>
        <w:tc>
          <w:tcPr>
            <w:tcW w:w="1124" w:type="dxa"/>
            <w:gridSpan w:val="3"/>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TAMP projekat Светске </w:t>
            </w:r>
            <w:r w:rsidR="00622E88" w:rsidRPr="0081082A">
              <w:rPr>
                <w:rFonts w:eastAsia="Times New Roman"/>
                <w:color w:val="000000"/>
                <w:sz w:val="16"/>
                <w:szCs w:val="16"/>
                <w:lang w:val="sr-Cyrl-RS" w:eastAsia="en-GB"/>
              </w:rPr>
              <w:t>банке (</w:t>
            </w:r>
            <w:r w:rsidRPr="0081082A">
              <w:rPr>
                <w:rFonts w:eastAsia="Times New Roman"/>
                <w:color w:val="000000"/>
                <w:sz w:val="16"/>
                <w:szCs w:val="16"/>
                <w:lang w:val="sr-Cyrl-RS" w:eastAsia="en-GB"/>
              </w:rPr>
              <w:t>zajam 8936-YF)</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18.759 </w:t>
            </w:r>
          </w:p>
        </w:tc>
        <w:tc>
          <w:tcPr>
            <w:tcW w:w="1069"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628.272</w:t>
            </w:r>
          </w:p>
        </w:tc>
        <w:tc>
          <w:tcPr>
            <w:tcW w:w="1060"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586.204</w:t>
            </w:r>
          </w:p>
        </w:tc>
        <w:tc>
          <w:tcPr>
            <w:tcW w:w="1062" w:type="dxa"/>
            <w:gridSpan w:val="10"/>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535.499</w:t>
            </w:r>
          </w:p>
        </w:tc>
        <w:tc>
          <w:tcPr>
            <w:tcW w:w="1081"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1485"/>
          <w:jc w:val="center"/>
        </w:trPr>
        <w:tc>
          <w:tcPr>
            <w:tcW w:w="3134" w:type="dxa"/>
            <w:gridSpan w:val="4"/>
            <w:shd w:val="clear" w:color="000000" w:fill="FFFFFF"/>
            <w:hideMark/>
          </w:tcPr>
          <w:p w:rsidR="00AE3C4E" w:rsidRPr="0081082A" w:rsidRDefault="00622E88"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2.1.4 Усклађивање</w:t>
            </w:r>
            <w:r w:rsidR="00AE3C4E" w:rsidRPr="0081082A">
              <w:rPr>
                <w:rFonts w:eastAsia="Times New Roman"/>
                <w:color w:val="000000"/>
                <w:sz w:val="16"/>
                <w:szCs w:val="16"/>
                <w:lang w:val="sr-Cyrl-RS" w:eastAsia="en-GB"/>
              </w:rPr>
              <w:t xml:space="preserve"> законодавног оквира и припрема техничких спецификација за имплементацију система за размену информација према ЕУ стандарду (системи за размену у области индиректног опорезивања и системи за размену у области директног опорезвања)</w:t>
            </w:r>
            <w:r w:rsidR="006069E9" w:rsidRPr="0081082A">
              <w:rPr>
                <w:rFonts w:eastAsia="Times New Roman"/>
                <w:color w:val="000000"/>
                <w:sz w:val="16"/>
                <w:szCs w:val="16"/>
                <w:lang w:val="sr-Cyrl-RS" w:eastAsia="en-GB"/>
              </w:rPr>
              <w:t>,</w:t>
            </w:r>
            <w:r w:rsidR="00AE3C4E" w:rsidRPr="0081082A">
              <w:rPr>
                <w:rFonts w:eastAsia="Times New Roman"/>
                <w:color w:val="000000"/>
                <w:sz w:val="16"/>
                <w:szCs w:val="16"/>
                <w:lang w:val="sr-Cyrl-RS" w:eastAsia="en-GB"/>
              </w:rPr>
              <w:t xml:space="preserve"> као и испуњавање препорука Глобалног форума за </w:t>
            </w:r>
            <w:r w:rsidRPr="0081082A">
              <w:rPr>
                <w:rFonts w:eastAsia="Times New Roman"/>
                <w:color w:val="000000"/>
                <w:sz w:val="16"/>
                <w:szCs w:val="16"/>
                <w:lang w:val="sr-Cyrl-RS" w:eastAsia="en-GB"/>
              </w:rPr>
              <w:t>примену међун</w:t>
            </w:r>
            <w:r w:rsidR="00AE3C4E" w:rsidRPr="0081082A">
              <w:rPr>
                <w:rFonts w:eastAsia="Times New Roman"/>
                <w:color w:val="000000"/>
                <w:sz w:val="16"/>
                <w:szCs w:val="16"/>
                <w:lang w:val="sr-Cyrl-RS" w:eastAsia="en-GB"/>
              </w:rPr>
              <w:t>aродног стандарда за размену информација на захтев и аутоматску размену.</w:t>
            </w:r>
          </w:p>
        </w:tc>
        <w:tc>
          <w:tcPr>
            <w:tcW w:w="1639" w:type="dxa"/>
            <w:gridSpan w:val="4"/>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56" w:type="dxa"/>
            <w:gridSpan w:val="3"/>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Пореска управа</w:t>
            </w:r>
          </w:p>
        </w:tc>
        <w:tc>
          <w:tcPr>
            <w:tcW w:w="1719" w:type="dxa"/>
            <w:gridSpan w:val="6"/>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Mинистарство финансија</w:t>
            </w:r>
          </w:p>
        </w:tc>
        <w:tc>
          <w:tcPr>
            <w:tcW w:w="1784" w:type="dxa"/>
            <w:gridSpan w:val="11"/>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(суфинансирање)</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ИПА2021</w:t>
            </w:r>
          </w:p>
        </w:tc>
        <w:tc>
          <w:tcPr>
            <w:tcW w:w="1124"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9"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120.000</w:t>
            </w:r>
          </w:p>
        </w:tc>
        <w:tc>
          <w:tcPr>
            <w:tcW w:w="1060"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120.000</w:t>
            </w:r>
          </w:p>
        </w:tc>
        <w:tc>
          <w:tcPr>
            <w:tcW w:w="1062" w:type="dxa"/>
            <w:gridSpan w:val="10"/>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120.000</w:t>
            </w:r>
          </w:p>
        </w:tc>
        <w:tc>
          <w:tcPr>
            <w:tcW w:w="1081"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180.000</w:t>
            </w:r>
          </w:p>
        </w:tc>
      </w:tr>
      <w:tr w:rsidR="00AE3C4E" w:rsidRPr="0081082A" w:rsidTr="00310BEC">
        <w:trPr>
          <w:gridAfter w:val="2"/>
          <w:wAfter w:w="27" w:type="dxa"/>
          <w:trHeight w:val="1408"/>
          <w:jc w:val="center"/>
        </w:trPr>
        <w:tc>
          <w:tcPr>
            <w:tcW w:w="3134" w:type="dxa"/>
            <w:gridSpan w:val="4"/>
            <w:shd w:val="clear" w:color="000000" w:fill="FFFFFF"/>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2.1.5 Унапређење функције управљања људским </w:t>
            </w:r>
            <w:r w:rsidR="00622E88" w:rsidRPr="0081082A">
              <w:rPr>
                <w:rFonts w:eastAsia="Times New Roman"/>
                <w:color w:val="000000"/>
                <w:sz w:val="16"/>
                <w:szCs w:val="16"/>
                <w:lang w:val="sr-Cyrl-RS" w:eastAsia="en-GB"/>
              </w:rPr>
              <w:t>ресурсима кроз</w:t>
            </w:r>
            <w:r w:rsidRPr="0081082A">
              <w:rPr>
                <w:rFonts w:eastAsia="Times New Roman"/>
                <w:color w:val="000000"/>
                <w:sz w:val="16"/>
                <w:szCs w:val="16"/>
                <w:lang w:val="sr-Cyrl-RS" w:eastAsia="en-GB"/>
              </w:rPr>
              <w:t xml:space="preserve"> развој стратегије људских ресурса и унапређење постојећег   информационог система за управљање људским ресурсима</w:t>
            </w:r>
          </w:p>
        </w:tc>
        <w:tc>
          <w:tcPr>
            <w:tcW w:w="1639" w:type="dxa"/>
            <w:gridSpan w:val="4"/>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2024</w:t>
            </w:r>
          </w:p>
        </w:tc>
        <w:tc>
          <w:tcPr>
            <w:tcW w:w="1256" w:type="dxa"/>
            <w:gridSpan w:val="3"/>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Пореска управа</w:t>
            </w:r>
          </w:p>
        </w:tc>
        <w:tc>
          <w:tcPr>
            <w:tcW w:w="1719" w:type="dxa"/>
            <w:gridSpan w:val="6"/>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Mинистарство државне управе и локалне самоуправе, Служба за управљање кадровима</w:t>
            </w:r>
          </w:p>
        </w:tc>
        <w:tc>
          <w:tcPr>
            <w:tcW w:w="1784" w:type="dxa"/>
            <w:gridSpan w:val="11"/>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Светска банка</w:t>
            </w:r>
          </w:p>
        </w:tc>
        <w:tc>
          <w:tcPr>
            <w:tcW w:w="1124" w:type="dxa"/>
            <w:gridSpan w:val="3"/>
            <w:shd w:val="clear" w:color="000000" w:fill="FFFFFF"/>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TAMP projekat Светске </w:t>
            </w:r>
            <w:r w:rsidR="00D55E20" w:rsidRPr="0081082A">
              <w:rPr>
                <w:rFonts w:eastAsia="Times New Roman"/>
                <w:color w:val="000000"/>
                <w:sz w:val="16"/>
                <w:szCs w:val="16"/>
                <w:lang w:val="sr-Cyrl-RS" w:eastAsia="en-GB"/>
              </w:rPr>
              <w:t>банке (</w:t>
            </w:r>
            <w:r w:rsidRPr="0081082A">
              <w:rPr>
                <w:rFonts w:eastAsia="Times New Roman"/>
                <w:color w:val="000000"/>
                <w:sz w:val="16"/>
                <w:szCs w:val="16"/>
                <w:lang w:val="sr-Cyrl-RS" w:eastAsia="en-GB"/>
              </w:rPr>
              <w:t>zajam 8936-YF)</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17.117</w:t>
            </w:r>
          </w:p>
        </w:tc>
        <w:tc>
          <w:tcPr>
            <w:tcW w:w="1069"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31.655</w:t>
            </w:r>
          </w:p>
        </w:tc>
        <w:tc>
          <w:tcPr>
            <w:tcW w:w="1060"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52.778</w:t>
            </w:r>
          </w:p>
        </w:tc>
        <w:tc>
          <w:tcPr>
            <w:tcW w:w="1062" w:type="dxa"/>
            <w:gridSpan w:val="10"/>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81"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1542"/>
          <w:jc w:val="center"/>
        </w:trPr>
        <w:tc>
          <w:tcPr>
            <w:tcW w:w="3134" w:type="dxa"/>
            <w:gridSpan w:val="4"/>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sz w:val="16"/>
                <w:szCs w:val="16"/>
                <w:lang w:val="sr-Cyrl-RS" w:eastAsia="en-GB"/>
              </w:rPr>
              <w:t>2.1.6 Увођење система електронских отпремница – анализа законског и административног оквира, и припрема документација за набавку</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2023</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tcPr>
          <w:p w:rsidR="00AE3C4E" w:rsidRPr="0081082A" w:rsidRDefault="006B710F"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9"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72.000*</w:t>
            </w:r>
          </w:p>
        </w:tc>
        <w:tc>
          <w:tcPr>
            <w:tcW w:w="1062" w:type="dxa"/>
            <w:gridSpan w:val="10"/>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81"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1408"/>
          <w:jc w:val="center"/>
        </w:trPr>
        <w:tc>
          <w:tcPr>
            <w:tcW w:w="3134" w:type="dxa"/>
            <w:gridSpan w:val="4"/>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sz w:val="16"/>
                <w:szCs w:val="16"/>
                <w:lang w:val="sr-Cyrl-RS" w:eastAsia="en-GB"/>
              </w:rPr>
              <w:lastRenderedPageBreak/>
              <w:t>2.1.7 Увођење система електронских отпремница – увођење ИТ система</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tcPr>
          <w:p w:rsidR="00AE3C4E" w:rsidRPr="0081082A" w:rsidRDefault="006B710F"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9"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2" w:type="dxa"/>
            <w:gridSpan w:val="10"/>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180.000*</w:t>
            </w:r>
          </w:p>
        </w:tc>
        <w:tc>
          <w:tcPr>
            <w:tcW w:w="1081"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180.000*</w:t>
            </w:r>
          </w:p>
        </w:tc>
      </w:tr>
      <w:tr w:rsidR="00AE3C4E" w:rsidRPr="0081082A" w:rsidTr="00310BEC">
        <w:trPr>
          <w:gridAfter w:val="2"/>
          <w:wAfter w:w="27" w:type="dxa"/>
          <w:trHeight w:val="1408"/>
          <w:jc w:val="center"/>
        </w:trPr>
        <w:tc>
          <w:tcPr>
            <w:tcW w:w="3134" w:type="dxa"/>
            <w:gridSpan w:val="4"/>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sz w:val="16"/>
                <w:szCs w:val="16"/>
                <w:lang w:val="sr-Cyrl-RS" w:eastAsia="en-GB"/>
              </w:rPr>
              <w:t>2.1.8 Увођење ИТ система за управљање непокретном имовином Министарства финансија и управа у саставу</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2023</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19" w:type="dxa"/>
            <w:gridSpan w:val="6"/>
            <w:shd w:val="clear" w:color="auto" w:fill="auto"/>
            <w:vAlign w:val="center"/>
          </w:tcPr>
          <w:p w:rsidR="00AE3C4E" w:rsidRPr="0081082A" w:rsidRDefault="006B710F"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9"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180.000*</w:t>
            </w:r>
          </w:p>
        </w:tc>
        <w:tc>
          <w:tcPr>
            <w:tcW w:w="1062" w:type="dxa"/>
            <w:gridSpan w:val="10"/>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81"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83" w:name="_Toc73613658"/>
            <w:r w:rsidRPr="0081082A">
              <w:rPr>
                <w:rFonts w:eastAsia="Times New Roman"/>
                <w:b/>
                <w:i/>
                <w:color w:val="365F91"/>
                <w:sz w:val="18"/>
                <w:szCs w:val="18"/>
                <w:lang w:val="sr-Cyrl-RS" w:eastAsia="en-GB"/>
              </w:rPr>
              <w:t>Мера 2.2: Модернизација процеса рада Управе за дуван</w:t>
            </w:r>
            <w:bookmarkEnd w:id="83"/>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84" w:name="_Toc73613659"/>
            <w:r w:rsidRPr="0081082A">
              <w:rPr>
                <w:rFonts w:eastAsia="Times New Roman"/>
                <w:b/>
                <w:i/>
                <w:color w:val="365F91"/>
                <w:sz w:val="18"/>
                <w:lang w:val="sr-Cyrl-RS" w:eastAsia="en-GB"/>
              </w:rPr>
              <w:t xml:space="preserve">Институција одговорна за спровођење (координацију спровођења) </w:t>
            </w:r>
            <w:r w:rsidR="00D55E20" w:rsidRPr="0081082A">
              <w:rPr>
                <w:rFonts w:eastAsia="Times New Roman"/>
                <w:b/>
                <w:i/>
                <w:color w:val="365F91"/>
                <w:sz w:val="18"/>
                <w:lang w:val="sr-Cyrl-RS" w:eastAsia="en-GB"/>
              </w:rPr>
              <w:t>мере: Министарство</w:t>
            </w:r>
            <w:r w:rsidRPr="0081082A">
              <w:rPr>
                <w:rFonts w:eastAsia="Times New Roman"/>
                <w:b/>
                <w:i/>
                <w:color w:val="365F91"/>
                <w:sz w:val="18"/>
                <w:lang w:val="sr-Cyrl-RS" w:eastAsia="en-GB"/>
              </w:rPr>
              <w:t xml:space="preserve"> финансија- Управа за дуван</w:t>
            </w:r>
            <w:bookmarkEnd w:id="84"/>
          </w:p>
        </w:tc>
      </w:tr>
      <w:tr w:rsidR="00AE3C4E" w:rsidRPr="0081082A" w:rsidTr="00310BEC">
        <w:trPr>
          <w:trHeight w:val="289"/>
          <w:jc w:val="center"/>
        </w:trPr>
        <w:tc>
          <w:tcPr>
            <w:tcW w:w="8190" w:type="dxa"/>
            <w:gridSpan w:val="22"/>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lang w:val="sr-Cyrl-RS" w:eastAsia="en-GB"/>
              </w:rPr>
            </w:pPr>
            <w:bookmarkStart w:id="85" w:name="_Toc73613660"/>
            <w:r w:rsidRPr="0081082A">
              <w:rPr>
                <w:rFonts w:eastAsia="Times New Roman"/>
                <w:b/>
                <w:i/>
                <w:color w:val="365F91"/>
                <w:sz w:val="18"/>
                <w:lang w:val="sr-Cyrl-RS" w:eastAsia="en-GB"/>
              </w:rPr>
              <w:t>Период спровођења: 2021</w:t>
            </w:r>
            <w:bookmarkEnd w:id="85"/>
          </w:p>
        </w:tc>
        <w:tc>
          <w:tcPr>
            <w:tcW w:w="7825" w:type="dxa"/>
            <w:gridSpan w:val="46"/>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lang w:val="sr-Cyrl-RS" w:eastAsia="en-GB"/>
              </w:rPr>
            </w:pPr>
            <w:bookmarkStart w:id="86" w:name="_Toc73613661"/>
            <w:r w:rsidRPr="0081082A">
              <w:rPr>
                <w:rFonts w:eastAsia="Times New Roman"/>
                <w:b/>
                <w:i/>
                <w:color w:val="365F91"/>
                <w:sz w:val="18"/>
                <w:lang w:val="sr-Cyrl-RS" w:eastAsia="en-GB"/>
              </w:rPr>
              <w:t>Тип мере: Информативно едукативна</w:t>
            </w:r>
            <w:bookmarkEnd w:id="86"/>
          </w:p>
        </w:tc>
      </w:tr>
      <w:tr w:rsidR="00AE3C4E" w:rsidRPr="0081082A" w:rsidTr="00310BEC">
        <w:trPr>
          <w:gridAfter w:val="1"/>
          <w:wAfter w:w="6" w:type="dxa"/>
          <w:trHeight w:val="836"/>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D55E20"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060"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9"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60"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2023</w:t>
            </w:r>
          </w:p>
        </w:tc>
        <w:tc>
          <w:tcPr>
            <w:tcW w:w="1055"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2024</w:t>
            </w:r>
          </w:p>
        </w:tc>
        <w:tc>
          <w:tcPr>
            <w:tcW w:w="1109"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2025</w:t>
            </w:r>
          </w:p>
        </w:tc>
      </w:tr>
      <w:tr w:rsidR="00AE3C4E" w:rsidRPr="0081082A" w:rsidTr="00310BEC">
        <w:trPr>
          <w:gridAfter w:val="1"/>
          <w:wAfter w:w="6" w:type="dxa"/>
          <w:trHeight w:val="1140"/>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Успостављен јединствени систем регистара</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Записник о примопредаји предмета јавне набавке</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tc>
        <w:tc>
          <w:tcPr>
            <w:tcW w:w="1069"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60"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5" w:type="dxa"/>
            <w:gridSpan w:val="9"/>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0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310BEC">
        <w:trPr>
          <w:gridAfter w:val="2"/>
          <w:wAfter w:w="27" w:type="dxa"/>
          <w:trHeight w:val="532"/>
          <w:jc w:val="center"/>
        </w:trPr>
        <w:tc>
          <w:tcPr>
            <w:tcW w:w="3134" w:type="dxa"/>
            <w:gridSpan w:val="4"/>
            <w:shd w:val="clear" w:color="000000" w:fill="FFFFFF"/>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Обучени сви запослени у Управи за дуван за рад у јединственом систему регистара</w:t>
            </w:r>
          </w:p>
        </w:tc>
        <w:tc>
          <w:tcPr>
            <w:tcW w:w="2895" w:type="dxa"/>
            <w:gridSpan w:val="7"/>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719" w:type="dxa"/>
            <w:gridSpan w:val="6"/>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Листе учесника на обукама</w:t>
            </w:r>
          </w:p>
        </w:tc>
        <w:tc>
          <w:tcPr>
            <w:tcW w:w="1784" w:type="dxa"/>
            <w:gridSpan w:val="11"/>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2020.</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100%</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435"/>
          <w:jc w:val="center"/>
        </w:trPr>
        <w:tc>
          <w:tcPr>
            <w:tcW w:w="3134" w:type="dxa"/>
            <w:gridSpan w:val="4"/>
            <w:shd w:val="clear" w:color="000000" w:fill="FFFFFF"/>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 привредних субјеката који послују на тржишту дувана и дуванских производа користи електронске услуге Управе за дуван</w:t>
            </w:r>
          </w:p>
        </w:tc>
        <w:tc>
          <w:tcPr>
            <w:tcW w:w="2895" w:type="dxa"/>
            <w:gridSpan w:val="7"/>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719" w:type="dxa"/>
            <w:gridSpan w:val="6"/>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Јединствени систем регистара</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Деловодник</w:t>
            </w:r>
          </w:p>
        </w:tc>
        <w:tc>
          <w:tcPr>
            <w:tcW w:w="1784" w:type="dxa"/>
            <w:gridSpan w:val="11"/>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br/>
              <w:t>0%</w:t>
            </w:r>
          </w:p>
        </w:tc>
        <w:tc>
          <w:tcPr>
            <w:tcW w:w="1124" w:type="dxa"/>
            <w:gridSpan w:val="3"/>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2020.</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w:t>
            </w:r>
          </w:p>
        </w:tc>
      </w:tr>
      <w:tr w:rsidR="00AE3C4E" w:rsidRPr="0081082A" w:rsidTr="00310BEC">
        <w:trPr>
          <w:gridAfter w:val="2"/>
          <w:wAfter w:w="27" w:type="dxa"/>
          <w:trHeight w:val="390"/>
          <w:jc w:val="center"/>
        </w:trPr>
        <w:tc>
          <w:tcPr>
            <w:tcW w:w="3134" w:type="dxa"/>
            <w:gridSpan w:val="4"/>
            <w:vMerge w:val="restart"/>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2895" w:type="dxa"/>
            <w:gridSpan w:val="7"/>
            <w:vMerge w:val="restart"/>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719" w:type="dxa"/>
            <w:gridSpan w:val="6"/>
            <w:vMerge w:val="restart"/>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Институција одговорна за спровођење</w:t>
            </w:r>
          </w:p>
        </w:tc>
        <w:tc>
          <w:tcPr>
            <w:tcW w:w="1784" w:type="dxa"/>
            <w:gridSpan w:val="11"/>
            <w:vMerge w:val="restart"/>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1124" w:type="dxa"/>
            <w:gridSpan w:val="3"/>
            <w:vMerge w:val="restart"/>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у 000 дин.</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Извор </w:t>
            </w:r>
            <w:r w:rsidRPr="0081082A">
              <w:rPr>
                <w:rFonts w:eastAsia="Times New Roman"/>
                <w:b/>
                <w:bCs/>
                <w:color w:val="000000"/>
                <w:sz w:val="16"/>
                <w:szCs w:val="16"/>
                <w:lang w:val="sr-Cyrl-RS" w:eastAsia="en-GB"/>
              </w:rPr>
              <w:lastRenderedPageBreak/>
              <w:t>финансира-ња</w:t>
            </w:r>
          </w:p>
        </w:tc>
        <w:tc>
          <w:tcPr>
            <w:tcW w:w="1060" w:type="dxa"/>
            <w:gridSpan w:val="6"/>
            <w:vMerge w:val="restart"/>
            <w:shd w:val="clear" w:color="auto" w:fill="F2F2F2" w:themeFill="background1" w:themeFillShade="F2"/>
            <w:noWrap/>
            <w:vAlign w:val="bottom"/>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Веза са програмским буџетом</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Веза са програмским буџетом </w:t>
            </w:r>
            <w:r w:rsidRPr="0081082A">
              <w:rPr>
                <w:rFonts w:eastAsia="Times New Roman"/>
                <w:b/>
                <w:bCs/>
                <w:color w:val="000000"/>
                <w:sz w:val="16"/>
                <w:szCs w:val="16"/>
                <w:lang w:val="sr-Cyrl-RS" w:eastAsia="en-GB"/>
              </w:rPr>
              <w:lastRenderedPageBreak/>
              <w:t>(ПР-ПА/ПЈ)</w:t>
            </w:r>
          </w:p>
        </w:tc>
        <w:tc>
          <w:tcPr>
            <w:tcW w:w="4272" w:type="dxa"/>
            <w:gridSpan w:val="29"/>
            <w:shd w:val="clear" w:color="auto" w:fill="F2F2F2" w:themeFill="background1" w:themeFillShade="F2"/>
            <w:noWrap/>
            <w:vAlign w:val="bottom"/>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Укупна процењена финансијска средства по изворима у 000 дин.</w:t>
            </w:r>
          </w:p>
        </w:tc>
      </w:tr>
      <w:tr w:rsidR="00AE3C4E" w:rsidRPr="0081082A" w:rsidTr="00310BEC">
        <w:trPr>
          <w:gridAfter w:val="2"/>
          <w:wAfter w:w="27" w:type="dxa"/>
          <w:trHeight w:val="390"/>
          <w:jc w:val="center"/>
        </w:trPr>
        <w:tc>
          <w:tcPr>
            <w:tcW w:w="3134" w:type="dxa"/>
            <w:gridSpan w:val="4"/>
            <w:vMerge/>
            <w:shd w:val="clear" w:color="auto" w:fill="F2F2F2" w:themeFill="background1" w:themeFillShade="F2"/>
            <w:vAlign w:val="center"/>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2895" w:type="dxa"/>
            <w:gridSpan w:val="7"/>
            <w:vMerge/>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19" w:type="dxa"/>
            <w:gridSpan w:val="6"/>
            <w:vMerge/>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84" w:type="dxa"/>
            <w:gridSpan w:val="11"/>
            <w:vMerge/>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124" w:type="dxa"/>
            <w:gridSpan w:val="3"/>
            <w:vMerge/>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060" w:type="dxa"/>
            <w:gridSpan w:val="6"/>
            <w:vMerge/>
            <w:shd w:val="clear" w:color="auto" w:fill="F2F2F2" w:themeFill="background1" w:themeFillShade="F2"/>
            <w:noWrap/>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002" w:type="dxa"/>
            <w:gridSpan w:val="7"/>
            <w:shd w:val="clear" w:color="auto" w:fill="F2F2F2" w:themeFill="background1" w:themeFillShade="F2"/>
            <w:noWrap/>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705" w:type="dxa"/>
            <w:gridSpan w:val="6"/>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854" w:type="dxa"/>
            <w:gridSpan w:val="5"/>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854" w:type="dxa"/>
            <w:gridSpan w:val="10"/>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857" w:type="dxa"/>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3253"/>
          <w:jc w:val="center"/>
        </w:trPr>
        <w:tc>
          <w:tcPr>
            <w:tcW w:w="3134" w:type="dxa"/>
            <w:gridSpan w:val="4"/>
            <w:shd w:val="clear" w:color="000000" w:fill="FFFFFF"/>
            <w:vAlign w:val="center"/>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2.2.1 Успостављање јединственог система регистара који ће објединити све регистре и евиденционе листе како би се побољшала ефикасност пружања услуга Управа за дуван</w:t>
            </w:r>
          </w:p>
        </w:tc>
        <w:tc>
          <w:tcPr>
            <w:tcW w:w="2895" w:type="dxa"/>
            <w:gridSpan w:val="7"/>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sz w:val="16"/>
                <w:szCs w:val="16"/>
                <w:lang w:val="sr-Cyrl-RS" w:eastAsia="en-GB"/>
              </w:rPr>
              <w:t>Q4 2021</w:t>
            </w:r>
          </w:p>
        </w:tc>
        <w:tc>
          <w:tcPr>
            <w:tcW w:w="1719" w:type="dxa"/>
            <w:gridSpan w:val="6"/>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дуван</w:t>
            </w:r>
          </w:p>
        </w:tc>
        <w:tc>
          <w:tcPr>
            <w:tcW w:w="1784" w:type="dxa"/>
            <w:gridSpan w:val="11"/>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Пореска управа</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24" w:type="dxa"/>
            <w:gridSpan w:val="3"/>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tc>
        <w:tc>
          <w:tcPr>
            <w:tcW w:w="1060" w:type="dxa"/>
            <w:gridSpan w:val="6"/>
            <w:shd w:val="clear" w:color="auto" w:fill="auto"/>
            <w:noWrap/>
            <w:vAlign w:val="bottom"/>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Програм 2301</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Пројекат 0010 регулација производње и промета дувана и дуванских производа</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Извор финансирања 01 општи приходи и примања буџета</w:t>
            </w:r>
          </w:p>
        </w:tc>
        <w:tc>
          <w:tcPr>
            <w:tcW w:w="854" w:type="dxa"/>
            <w:gridSpan w:val="5"/>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6.932</w:t>
            </w:r>
          </w:p>
        </w:tc>
        <w:tc>
          <w:tcPr>
            <w:tcW w:w="85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854"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854" w:type="dxa"/>
            <w:gridSpan w:val="10"/>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857" w:type="dxa"/>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1079"/>
          <w:jc w:val="center"/>
        </w:trPr>
        <w:tc>
          <w:tcPr>
            <w:tcW w:w="3134" w:type="dxa"/>
            <w:gridSpan w:val="4"/>
            <w:shd w:val="clear" w:color="000000" w:fill="FFFFFF"/>
            <w:vAlign w:val="center"/>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2.2.2 Јачање капацитета људских ресурса Управе за дуван и других партнерских институција</w:t>
            </w:r>
          </w:p>
        </w:tc>
        <w:tc>
          <w:tcPr>
            <w:tcW w:w="2895" w:type="dxa"/>
            <w:gridSpan w:val="7"/>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sz w:val="16"/>
                <w:szCs w:val="16"/>
                <w:lang w:val="sr-Cyrl-RS" w:eastAsia="en-GB"/>
              </w:rPr>
              <w:t>Q4 2021</w:t>
            </w:r>
          </w:p>
        </w:tc>
        <w:tc>
          <w:tcPr>
            <w:tcW w:w="1719" w:type="dxa"/>
            <w:gridSpan w:val="6"/>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дуван</w:t>
            </w:r>
          </w:p>
        </w:tc>
        <w:tc>
          <w:tcPr>
            <w:tcW w:w="1784" w:type="dxa"/>
            <w:gridSpan w:val="11"/>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Пореска управа</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24" w:type="dxa"/>
            <w:gridSpan w:val="3"/>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tc>
        <w:tc>
          <w:tcPr>
            <w:tcW w:w="1060" w:type="dxa"/>
            <w:gridSpan w:val="6"/>
            <w:shd w:val="clear" w:color="auto" w:fill="auto"/>
            <w:noWrap/>
            <w:vAlign w:val="bottom"/>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854" w:type="dxa"/>
            <w:gridSpan w:val="5"/>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1.383</w:t>
            </w:r>
          </w:p>
        </w:tc>
        <w:tc>
          <w:tcPr>
            <w:tcW w:w="85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854"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854" w:type="dxa"/>
            <w:gridSpan w:val="10"/>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857" w:type="dxa"/>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804"/>
          <w:jc w:val="center"/>
        </w:trPr>
        <w:tc>
          <w:tcPr>
            <w:tcW w:w="3134" w:type="dxa"/>
            <w:gridSpan w:val="4"/>
            <w:shd w:val="clear" w:color="000000" w:fill="FFFFFF"/>
            <w:vAlign w:val="center"/>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2.2.3 Повећање дигиталне свести привредних </w:t>
            </w:r>
            <w:r w:rsidR="00D55E20" w:rsidRPr="0081082A">
              <w:rPr>
                <w:rFonts w:eastAsia="Times New Roman"/>
                <w:color w:val="000000"/>
                <w:sz w:val="16"/>
                <w:szCs w:val="16"/>
                <w:lang w:val="sr-Cyrl-RS" w:eastAsia="en-GB"/>
              </w:rPr>
              <w:t>субјеката који</w:t>
            </w:r>
            <w:r w:rsidRPr="0081082A">
              <w:rPr>
                <w:rFonts w:eastAsia="Times New Roman"/>
                <w:color w:val="000000"/>
                <w:sz w:val="16"/>
                <w:szCs w:val="16"/>
                <w:lang w:val="sr-Cyrl-RS" w:eastAsia="en-GB"/>
              </w:rPr>
              <w:t xml:space="preserve"> послују на тржишту дувана и дуванских производа</w:t>
            </w:r>
          </w:p>
        </w:tc>
        <w:tc>
          <w:tcPr>
            <w:tcW w:w="2895" w:type="dxa"/>
            <w:gridSpan w:val="7"/>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sz w:val="16"/>
                <w:szCs w:val="16"/>
                <w:lang w:val="sr-Cyrl-RS" w:eastAsia="en-GB"/>
              </w:rPr>
              <w:t>Q4 2021</w:t>
            </w:r>
          </w:p>
        </w:tc>
        <w:tc>
          <w:tcPr>
            <w:tcW w:w="1719" w:type="dxa"/>
            <w:gridSpan w:val="6"/>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дуван</w:t>
            </w:r>
          </w:p>
        </w:tc>
        <w:tc>
          <w:tcPr>
            <w:tcW w:w="1784" w:type="dxa"/>
            <w:gridSpan w:val="11"/>
            <w:shd w:val="clear" w:color="000000" w:fill="FFFFFF"/>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24" w:type="dxa"/>
            <w:gridSpan w:val="3"/>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tc>
        <w:tc>
          <w:tcPr>
            <w:tcW w:w="1060" w:type="dxa"/>
            <w:gridSpan w:val="6"/>
            <w:shd w:val="clear" w:color="auto" w:fill="auto"/>
            <w:noWrap/>
            <w:vAlign w:val="bottom"/>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854" w:type="dxa"/>
            <w:gridSpan w:val="5"/>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181</w:t>
            </w:r>
          </w:p>
        </w:tc>
        <w:tc>
          <w:tcPr>
            <w:tcW w:w="85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854"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854" w:type="dxa"/>
            <w:gridSpan w:val="10"/>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857" w:type="dxa"/>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87" w:name="_Toc73613662"/>
            <w:r w:rsidRPr="0081082A">
              <w:rPr>
                <w:rFonts w:eastAsia="Times New Roman"/>
                <w:b/>
                <w:i/>
                <w:color w:val="365F91"/>
                <w:sz w:val="18"/>
                <w:szCs w:val="18"/>
                <w:lang w:val="sr-Cyrl-RS" w:eastAsia="en-GB"/>
              </w:rPr>
              <w:t>Мера 2.3: Јачање административних капацитета Управе царина</w:t>
            </w:r>
            <w:bookmarkEnd w:id="87"/>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88" w:name="_Toc73613663"/>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D55E20" w:rsidRPr="0081082A">
              <w:rPr>
                <w:rFonts w:eastAsia="Times New Roman"/>
                <w:b/>
                <w:i/>
                <w:color w:val="365F91"/>
                <w:sz w:val="18"/>
                <w:szCs w:val="18"/>
                <w:lang w:val="sr-Cyrl-RS" w:eastAsia="en-GB"/>
              </w:rPr>
              <w:t>мере: Министарство</w:t>
            </w:r>
            <w:r w:rsidRPr="0081082A">
              <w:rPr>
                <w:rFonts w:eastAsia="Times New Roman"/>
                <w:b/>
                <w:i/>
                <w:color w:val="365F91"/>
                <w:sz w:val="18"/>
                <w:szCs w:val="18"/>
                <w:lang w:val="sr-Cyrl-RS" w:eastAsia="en-GB"/>
              </w:rPr>
              <w:t xml:space="preserve"> финансија- Управа царина</w:t>
            </w:r>
            <w:bookmarkEnd w:id="88"/>
          </w:p>
        </w:tc>
      </w:tr>
      <w:tr w:rsidR="00AE3C4E" w:rsidRPr="0081082A" w:rsidTr="00310BEC">
        <w:trPr>
          <w:trHeight w:val="289"/>
          <w:jc w:val="center"/>
        </w:trPr>
        <w:tc>
          <w:tcPr>
            <w:tcW w:w="7994" w:type="dxa"/>
            <w:gridSpan w:val="20"/>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89" w:name="_Toc73613664"/>
            <w:r w:rsidRPr="0081082A">
              <w:rPr>
                <w:rFonts w:eastAsia="Times New Roman"/>
                <w:b/>
                <w:i/>
                <w:color w:val="365F91"/>
                <w:sz w:val="18"/>
                <w:szCs w:val="18"/>
                <w:lang w:val="sr-Cyrl-RS" w:eastAsia="en-GB"/>
              </w:rPr>
              <w:t>Период спровођења: 2021-2025</w:t>
            </w:r>
            <w:bookmarkEnd w:id="89"/>
          </w:p>
        </w:tc>
        <w:tc>
          <w:tcPr>
            <w:tcW w:w="8021" w:type="dxa"/>
            <w:gridSpan w:val="48"/>
            <w:shd w:val="clear" w:color="auto" w:fill="F2F2F2" w:themeFill="background1" w:themeFillShade="F2"/>
          </w:tcPr>
          <w:p w:rsidR="00AE3C4E" w:rsidRPr="0081082A" w:rsidRDefault="00AE3C4E" w:rsidP="00310BEC">
            <w:pPr>
              <w:keepNext/>
              <w:keepLines/>
              <w:tabs>
                <w:tab w:val="left" w:pos="900"/>
              </w:tabs>
              <w:spacing w:after="0" w:line="240" w:lineRule="auto"/>
              <w:outlineLvl w:val="1"/>
              <w:rPr>
                <w:rFonts w:eastAsia="Times New Roman"/>
                <w:b/>
                <w:i/>
                <w:color w:val="365F91"/>
                <w:sz w:val="18"/>
                <w:szCs w:val="18"/>
                <w:lang w:val="sr-Cyrl-RS" w:eastAsia="en-GB"/>
              </w:rPr>
            </w:pPr>
            <w:r w:rsidRPr="0081082A">
              <w:rPr>
                <w:rFonts w:eastAsia="Times New Roman"/>
                <w:b/>
                <w:i/>
                <w:color w:val="365F91"/>
                <w:sz w:val="18"/>
                <w:szCs w:val="18"/>
                <w:lang w:val="sr-Cyrl-RS" w:eastAsia="en-GB"/>
              </w:rPr>
              <w:tab/>
            </w:r>
            <w:bookmarkStart w:id="90" w:name="_Toc73613665"/>
            <w:r w:rsidRPr="0081082A">
              <w:rPr>
                <w:rFonts w:eastAsia="Times New Roman"/>
                <w:b/>
                <w:i/>
                <w:color w:val="365F91"/>
                <w:sz w:val="18"/>
                <w:szCs w:val="18"/>
                <w:lang w:val="sr-Cyrl-RS" w:eastAsia="en-GB"/>
              </w:rPr>
              <w:t>Тип мере: Институционално управљачко организациона мера</w:t>
            </w:r>
            <w:bookmarkEnd w:id="90"/>
          </w:p>
        </w:tc>
      </w:tr>
      <w:tr w:rsidR="00AE3C4E" w:rsidRPr="0081082A" w:rsidTr="00310BEC">
        <w:trPr>
          <w:gridAfter w:val="1"/>
          <w:wAfter w:w="6" w:type="dxa"/>
          <w:trHeight w:val="48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060"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9"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60"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9"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1140"/>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Проценат оствaрене наплате царина и ПДВ-а из увоза у односу на одобрену буџетску процену</w:t>
            </w: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Закон о буџету и информатор о раду Управе царина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Царина 102.29%</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ПДВ 101.15%</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c>
          <w:tcPr>
            <w:tcW w:w="1069"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c>
          <w:tcPr>
            <w:tcW w:w="1060"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c>
          <w:tcPr>
            <w:tcW w:w="1055"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c>
          <w:tcPr>
            <w:tcW w:w="110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p>
        </w:tc>
      </w:tr>
      <w:tr w:rsidR="00AE3C4E" w:rsidRPr="0081082A" w:rsidTr="00310BEC">
        <w:trPr>
          <w:gridAfter w:val="2"/>
          <w:wAfter w:w="27" w:type="dxa"/>
          <w:trHeight w:val="300"/>
          <w:jc w:val="center"/>
        </w:trPr>
        <w:tc>
          <w:tcPr>
            <w:tcW w:w="3134"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639"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Институција одговорна за спровођење</w:t>
            </w:r>
          </w:p>
        </w:tc>
        <w:tc>
          <w:tcPr>
            <w:tcW w:w="1719" w:type="dxa"/>
            <w:gridSpan w:val="6"/>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240" w:type="dxa"/>
            <w:gridSpan w:val="4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по изворима у 000 дин.</w:t>
            </w:r>
          </w:p>
        </w:tc>
      </w:tr>
      <w:tr w:rsidR="00AE3C4E" w:rsidRPr="0081082A" w:rsidTr="00310BEC">
        <w:trPr>
          <w:gridAfter w:val="2"/>
          <w:wAfter w:w="27" w:type="dxa"/>
          <w:trHeight w:val="465"/>
          <w:jc w:val="center"/>
        </w:trPr>
        <w:tc>
          <w:tcPr>
            <w:tcW w:w="3134"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19" w:type="dxa"/>
            <w:gridSpan w:val="6"/>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84" w:type="dxa"/>
            <w:gridSpan w:val="11"/>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24"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060" w:type="dxa"/>
            <w:gridSpan w:val="6"/>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56"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54"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4"/>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390"/>
          <w:jc w:val="center"/>
        </w:trPr>
        <w:tc>
          <w:tcPr>
            <w:tcW w:w="3134" w:type="dxa"/>
            <w:gridSpan w:val="4"/>
            <w:vMerge w:val="restart"/>
            <w:shd w:val="clear" w:color="auto" w:fill="auto"/>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2.3.1 Побољшање процеса за финансијско обезбеђење царинског дуга</w:t>
            </w:r>
          </w:p>
        </w:tc>
        <w:tc>
          <w:tcPr>
            <w:tcW w:w="1639" w:type="dxa"/>
            <w:gridSpan w:val="4"/>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2024</w:t>
            </w:r>
          </w:p>
        </w:tc>
        <w:tc>
          <w:tcPr>
            <w:tcW w:w="1256"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tc>
        <w:tc>
          <w:tcPr>
            <w:tcW w:w="1719" w:type="dxa"/>
            <w:gridSpan w:val="6"/>
            <w:vMerge w:val="restart"/>
            <w:shd w:val="clear" w:color="auto" w:fill="auto"/>
            <w:vAlign w:val="center"/>
            <w:hideMark/>
          </w:tcPr>
          <w:p w:rsidR="00AE3C4E" w:rsidRPr="0081082A" w:rsidRDefault="0018051D"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tc>
        <w:tc>
          <w:tcPr>
            <w:tcW w:w="1124" w:type="dxa"/>
            <w:gridSpan w:val="3"/>
            <w:vMerge w:val="restart"/>
            <w:shd w:val="clear" w:color="auto" w:fill="auto"/>
            <w:vAlign w:val="bottom"/>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Програм 2303</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Пројекат 5012</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25.650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25.650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55" w:type="dxa"/>
            <w:gridSpan w:val="9"/>
            <w:vMerge w:val="restart"/>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07" w:type="dxa"/>
            <w:gridSpan w:val="4"/>
            <w:vMerge w:val="restart"/>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310BEC">
        <w:trPr>
          <w:gridAfter w:val="2"/>
          <w:wAfter w:w="27" w:type="dxa"/>
          <w:trHeight w:val="390"/>
          <w:jc w:val="center"/>
        </w:trPr>
        <w:tc>
          <w:tcPr>
            <w:tcW w:w="3134" w:type="dxa"/>
            <w:gridSpan w:val="4"/>
            <w:vMerge/>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p>
        </w:tc>
        <w:tc>
          <w:tcPr>
            <w:tcW w:w="1639" w:type="dxa"/>
            <w:gridSpan w:val="4"/>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25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19" w:type="dxa"/>
            <w:gridSpan w:val="6"/>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(NCTS 5)</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vMerge/>
            <w:shd w:val="clear" w:color="auto" w:fill="auto"/>
            <w:vAlign w:val="bottom"/>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4.203*</w:t>
            </w:r>
          </w:p>
        </w:tc>
        <w:tc>
          <w:tcPr>
            <w:tcW w:w="1055" w:type="dxa"/>
            <w:gridSpan w:val="9"/>
            <w:vMerge/>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07" w:type="dxa"/>
            <w:gridSpan w:val="4"/>
            <w:vMerge/>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r>
      <w:tr w:rsidR="00AE3C4E" w:rsidRPr="0081082A" w:rsidTr="00310BEC">
        <w:trPr>
          <w:gridAfter w:val="2"/>
          <w:wAfter w:w="27" w:type="dxa"/>
          <w:trHeight w:val="1073"/>
          <w:jc w:val="center"/>
        </w:trPr>
        <w:tc>
          <w:tcPr>
            <w:tcW w:w="3134" w:type="dxa"/>
            <w:gridSpan w:val="4"/>
            <w:vMerge w:val="restart"/>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2.3.2 Развој </w:t>
            </w:r>
            <w:r w:rsidR="00D55E20" w:rsidRPr="0081082A">
              <w:rPr>
                <w:rFonts w:eastAsia="Times New Roman"/>
                <w:sz w:val="16"/>
                <w:szCs w:val="16"/>
                <w:lang w:val="sr-Cyrl-RS" w:eastAsia="en-GB"/>
              </w:rPr>
              <w:t>капацитета за</w:t>
            </w:r>
            <w:r w:rsidRPr="0081082A">
              <w:rPr>
                <w:rFonts w:eastAsia="Times New Roman"/>
                <w:sz w:val="16"/>
                <w:szCs w:val="16"/>
                <w:lang w:val="sr-Cyrl-RS" w:eastAsia="en-GB"/>
              </w:rPr>
              <w:t xml:space="preserve"> пуну примену регулативе ТСС ЕУ и извештавање о приходима ЕУ</w:t>
            </w:r>
          </w:p>
        </w:tc>
        <w:tc>
          <w:tcPr>
            <w:tcW w:w="1639" w:type="dxa"/>
            <w:gridSpan w:val="4"/>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56"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tc>
        <w:tc>
          <w:tcPr>
            <w:tcW w:w="1719" w:type="dxa"/>
            <w:gridSpan w:val="6"/>
            <w:vMerge w:val="restart"/>
            <w:shd w:val="clear" w:color="auto" w:fill="auto"/>
            <w:vAlign w:val="center"/>
            <w:hideMark/>
          </w:tcPr>
          <w:p w:rsidR="00AE3C4E" w:rsidRPr="0081082A" w:rsidRDefault="00D55E20"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tc>
        <w:tc>
          <w:tcPr>
            <w:tcW w:w="1124"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Програм 2303</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Програмска активност 0001</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1.420*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1.376*</w:t>
            </w:r>
          </w:p>
        </w:tc>
        <w:tc>
          <w:tcPr>
            <w:tcW w:w="1055" w:type="dxa"/>
            <w:gridSpan w:val="9"/>
            <w:vMerge w:val="restart"/>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07" w:type="dxa"/>
            <w:gridSpan w:val="4"/>
            <w:vMerge w:val="restart"/>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310BEC">
        <w:trPr>
          <w:gridAfter w:val="2"/>
          <w:wAfter w:w="27" w:type="dxa"/>
          <w:trHeight w:val="1072"/>
          <w:jc w:val="center"/>
        </w:trPr>
        <w:tc>
          <w:tcPr>
            <w:tcW w:w="3134" w:type="dxa"/>
            <w:gridSpan w:val="4"/>
            <w:vMerge/>
            <w:shd w:val="clear" w:color="auto" w:fill="auto"/>
          </w:tcPr>
          <w:p w:rsidR="00AE3C4E" w:rsidRPr="0081082A" w:rsidRDefault="00AE3C4E" w:rsidP="00310BEC">
            <w:pPr>
              <w:tabs>
                <w:tab w:val="left" w:pos="9923"/>
              </w:tabs>
              <w:spacing w:after="0" w:line="240" w:lineRule="auto"/>
              <w:rPr>
                <w:rFonts w:eastAsia="Times New Roman"/>
                <w:sz w:val="16"/>
                <w:szCs w:val="16"/>
                <w:lang w:val="sr-Cyrl-RS" w:eastAsia="en-GB"/>
              </w:rPr>
            </w:pPr>
          </w:p>
        </w:tc>
        <w:tc>
          <w:tcPr>
            <w:tcW w:w="1639" w:type="dxa"/>
            <w:gridSpan w:val="4"/>
            <w:vMerge/>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25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19" w:type="dxa"/>
            <w:gridSpan w:val="6"/>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 xml:space="preserve">ИПА </w:t>
            </w:r>
            <w:r w:rsidR="00D55E20" w:rsidRPr="0081082A">
              <w:rPr>
                <w:rFonts w:eastAsia="Times New Roman"/>
                <w:sz w:val="16"/>
                <w:szCs w:val="16"/>
                <w:lang w:val="sr-Cyrl-RS" w:eastAsia="en-GB"/>
              </w:rPr>
              <w:t>2015 Пројекат</w:t>
            </w:r>
            <w:r w:rsidRPr="0081082A">
              <w:rPr>
                <w:rFonts w:eastAsia="Times New Roman"/>
                <w:sz w:val="16"/>
                <w:szCs w:val="16"/>
                <w:lang w:val="sr-Cyrl-RS" w:eastAsia="en-GB"/>
              </w:rPr>
              <w:t xml:space="preserve"> комплементарне техничке помоћи „Подршка Министарству финансија у оквиру секторског реформског уговора</w:t>
            </w:r>
            <w:r w:rsidR="007E728E" w:rsidRPr="0081082A">
              <w:rPr>
                <w:rFonts w:eastAsia="Times New Roman"/>
                <w:sz w:val="16"/>
                <w:szCs w:val="16"/>
                <w:lang w:val="sr-Cyrl-RS" w:eastAsia="en-GB"/>
              </w:rPr>
              <w:t>”</w:t>
            </w:r>
          </w:p>
        </w:tc>
        <w:tc>
          <w:tcPr>
            <w:tcW w:w="1124"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ГИЗ</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960</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ИПА</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8.640</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55" w:type="dxa"/>
            <w:gridSpan w:val="9"/>
            <w:vMerge/>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07" w:type="dxa"/>
            <w:gridSpan w:val="4"/>
            <w:vMerge/>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r>
      <w:tr w:rsidR="00AE3C4E" w:rsidRPr="0081082A" w:rsidTr="00310BEC">
        <w:trPr>
          <w:gridAfter w:val="2"/>
          <w:wAfter w:w="27" w:type="dxa"/>
          <w:trHeight w:val="808"/>
          <w:jc w:val="center"/>
        </w:trPr>
        <w:tc>
          <w:tcPr>
            <w:tcW w:w="3134" w:type="dxa"/>
            <w:gridSpan w:val="4"/>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2.3.3 Унапређење капацитета за ефектне накнадне контроле, утврђивање царинске вредности и преференцијалног порекла и сврставања робе</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tc>
        <w:tc>
          <w:tcPr>
            <w:tcW w:w="1719" w:type="dxa"/>
            <w:gridSpan w:val="6"/>
            <w:shd w:val="clear" w:color="auto" w:fill="auto"/>
            <w:vAlign w:val="center"/>
            <w:hideMark/>
          </w:tcPr>
          <w:p w:rsidR="00AE3C4E" w:rsidRPr="0081082A" w:rsidRDefault="00D55E20"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tc>
        <w:tc>
          <w:tcPr>
            <w:tcW w:w="1124" w:type="dxa"/>
            <w:gridSpan w:val="3"/>
            <w:shd w:val="clear" w:color="auto" w:fill="auto"/>
            <w:vAlign w:val="bottom"/>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Програм 2303</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Програмска активност 0001</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310BEC">
        <w:trPr>
          <w:gridAfter w:val="2"/>
          <w:wAfter w:w="27" w:type="dxa"/>
          <w:trHeight w:val="442"/>
          <w:jc w:val="center"/>
        </w:trPr>
        <w:tc>
          <w:tcPr>
            <w:tcW w:w="3134" w:type="dxa"/>
            <w:gridSpan w:val="4"/>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2.3.4 Модернизација царинске лабораторије</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tc>
        <w:tc>
          <w:tcPr>
            <w:tcW w:w="1719" w:type="dxa"/>
            <w:gridSpan w:val="6"/>
            <w:shd w:val="clear" w:color="auto" w:fill="auto"/>
            <w:vAlign w:val="center"/>
            <w:hideMark/>
          </w:tcPr>
          <w:p w:rsidR="00AE3C4E" w:rsidRPr="0081082A" w:rsidRDefault="00D55E20"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auto" w:fill="auto"/>
            <w:vAlign w:val="bottom"/>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12.288*</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310BEC">
        <w:trPr>
          <w:gridAfter w:val="2"/>
          <w:wAfter w:w="27" w:type="dxa"/>
          <w:trHeight w:val="950"/>
          <w:jc w:val="center"/>
        </w:trPr>
        <w:tc>
          <w:tcPr>
            <w:tcW w:w="3134" w:type="dxa"/>
            <w:gridSpan w:val="4"/>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 xml:space="preserve">2.3.5 Припремне активности у циљу унапређења управљања и јавне продаје одузете царинске робе </w:t>
            </w:r>
            <w:r w:rsidR="00D55E20" w:rsidRPr="0081082A">
              <w:rPr>
                <w:rFonts w:eastAsia="Times New Roman"/>
                <w:sz w:val="16"/>
                <w:szCs w:val="16"/>
                <w:lang w:val="sr-Cyrl-RS" w:eastAsia="en-GB"/>
              </w:rPr>
              <w:t>и развој</w:t>
            </w:r>
            <w:r w:rsidRPr="0081082A">
              <w:rPr>
                <w:rFonts w:eastAsia="Times New Roman"/>
                <w:sz w:val="16"/>
                <w:szCs w:val="16"/>
                <w:lang w:val="sr-Cyrl-RS" w:eastAsia="en-GB"/>
              </w:rPr>
              <w:t>a царинске инфраструктуре складишта посебне намене</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tc>
        <w:tc>
          <w:tcPr>
            <w:tcW w:w="1719" w:type="dxa"/>
            <w:gridSpan w:val="6"/>
            <w:shd w:val="clear" w:color="auto" w:fill="auto"/>
            <w:vAlign w:val="center"/>
            <w:hideMark/>
          </w:tcPr>
          <w:p w:rsidR="00AE3C4E" w:rsidRPr="0081082A" w:rsidRDefault="00D55E20"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auto" w:fill="auto"/>
            <w:vAlign w:val="bottom"/>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23.520*</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310BEC">
        <w:trPr>
          <w:gridAfter w:val="2"/>
          <w:wAfter w:w="27" w:type="dxa"/>
          <w:trHeight w:val="585"/>
          <w:jc w:val="center"/>
        </w:trPr>
        <w:tc>
          <w:tcPr>
            <w:tcW w:w="3134" w:type="dxa"/>
            <w:gridSpan w:val="4"/>
            <w:vMerge w:val="restart"/>
            <w:shd w:val="clear" w:color="auto" w:fill="auto"/>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2.3.6 Имплементација увозних и извозних аутоматизованих система (АИС-АЕС) и система управљања (ЦДМС)</w:t>
            </w:r>
          </w:p>
          <w:p w:rsidR="00AE3C4E" w:rsidRPr="0081082A" w:rsidRDefault="00AE3C4E" w:rsidP="00310BEC">
            <w:pPr>
              <w:tabs>
                <w:tab w:val="left" w:pos="9923"/>
              </w:tabs>
              <w:spacing w:after="0" w:line="240" w:lineRule="auto"/>
              <w:rPr>
                <w:rFonts w:eastAsia="Times New Roman"/>
                <w:sz w:val="16"/>
                <w:szCs w:val="16"/>
                <w:lang w:val="sr-Cyrl-RS" w:eastAsia="en-GB"/>
              </w:rPr>
            </w:pPr>
          </w:p>
          <w:p w:rsidR="00AE3C4E" w:rsidRPr="0081082A" w:rsidRDefault="00AE3C4E" w:rsidP="00310BEC">
            <w:pPr>
              <w:tabs>
                <w:tab w:val="left" w:pos="9923"/>
              </w:tabs>
              <w:spacing w:after="0" w:line="240" w:lineRule="auto"/>
              <w:rPr>
                <w:rFonts w:eastAsia="Times New Roman"/>
                <w:sz w:val="16"/>
                <w:szCs w:val="16"/>
                <w:lang w:val="sr-Cyrl-RS" w:eastAsia="en-GB"/>
              </w:rPr>
            </w:pPr>
          </w:p>
          <w:p w:rsidR="00AE3C4E" w:rsidRPr="0081082A" w:rsidRDefault="00AE3C4E" w:rsidP="00310BEC">
            <w:pPr>
              <w:tabs>
                <w:tab w:val="left" w:pos="9923"/>
              </w:tabs>
              <w:spacing w:after="0" w:line="240" w:lineRule="auto"/>
              <w:rPr>
                <w:rFonts w:eastAsia="Times New Roman"/>
                <w:sz w:val="16"/>
                <w:szCs w:val="16"/>
                <w:lang w:val="sr-Cyrl-RS" w:eastAsia="en-GB"/>
              </w:rPr>
            </w:pPr>
          </w:p>
        </w:tc>
        <w:tc>
          <w:tcPr>
            <w:tcW w:w="1639" w:type="dxa"/>
            <w:gridSpan w:val="4"/>
            <w:vMerge w:val="restart"/>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56" w:type="dxa"/>
            <w:gridSpan w:val="3"/>
            <w:vMerge w:val="restart"/>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tc>
        <w:tc>
          <w:tcPr>
            <w:tcW w:w="1719" w:type="dxa"/>
            <w:gridSpan w:val="6"/>
            <w:vMerge w:val="restart"/>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tc>
        <w:tc>
          <w:tcPr>
            <w:tcW w:w="1124" w:type="dxa"/>
            <w:gridSpan w:val="3"/>
            <w:vMerge w:val="restart"/>
            <w:shd w:val="clear" w:color="auto" w:fill="auto"/>
            <w:vAlign w:val="bottom"/>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Програм 2303</w:t>
            </w:r>
          </w:p>
          <w:p w:rsidR="00AE3C4E" w:rsidRPr="0081082A" w:rsidRDefault="00AE3C4E" w:rsidP="00310BEC">
            <w:pPr>
              <w:tabs>
                <w:tab w:val="left" w:pos="9923"/>
              </w:tabs>
              <w:spacing w:after="0" w:line="240" w:lineRule="auto"/>
              <w:jc w:val="center"/>
              <w:rPr>
                <w:rFonts w:eastAsia="Times New Roman"/>
                <w:strike/>
                <w:sz w:val="16"/>
                <w:szCs w:val="16"/>
                <w:lang w:val="sr-Cyrl-RS" w:eastAsia="en-GB"/>
              </w:rPr>
            </w:pPr>
            <w:r w:rsidRPr="0081082A">
              <w:rPr>
                <w:rFonts w:eastAsia="Times New Roman"/>
                <w:sz w:val="16"/>
                <w:szCs w:val="16"/>
                <w:lang w:val="sr-Cyrl-RS" w:eastAsia="en-GB"/>
              </w:rPr>
              <w:t>Пројекат 7081</w:t>
            </w:r>
          </w:p>
        </w:tc>
        <w:tc>
          <w:tcPr>
            <w:tcW w:w="1060" w:type="dxa"/>
            <w:gridSpan w:val="6"/>
            <w:vMerge w:val="restart"/>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14.400</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21.600</w:t>
            </w:r>
          </w:p>
          <w:p w:rsidR="00AE3C4E" w:rsidRPr="0081082A" w:rsidRDefault="00AE3C4E" w:rsidP="00310BEC">
            <w:pPr>
              <w:tabs>
                <w:tab w:val="left" w:pos="9923"/>
              </w:tabs>
              <w:spacing w:after="0" w:line="240" w:lineRule="auto"/>
              <w:rPr>
                <w:rFonts w:eastAsia="Times New Roman"/>
                <w:sz w:val="16"/>
                <w:szCs w:val="16"/>
                <w:lang w:val="sr-Cyrl-RS" w:eastAsia="en-GB"/>
              </w:rPr>
            </w:pP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r>
      <w:tr w:rsidR="00AE3C4E" w:rsidRPr="0081082A" w:rsidTr="00310BEC">
        <w:trPr>
          <w:gridAfter w:val="2"/>
          <w:wAfter w:w="27" w:type="dxa"/>
          <w:trHeight w:val="585"/>
          <w:jc w:val="center"/>
        </w:trPr>
        <w:tc>
          <w:tcPr>
            <w:tcW w:w="3134" w:type="dxa"/>
            <w:gridSpan w:val="4"/>
            <w:vMerge/>
            <w:shd w:val="clear" w:color="auto" w:fill="auto"/>
          </w:tcPr>
          <w:p w:rsidR="00AE3C4E" w:rsidRPr="0081082A" w:rsidRDefault="00AE3C4E" w:rsidP="00310BEC">
            <w:pPr>
              <w:tabs>
                <w:tab w:val="left" w:pos="9923"/>
              </w:tabs>
              <w:spacing w:after="0" w:line="240" w:lineRule="auto"/>
              <w:rPr>
                <w:rFonts w:eastAsia="Times New Roman"/>
                <w:sz w:val="16"/>
                <w:szCs w:val="16"/>
                <w:lang w:val="sr-Cyrl-RS" w:eastAsia="en-GB"/>
              </w:rPr>
            </w:pPr>
          </w:p>
        </w:tc>
        <w:tc>
          <w:tcPr>
            <w:tcW w:w="1639" w:type="dxa"/>
            <w:gridSpan w:val="4"/>
            <w:vMerge/>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25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19" w:type="dxa"/>
            <w:gridSpan w:val="6"/>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ИПА 2020</w:t>
            </w:r>
          </w:p>
        </w:tc>
        <w:tc>
          <w:tcPr>
            <w:tcW w:w="1124" w:type="dxa"/>
            <w:gridSpan w:val="3"/>
            <w:vMerge/>
            <w:shd w:val="clear" w:color="auto" w:fill="auto"/>
            <w:vAlign w:val="bottom"/>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60" w:type="dxa"/>
            <w:gridSpan w:val="6"/>
            <w:vMerge/>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249.600</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220.400</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374.000</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200.000</w:t>
            </w:r>
          </w:p>
        </w:tc>
      </w:tr>
      <w:tr w:rsidR="00AE3C4E" w:rsidRPr="0081082A" w:rsidTr="00310BEC">
        <w:trPr>
          <w:gridAfter w:val="2"/>
          <w:wAfter w:w="27" w:type="dxa"/>
          <w:trHeight w:val="1350"/>
          <w:jc w:val="center"/>
        </w:trPr>
        <w:tc>
          <w:tcPr>
            <w:tcW w:w="3134" w:type="dxa"/>
            <w:gridSpan w:val="4"/>
            <w:shd w:val="clear" w:color="auto" w:fill="auto"/>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2.3.7 Увођење интегрисаног система управљања тарифом (ITMS)</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tc>
        <w:tc>
          <w:tcPr>
            <w:tcW w:w="1719"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auto" w:fill="auto"/>
            <w:vAlign w:val="bottom"/>
          </w:tcPr>
          <w:p w:rsidR="00AE3C4E" w:rsidRPr="0081082A" w:rsidRDefault="00AE3C4E" w:rsidP="00310BEC">
            <w:pPr>
              <w:tabs>
                <w:tab w:val="left" w:pos="9923"/>
              </w:tabs>
              <w:spacing w:after="0" w:line="240" w:lineRule="auto"/>
              <w:rPr>
                <w:rFonts w:eastAsia="Times New Roman"/>
                <w:strike/>
                <w:sz w:val="16"/>
                <w:szCs w:val="16"/>
                <w:lang w:val="sr-Cyrl-RS" w:eastAsia="en-GB"/>
              </w:rPr>
            </w:pP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152.000*</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152.000*</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152.000*</w:t>
            </w:r>
          </w:p>
        </w:tc>
      </w:tr>
      <w:tr w:rsidR="00AE3C4E" w:rsidRPr="0081082A" w:rsidTr="00310BEC">
        <w:trPr>
          <w:gridAfter w:val="2"/>
          <w:wAfter w:w="27" w:type="dxa"/>
          <w:trHeight w:val="1127"/>
          <w:jc w:val="center"/>
        </w:trPr>
        <w:tc>
          <w:tcPr>
            <w:tcW w:w="3134" w:type="dxa"/>
            <w:gridSpan w:val="4"/>
            <w:shd w:val="clear" w:color="auto" w:fill="auto"/>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2.3.8 Набавка складишта за чување царинских података (data warehouse)</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2024</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царина</w:t>
            </w:r>
          </w:p>
        </w:tc>
        <w:tc>
          <w:tcPr>
            <w:tcW w:w="1719"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Министарство  финансија</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auto" w:fill="auto"/>
            <w:vAlign w:val="bottom"/>
          </w:tcPr>
          <w:p w:rsidR="00AE3C4E" w:rsidRPr="0081082A" w:rsidRDefault="00AE3C4E" w:rsidP="00310BEC">
            <w:pPr>
              <w:tabs>
                <w:tab w:val="left" w:pos="9923"/>
              </w:tabs>
              <w:spacing w:after="0" w:line="240" w:lineRule="auto"/>
              <w:jc w:val="center"/>
              <w:rPr>
                <w:rFonts w:eastAsia="Times New Roman"/>
                <w:strike/>
                <w:sz w:val="16"/>
                <w:szCs w:val="16"/>
                <w:lang w:val="sr-Cyrl-RS" w:eastAsia="en-GB"/>
              </w:rPr>
            </w:pP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100.000*</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100.000*</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100.000*</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1F4E79" w:themeColor="accent1" w:themeShade="80"/>
                <w:sz w:val="18"/>
                <w:szCs w:val="18"/>
                <w:lang w:val="sr-Cyrl-RS" w:eastAsia="en-GB"/>
              </w:rPr>
            </w:pPr>
            <w:bookmarkStart w:id="91" w:name="_Toc73613666"/>
            <w:r w:rsidRPr="0081082A">
              <w:rPr>
                <w:rFonts w:eastAsia="Times New Roman"/>
                <w:b/>
                <w:i/>
                <w:color w:val="1F4E79" w:themeColor="accent1" w:themeShade="80"/>
                <w:sz w:val="18"/>
                <w:szCs w:val="18"/>
                <w:lang w:val="sr-Cyrl-RS" w:eastAsia="en-GB"/>
              </w:rPr>
              <w:t>Мера 2.4: Ефикасно управљање јавним дугом</w:t>
            </w:r>
            <w:bookmarkEnd w:id="91"/>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92" w:name="_Toc73613667"/>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D55E20" w:rsidRPr="0081082A">
              <w:rPr>
                <w:rFonts w:eastAsia="Times New Roman"/>
                <w:b/>
                <w:i/>
                <w:color w:val="365F91"/>
                <w:sz w:val="18"/>
                <w:szCs w:val="18"/>
                <w:lang w:val="sr-Cyrl-RS" w:eastAsia="en-GB"/>
              </w:rPr>
              <w:t>мере: Министарство</w:t>
            </w:r>
            <w:r w:rsidRPr="0081082A">
              <w:rPr>
                <w:rFonts w:eastAsia="Times New Roman"/>
                <w:b/>
                <w:i/>
                <w:color w:val="365F91"/>
                <w:sz w:val="18"/>
                <w:szCs w:val="18"/>
                <w:lang w:val="sr-Cyrl-RS" w:eastAsia="en-GB"/>
              </w:rPr>
              <w:t xml:space="preserve"> финансија- Управа за јавни дуг</w:t>
            </w:r>
            <w:bookmarkEnd w:id="92"/>
          </w:p>
        </w:tc>
      </w:tr>
      <w:tr w:rsidR="00AE3C4E" w:rsidRPr="0081082A" w:rsidTr="00310BEC">
        <w:trPr>
          <w:trHeight w:val="289"/>
          <w:jc w:val="center"/>
        </w:trPr>
        <w:tc>
          <w:tcPr>
            <w:tcW w:w="7994" w:type="dxa"/>
            <w:gridSpan w:val="20"/>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93" w:name="_Toc73613668"/>
            <w:r w:rsidRPr="0081082A">
              <w:rPr>
                <w:rFonts w:eastAsia="Times New Roman"/>
                <w:b/>
                <w:i/>
                <w:color w:val="365F91"/>
                <w:sz w:val="18"/>
                <w:szCs w:val="18"/>
                <w:lang w:val="sr-Cyrl-RS" w:eastAsia="en-GB"/>
              </w:rPr>
              <w:t>Период спровођења: 2022-2024</w:t>
            </w:r>
            <w:bookmarkEnd w:id="93"/>
          </w:p>
        </w:tc>
        <w:tc>
          <w:tcPr>
            <w:tcW w:w="8021" w:type="dxa"/>
            <w:gridSpan w:val="4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94" w:name="_Toc73613669"/>
            <w:r w:rsidRPr="0081082A">
              <w:rPr>
                <w:rFonts w:eastAsia="Times New Roman"/>
                <w:b/>
                <w:i/>
                <w:color w:val="365F91"/>
                <w:sz w:val="18"/>
                <w:szCs w:val="18"/>
                <w:lang w:val="sr-Cyrl-RS" w:eastAsia="en-GB"/>
              </w:rPr>
              <w:t>Тип мере: Институционално управљачко организациона</w:t>
            </w:r>
            <w:bookmarkEnd w:id="94"/>
          </w:p>
        </w:tc>
      </w:tr>
      <w:tr w:rsidR="00AE3C4E" w:rsidRPr="0081082A" w:rsidTr="00310BEC">
        <w:trPr>
          <w:gridAfter w:val="1"/>
          <w:wAfter w:w="6" w:type="dxa"/>
          <w:trHeight w:val="48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D55E20"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060"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2021</w:t>
            </w:r>
          </w:p>
        </w:tc>
        <w:tc>
          <w:tcPr>
            <w:tcW w:w="1069"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2022</w:t>
            </w:r>
          </w:p>
        </w:tc>
        <w:tc>
          <w:tcPr>
            <w:tcW w:w="1060"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9"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1140"/>
          <w:jc w:val="center"/>
        </w:trPr>
        <w:tc>
          <w:tcPr>
            <w:tcW w:w="3134" w:type="dxa"/>
            <w:gridSpan w:val="4"/>
            <w:shd w:val="clear" w:color="auto" w:fill="auto"/>
            <w:vAlign w:val="center"/>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b/>
                <w:iCs/>
                <w:color w:val="FFFFFF"/>
                <w:lang w:val="sr-Cyrl-RS"/>
              </w:rPr>
              <w:t>Учешће дуга у домаћој валути у</w:t>
            </w:r>
          </w:p>
          <w:p w:rsidR="00AE3C4E"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Учешће дуга у домаћој валути у укупном јавном дугу - централни ниво власти</w:t>
            </w:r>
          </w:p>
          <w:p w:rsidR="00550DC0" w:rsidRDefault="00550DC0" w:rsidP="00310BEC">
            <w:pPr>
              <w:tabs>
                <w:tab w:val="left" w:pos="9923"/>
              </w:tabs>
              <w:spacing w:after="0" w:line="240" w:lineRule="auto"/>
              <w:rPr>
                <w:rFonts w:eastAsia="Times New Roman"/>
                <w:sz w:val="16"/>
                <w:szCs w:val="16"/>
                <w:lang w:val="sr-Cyrl-RS" w:eastAsia="en-GB"/>
              </w:rPr>
            </w:pPr>
          </w:p>
          <w:p w:rsidR="00550DC0" w:rsidRPr="0081082A" w:rsidRDefault="00550DC0" w:rsidP="00310BEC">
            <w:pPr>
              <w:tabs>
                <w:tab w:val="left" w:pos="9923"/>
              </w:tabs>
              <w:spacing w:after="0" w:line="240" w:lineRule="auto"/>
              <w:rPr>
                <w:rFonts w:eastAsia="Times New Roman"/>
                <w:color w:val="000000"/>
                <w:sz w:val="16"/>
                <w:szCs w:val="16"/>
                <w:lang w:val="sr-Cyrl-RS" w:eastAsia="en-GB"/>
              </w:rPr>
            </w:pP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Квартални извештаји Управе за јавни дуг</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30,5</w:t>
            </w:r>
            <w:r w:rsidRPr="0081082A">
              <w:rPr>
                <w:rFonts w:eastAsia="Times New Roman"/>
                <w:color w:val="000000"/>
                <w:sz w:val="16"/>
                <w:szCs w:val="16"/>
                <w:lang w:val="sr-Cyrl-RS" w:eastAsia="en-GB"/>
              </w:rPr>
              <w:t>%</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31</w:t>
            </w:r>
            <w:r w:rsidRPr="0081082A">
              <w:rPr>
                <w:rFonts w:eastAsia="Times New Roman"/>
                <w:color w:val="000000"/>
                <w:sz w:val="16"/>
                <w:szCs w:val="16"/>
                <w:lang w:val="sr-Cyrl-RS" w:eastAsia="en-GB"/>
              </w:rPr>
              <w:t>%</w:t>
            </w:r>
          </w:p>
        </w:tc>
        <w:tc>
          <w:tcPr>
            <w:tcW w:w="1069"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32</w:t>
            </w:r>
            <w:r w:rsidRPr="0081082A">
              <w:rPr>
                <w:rFonts w:eastAsia="Times New Roman"/>
                <w:color w:val="000000"/>
                <w:sz w:val="16"/>
                <w:szCs w:val="16"/>
                <w:lang w:val="sr-Cyrl-RS" w:eastAsia="en-GB"/>
              </w:rPr>
              <w:t>%</w:t>
            </w:r>
          </w:p>
        </w:tc>
        <w:tc>
          <w:tcPr>
            <w:tcW w:w="1060"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33</w:t>
            </w:r>
            <w:r w:rsidRPr="0081082A">
              <w:rPr>
                <w:rFonts w:eastAsia="Times New Roman"/>
                <w:color w:val="000000"/>
                <w:sz w:val="16"/>
                <w:szCs w:val="16"/>
                <w:lang w:val="sr-Cyrl-RS" w:eastAsia="en-GB"/>
              </w:rPr>
              <w:t>%</w:t>
            </w:r>
          </w:p>
        </w:tc>
        <w:tc>
          <w:tcPr>
            <w:tcW w:w="1055"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34</w:t>
            </w:r>
            <w:r w:rsidRPr="0081082A">
              <w:rPr>
                <w:rFonts w:eastAsia="Times New Roman"/>
                <w:color w:val="000000"/>
                <w:sz w:val="16"/>
                <w:szCs w:val="16"/>
                <w:lang w:val="sr-Cyrl-RS" w:eastAsia="en-GB"/>
              </w:rPr>
              <w:t>%</w:t>
            </w:r>
          </w:p>
        </w:tc>
        <w:tc>
          <w:tcPr>
            <w:tcW w:w="110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35</w:t>
            </w:r>
            <w:r w:rsidRPr="0081082A">
              <w:rPr>
                <w:rFonts w:eastAsia="Times New Roman"/>
                <w:color w:val="000000"/>
                <w:sz w:val="16"/>
                <w:szCs w:val="16"/>
                <w:lang w:val="sr-Cyrl-RS" w:eastAsia="en-GB"/>
              </w:rPr>
              <w:t>%</w:t>
            </w:r>
          </w:p>
        </w:tc>
      </w:tr>
      <w:tr w:rsidR="00AE3C4E" w:rsidRPr="0081082A" w:rsidTr="00310BEC">
        <w:trPr>
          <w:gridAfter w:val="2"/>
          <w:wAfter w:w="27" w:type="dxa"/>
          <w:trHeight w:val="300"/>
          <w:jc w:val="center"/>
        </w:trPr>
        <w:tc>
          <w:tcPr>
            <w:tcW w:w="3134"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Назив активности:</w:t>
            </w:r>
          </w:p>
        </w:tc>
        <w:tc>
          <w:tcPr>
            <w:tcW w:w="1639"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Институција одговорна за спровођење</w:t>
            </w:r>
          </w:p>
        </w:tc>
        <w:tc>
          <w:tcPr>
            <w:tcW w:w="1719" w:type="dxa"/>
            <w:gridSpan w:val="6"/>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240" w:type="dxa"/>
            <w:gridSpan w:val="4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по изворима у 000 дин.</w:t>
            </w:r>
          </w:p>
        </w:tc>
      </w:tr>
      <w:tr w:rsidR="00AE3C4E" w:rsidRPr="0081082A" w:rsidTr="00310BEC">
        <w:trPr>
          <w:gridAfter w:val="2"/>
          <w:wAfter w:w="27" w:type="dxa"/>
          <w:trHeight w:val="465"/>
          <w:jc w:val="center"/>
        </w:trPr>
        <w:tc>
          <w:tcPr>
            <w:tcW w:w="3134"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19" w:type="dxa"/>
            <w:gridSpan w:val="6"/>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84" w:type="dxa"/>
            <w:gridSpan w:val="11"/>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24"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060" w:type="dxa"/>
            <w:gridSpan w:val="6"/>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56"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54"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4"/>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1260"/>
          <w:jc w:val="center"/>
        </w:trPr>
        <w:tc>
          <w:tcPr>
            <w:tcW w:w="3134" w:type="dxa"/>
            <w:gridSpan w:val="4"/>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2.4.1 Јачање средњорочне стратегије управљања јавним дугом израдом  модела за управљање ризицима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2022</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јавни дуг</w:t>
            </w:r>
          </w:p>
        </w:tc>
        <w:tc>
          <w:tcPr>
            <w:tcW w:w="1719" w:type="dxa"/>
            <w:gridSpan w:val="6"/>
            <w:shd w:val="clear" w:color="auto" w:fill="auto"/>
            <w:vAlign w:val="center"/>
            <w:hideMark/>
          </w:tcPr>
          <w:p w:rsidR="00AE3C4E" w:rsidRPr="0081082A" w:rsidRDefault="0018051D"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color w:val="000000"/>
                <w:sz w:val="16"/>
                <w:szCs w:val="16"/>
                <w:lang w:val="sr-Cyrl-RS" w:eastAsia="en-GB"/>
              </w:rPr>
              <w:t>„Подршка Министарству финансија за спровођење секторског реформског уговора</w:t>
            </w:r>
            <w:r w:rsidR="007E728E" w:rsidRPr="0081082A">
              <w:rPr>
                <w:rFonts w:eastAsia="Times New Roman"/>
                <w:color w:val="000000"/>
                <w:sz w:val="16"/>
                <w:szCs w:val="16"/>
                <w:lang w:val="sr-Cyrl-RS" w:eastAsia="en-GB"/>
              </w:rPr>
              <w:t>”</w:t>
            </w: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14.900</w:t>
            </w:r>
          </w:p>
        </w:tc>
        <w:tc>
          <w:tcPr>
            <w:tcW w:w="1069"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w:t>
            </w:r>
          </w:p>
        </w:tc>
        <w:tc>
          <w:tcPr>
            <w:tcW w:w="1060"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2" w:type="dxa"/>
            <w:gridSpan w:val="10"/>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81"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724"/>
          <w:jc w:val="center"/>
        </w:trPr>
        <w:tc>
          <w:tcPr>
            <w:tcW w:w="3134" w:type="dxa"/>
            <w:gridSpan w:val="4"/>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2.4.2 Спровођење пилот пројекта за увођење система примарних дилера и даљи развој домаћег тржишта обвезница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2024</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јавни дуг</w:t>
            </w:r>
          </w:p>
        </w:tc>
        <w:tc>
          <w:tcPr>
            <w:tcW w:w="1719" w:type="dxa"/>
            <w:gridSpan w:val="6"/>
            <w:shd w:val="clear" w:color="auto" w:fill="auto"/>
            <w:vAlign w:val="center"/>
            <w:hideMark/>
          </w:tcPr>
          <w:p w:rsidR="00AE3C4E" w:rsidRPr="0081082A" w:rsidRDefault="0018051D"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br/>
              <w:t>Донаторска средства</w:t>
            </w:r>
            <w:r w:rsidRPr="0081082A">
              <w:rPr>
                <w:rFonts w:eastAsia="Times New Roman"/>
                <w:sz w:val="16"/>
                <w:szCs w:val="16"/>
                <w:lang w:val="sr-Cyrl-RS" w:eastAsia="en-GB"/>
              </w:rPr>
              <w:br/>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24" w:type="dxa"/>
            <w:gridSpan w:val="3"/>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9"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w:t>
            </w:r>
          </w:p>
        </w:tc>
        <w:tc>
          <w:tcPr>
            <w:tcW w:w="1062" w:type="dxa"/>
            <w:gridSpan w:val="10"/>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81"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915"/>
          <w:jc w:val="center"/>
        </w:trPr>
        <w:tc>
          <w:tcPr>
            <w:tcW w:w="3134" w:type="dxa"/>
            <w:gridSpan w:val="4"/>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2.4.3 Надоградња постојећег информационог система (PDMS) – употребом алата пословне интелигенције, ради унапређења извештавања</w:t>
            </w:r>
          </w:p>
        </w:tc>
        <w:tc>
          <w:tcPr>
            <w:tcW w:w="163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5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јавни дуг</w:t>
            </w:r>
          </w:p>
        </w:tc>
        <w:tc>
          <w:tcPr>
            <w:tcW w:w="1719" w:type="dxa"/>
            <w:gridSpan w:val="6"/>
            <w:shd w:val="clear" w:color="auto" w:fill="auto"/>
            <w:vAlign w:val="center"/>
            <w:hideMark/>
          </w:tcPr>
          <w:p w:rsidR="00AE3C4E" w:rsidRPr="0081082A" w:rsidRDefault="0018051D"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9" w:type="dxa"/>
            <w:gridSpan w:val="9"/>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0"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62" w:type="dxa"/>
            <w:gridSpan w:val="10"/>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81"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15.000*</w:t>
            </w:r>
          </w:p>
        </w:tc>
      </w:tr>
      <w:tr w:rsidR="00AE3C4E" w:rsidRPr="0081082A" w:rsidTr="00310BEC">
        <w:trPr>
          <w:gridAfter w:val="2"/>
          <w:wAfter w:w="27" w:type="dxa"/>
          <w:trHeight w:val="915"/>
          <w:jc w:val="center"/>
        </w:trPr>
        <w:tc>
          <w:tcPr>
            <w:tcW w:w="3134" w:type="dxa"/>
            <w:gridSpan w:val="4"/>
            <w:shd w:val="clear" w:color="auto" w:fill="auto"/>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2.4.4 Надоградња постојећег информационог система (PDMS) развијеним модулом за управљање ризицима.</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2024</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јавни дуг</w:t>
            </w:r>
          </w:p>
        </w:tc>
        <w:tc>
          <w:tcPr>
            <w:tcW w:w="1719" w:type="dxa"/>
            <w:gridSpan w:val="6"/>
            <w:shd w:val="clear" w:color="auto" w:fill="auto"/>
            <w:vAlign w:val="center"/>
          </w:tcPr>
          <w:p w:rsidR="00AE3C4E" w:rsidRPr="0081082A" w:rsidRDefault="0018051D"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000000" w:fill="FFFFFF"/>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9"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0"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24.000*</w:t>
            </w:r>
          </w:p>
        </w:tc>
        <w:tc>
          <w:tcPr>
            <w:tcW w:w="1062" w:type="dxa"/>
            <w:gridSpan w:val="10"/>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24.000*</w:t>
            </w:r>
          </w:p>
        </w:tc>
        <w:tc>
          <w:tcPr>
            <w:tcW w:w="1081"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95" w:name="_Toc73613670"/>
            <w:r w:rsidRPr="0081082A">
              <w:rPr>
                <w:rFonts w:eastAsia="Times New Roman"/>
                <w:b/>
                <w:i/>
                <w:color w:val="365F91"/>
                <w:sz w:val="18"/>
                <w:szCs w:val="18"/>
                <w:lang w:val="sr-Cyrl-RS" w:eastAsia="en-GB"/>
              </w:rPr>
              <w:t>Мера 2.5: Унапређење електронског система јавних набавки</w:t>
            </w:r>
            <w:bookmarkEnd w:id="95"/>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96" w:name="_Toc73613671"/>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D55E20" w:rsidRPr="0081082A">
              <w:rPr>
                <w:rFonts w:eastAsia="Times New Roman"/>
                <w:b/>
                <w:i/>
                <w:color w:val="365F91"/>
                <w:sz w:val="18"/>
                <w:szCs w:val="18"/>
                <w:lang w:val="sr-Cyrl-RS" w:eastAsia="en-GB"/>
              </w:rPr>
              <w:t>мере: Канцеларија</w:t>
            </w:r>
            <w:r w:rsidRPr="0081082A">
              <w:rPr>
                <w:rFonts w:eastAsia="Times New Roman"/>
                <w:b/>
                <w:i/>
                <w:color w:val="365F91"/>
                <w:sz w:val="18"/>
                <w:szCs w:val="18"/>
                <w:lang w:val="sr-Cyrl-RS" w:eastAsia="en-GB"/>
              </w:rPr>
              <w:t xml:space="preserve"> за јавне набавке</w:t>
            </w:r>
            <w:bookmarkEnd w:id="96"/>
          </w:p>
        </w:tc>
      </w:tr>
      <w:tr w:rsidR="00AE3C4E" w:rsidRPr="0081082A" w:rsidTr="00310BEC">
        <w:trPr>
          <w:trHeight w:val="289"/>
          <w:jc w:val="center"/>
        </w:trPr>
        <w:tc>
          <w:tcPr>
            <w:tcW w:w="7994" w:type="dxa"/>
            <w:gridSpan w:val="20"/>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97" w:name="_Toc73613672"/>
            <w:r w:rsidRPr="0081082A">
              <w:rPr>
                <w:rFonts w:eastAsia="Times New Roman"/>
                <w:b/>
                <w:i/>
                <w:color w:val="365F91"/>
                <w:sz w:val="18"/>
                <w:szCs w:val="18"/>
                <w:lang w:val="sr-Cyrl-RS" w:eastAsia="en-GB"/>
              </w:rPr>
              <w:t>Период спровођења: 2021-2025</w:t>
            </w:r>
            <w:bookmarkEnd w:id="97"/>
          </w:p>
        </w:tc>
        <w:tc>
          <w:tcPr>
            <w:tcW w:w="8021" w:type="dxa"/>
            <w:gridSpan w:val="4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98" w:name="_Toc73613673"/>
            <w:r w:rsidRPr="0081082A">
              <w:rPr>
                <w:rFonts w:eastAsia="Times New Roman"/>
                <w:b/>
                <w:i/>
                <w:color w:val="365F91"/>
                <w:sz w:val="18"/>
                <w:szCs w:val="18"/>
                <w:lang w:val="sr-Cyrl-RS" w:eastAsia="en-GB"/>
              </w:rPr>
              <w:t>Тип мере: Институционално управљачко организациона</w:t>
            </w:r>
            <w:bookmarkEnd w:id="98"/>
          </w:p>
        </w:tc>
      </w:tr>
      <w:tr w:rsidR="00AE3C4E" w:rsidRPr="0081082A" w:rsidTr="00310BEC">
        <w:trPr>
          <w:gridAfter w:val="1"/>
          <w:wAfter w:w="6" w:type="dxa"/>
          <w:trHeight w:val="450"/>
          <w:jc w:val="center"/>
        </w:trPr>
        <w:tc>
          <w:tcPr>
            <w:tcW w:w="3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D55E20"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2895" w:type="dxa"/>
            <w:gridSpan w:val="7"/>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719"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784" w:type="dxa"/>
            <w:gridSpan w:val="11"/>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24"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060"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69"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60"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2023</w:t>
            </w:r>
          </w:p>
        </w:tc>
        <w:tc>
          <w:tcPr>
            <w:tcW w:w="1055" w:type="dxa"/>
            <w:gridSpan w:val="9"/>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2024</w:t>
            </w:r>
          </w:p>
        </w:tc>
        <w:tc>
          <w:tcPr>
            <w:tcW w:w="1109"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2025</w:t>
            </w:r>
          </w:p>
        </w:tc>
      </w:tr>
      <w:tr w:rsidR="00AE3C4E" w:rsidRPr="0081082A" w:rsidTr="00310BEC">
        <w:trPr>
          <w:gridAfter w:val="1"/>
          <w:wAfter w:w="6" w:type="dxa"/>
          <w:trHeight w:val="692"/>
          <w:jc w:val="center"/>
        </w:trPr>
        <w:tc>
          <w:tcPr>
            <w:tcW w:w="3134" w:type="dxa"/>
            <w:gridSpan w:val="4"/>
            <w:shd w:val="clear" w:color="auto" w:fill="auto"/>
            <w:vAlign w:val="center"/>
            <w:hideMark/>
          </w:tcPr>
          <w:p w:rsidR="00550DC0" w:rsidRDefault="00550DC0" w:rsidP="00310BEC">
            <w:pPr>
              <w:tabs>
                <w:tab w:val="left" w:pos="9923"/>
              </w:tabs>
              <w:spacing w:after="0" w:line="240" w:lineRule="auto"/>
              <w:rPr>
                <w:rFonts w:eastAsia="Times New Roman"/>
                <w:color w:val="000000"/>
                <w:sz w:val="16"/>
                <w:szCs w:val="16"/>
                <w:lang w:val="sr-Cyrl-RS" w:eastAsia="en-GB"/>
              </w:rPr>
            </w:pPr>
          </w:p>
          <w:p w:rsidR="00550DC0" w:rsidRDefault="00550DC0" w:rsidP="00310BEC">
            <w:pPr>
              <w:tabs>
                <w:tab w:val="left" w:pos="9923"/>
              </w:tabs>
              <w:spacing w:after="0" w:line="240" w:lineRule="auto"/>
              <w:rPr>
                <w:rFonts w:eastAsia="Times New Roman"/>
                <w:color w:val="000000"/>
                <w:sz w:val="16"/>
                <w:szCs w:val="16"/>
                <w:lang w:val="sr-Cyrl-RS" w:eastAsia="en-GB"/>
              </w:rPr>
            </w:pPr>
          </w:p>
          <w:p w:rsidR="00550DC0" w:rsidRDefault="00550DC0" w:rsidP="00550DC0">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Број понуда по поступку јавне набавке</w:t>
            </w:r>
          </w:p>
          <w:p w:rsidR="00550DC0" w:rsidRDefault="00550DC0" w:rsidP="00310BEC">
            <w:pPr>
              <w:tabs>
                <w:tab w:val="left" w:pos="9923"/>
              </w:tabs>
              <w:spacing w:after="0" w:line="240" w:lineRule="auto"/>
              <w:rPr>
                <w:rFonts w:eastAsia="Times New Roman"/>
                <w:color w:val="000000"/>
                <w:sz w:val="16"/>
                <w:szCs w:val="16"/>
                <w:lang w:val="sr-Cyrl-RS" w:eastAsia="en-GB"/>
              </w:rPr>
            </w:pPr>
          </w:p>
          <w:p w:rsidR="00550DC0" w:rsidRPr="0081082A" w:rsidRDefault="00550DC0" w:rsidP="00310BEC">
            <w:pPr>
              <w:tabs>
                <w:tab w:val="left" w:pos="9923"/>
              </w:tabs>
              <w:spacing w:after="0" w:line="240" w:lineRule="auto"/>
              <w:rPr>
                <w:rFonts w:eastAsia="Times New Roman"/>
                <w:color w:val="000000"/>
                <w:sz w:val="16"/>
                <w:szCs w:val="16"/>
                <w:lang w:val="sr-Cyrl-RS" w:eastAsia="en-GB"/>
              </w:rPr>
            </w:pPr>
          </w:p>
        </w:tc>
        <w:tc>
          <w:tcPr>
            <w:tcW w:w="2895"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19"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Годишњи извештај о јавним набавкама</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2,5</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24"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2019</w:t>
            </w:r>
          </w:p>
        </w:tc>
        <w:tc>
          <w:tcPr>
            <w:tcW w:w="106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2,7</w:t>
            </w:r>
          </w:p>
        </w:tc>
        <w:tc>
          <w:tcPr>
            <w:tcW w:w="1069"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2,8</w:t>
            </w:r>
          </w:p>
        </w:tc>
        <w:tc>
          <w:tcPr>
            <w:tcW w:w="1060"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2,9</w:t>
            </w:r>
          </w:p>
        </w:tc>
        <w:tc>
          <w:tcPr>
            <w:tcW w:w="1055" w:type="dxa"/>
            <w:gridSpan w:val="9"/>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w:t>
            </w:r>
          </w:p>
        </w:tc>
        <w:tc>
          <w:tcPr>
            <w:tcW w:w="1109"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3,1</w:t>
            </w:r>
          </w:p>
        </w:tc>
      </w:tr>
      <w:tr w:rsidR="00AE3C4E" w:rsidRPr="0081082A" w:rsidTr="00310BEC">
        <w:trPr>
          <w:gridAfter w:val="2"/>
          <w:wAfter w:w="27" w:type="dxa"/>
          <w:trHeight w:val="300"/>
          <w:jc w:val="center"/>
        </w:trPr>
        <w:tc>
          <w:tcPr>
            <w:tcW w:w="3134"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Назив активности:</w:t>
            </w:r>
          </w:p>
        </w:tc>
        <w:tc>
          <w:tcPr>
            <w:tcW w:w="1639" w:type="dxa"/>
            <w:gridSpan w:val="4"/>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Институција одговорна за спровођење</w:t>
            </w:r>
          </w:p>
        </w:tc>
        <w:tc>
          <w:tcPr>
            <w:tcW w:w="1719" w:type="dxa"/>
            <w:gridSpan w:val="6"/>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240" w:type="dxa"/>
            <w:gridSpan w:val="4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по изворима у 000 дин.</w:t>
            </w:r>
          </w:p>
        </w:tc>
      </w:tr>
      <w:tr w:rsidR="00AE3C4E" w:rsidRPr="0081082A" w:rsidTr="00310BEC">
        <w:trPr>
          <w:gridAfter w:val="2"/>
          <w:wAfter w:w="27" w:type="dxa"/>
          <w:trHeight w:val="585"/>
          <w:jc w:val="center"/>
        </w:trPr>
        <w:tc>
          <w:tcPr>
            <w:tcW w:w="3134"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19" w:type="dxa"/>
            <w:gridSpan w:val="6"/>
            <w:vMerge/>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p>
        </w:tc>
        <w:tc>
          <w:tcPr>
            <w:tcW w:w="1784" w:type="dxa"/>
            <w:gridSpan w:val="11"/>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24"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060" w:type="dxa"/>
            <w:gridSpan w:val="6"/>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056"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054"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055" w:type="dxa"/>
            <w:gridSpan w:val="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4"/>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2"/>
          <w:wAfter w:w="27" w:type="dxa"/>
          <w:trHeight w:val="813"/>
          <w:jc w:val="center"/>
        </w:trPr>
        <w:tc>
          <w:tcPr>
            <w:tcW w:w="3134" w:type="dxa"/>
            <w:gridSpan w:val="4"/>
            <w:vMerge w:val="restart"/>
            <w:shd w:val="clear" w:color="auto" w:fill="auto"/>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2.5.1 Надоградња Портала јавних набавки новим функционалностима</w:t>
            </w:r>
          </w:p>
        </w:tc>
        <w:tc>
          <w:tcPr>
            <w:tcW w:w="1639" w:type="dxa"/>
            <w:gridSpan w:val="4"/>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2025</w:t>
            </w:r>
          </w:p>
        </w:tc>
        <w:tc>
          <w:tcPr>
            <w:tcW w:w="1256"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Канцеларија за јавне набавке</w:t>
            </w:r>
          </w:p>
        </w:tc>
        <w:tc>
          <w:tcPr>
            <w:tcW w:w="1719" w:type="dxa"/>
            <w:gridSpan w:val="6"/>
            <w:vMerge w:val="restart"/>
            <w:shd w:val="clear" w:color="auto" w:fill="auto"/>
            <w:vAlign w:val="center"/>
            <w:hideMark/>
          </w:tcPr>
          <w:p w:rsidR="00AE3C4E" w:rsidRPr="0081082A" w:rsidRDefault="0018051D"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tc>
        <w:tc>
          <w:tcPr>
            <w:tcW w:w="1124"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0612 – програм</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7003-пројекат</w:t>
            </w:r>
          </w:p>
        </w:tc>
        <w:tc>
          <w:tcPr>
            <w:tcW w:w="1060" w:type="dxa"/>
            <w:gridSpan w:val="6"/>
            <w:shd w:val="clear" w:color="auto" w:fill="auto"/>
            <w:noWrap/>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2.400</w:t>
            </w:r>
          </w:p>
        </w:tc>
        <w:tc>
          <w:tcPr>
            <w:tcW w:w="1056"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1054" w:type="dxa"/>
            <w:gridSpan w:val="8"/>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1055" w:type="dxa"/>
            <w:gridSpan w:val="9"/>
            <w:shd w:val="clear" w:color="auto" w:fill="auto"/>
            <w:noWrap/>
            <w:vAlign w:val="center"/>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1107"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r>
      <w:tr w:rsidR="00AE3C4E" w:rsidRPr="0081082A" w:rsidTr="00310BEC">
        <w:trPr>
          <w:gridAfter w:val="2"/>
          <w:wAfter w:w="27" w:type="dxa"/>
          <w:trHeight w:val="682"/>
          <w:jc w:val="center"/>
        </w:trPr>
        <w:tc>
          <w:tcPr>
            <w:tcW w:w="3134" w:type="dxa"/>
            <w:gridSpan w:val="4"/>
            <w:vMerge/>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p>
        </w:tc>
        <w:tc>
          <w:tcPr>
            <w:tcW w:w="1639" w:type="dxa"/>
            <w:gridSpan w:val="4"/>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25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19" w:type="dxa"/>
            <w:gridSpan w:val="6"/>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Међународна помоћ - ИПА 2013 (ГИЗ)</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„Подршка даљем унапређењу система јавних набавки у Србији</w:t>
            </w:r>
            <w:r w:rsidR="007E728E"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помоћ</w:t>
            </w:r>
          </w:p>
        </w:tc>
        <w:tc>
          <w:tcPr>
            <w:tcW w:w="1124"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0" w:type="dxa"/>
            <w:gridSpan w:val="6"/>
            <w:shd w:val="clear" w:color="auto" w:fill="auto"/>
            <w:noWrap/>
            <w:vAlign w:val="bottom"/>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24.000</w:t>
            </w:r>
          </w:p>
        </w:tc>
        <w:tc>
          <w:tcPr>
            <w:tcW w:w="1056" w:type="dxa"/>
            <w:gridSpan w:val="8"/>
            <w:shd w:val="clear" w:color="auto" w:fill="auto"/>
            <w:noWrap/>
            <w:vAlign w:val="bottom"/>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36.000*</w:t>
            </w:r>
          </w:p>
        </w:tc>
        <w:tc>
          <w:tcPr>
            <w:tcW w:w="1054" w:type="dxa"/>
            <w:gridSpan w:val="8"/>
            <w:shd w:val="clear" w:color="auto" w:fill="auto"/>
            <w:noWrap/>
            <w:vAlign w:val="bottom"/>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36.000*</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36.000*</w:t>
            </w:r>
          </w:p>
        </w:tc>
        <w:tc>
          <w:tcPr>
            <w:tcW w:w="1107" w:type="dxa"/>
            <w:gridSpan w:val="4"/>
            <w:shd w:val="clear" w:color="auto" w:fill="auto"/>
            <w:noWrap/>
            <w:vAlign w:val="bottom"/>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36.000*</w:t>
            </w:r>
          </w:p>
        </w:tc>
      </w:tr>
      <w:tr w:rsidR="00AE3C4E" w:rsidRPr="0081082A" w:rsidTr="00310BEC">
        <w:trPr>
          <w:gridAfter w:val="2"/>
          <w:wAfter w:w="27" w:type="dxa"/>
          <w:trHeight w:val="585"/>
          <w:jc w:val="center"/>
        </w:trPr>
        <w:tc>
          <w:tcPr>
            <w:tcW w:w="3134" w:type="dxa"/>
            <w:gridSpan w:val="4"/>
            <w:vMerge w:val="restart"/>
            <w:shd w:val="clear" w:color="auto" w:fill="auto"/>
            <w:hideMark/>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2.5.2 Израда мобилне апликације за Портал јавних набавки</w:t>
            </w:r>
          </w:p>
        </w:tc>
        <w:tc>
          <w:tcPr>
            <w:tcW w:w="1639" w:type="dxa"/>
            <w:gridSpan w:val="4"/>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2021</w:t>
            </w:r>
          </w:p>
        </w:tc>
        <w:tc>
          <w:tcPr>
            <w:tcW w:w="1256"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Канцеларија за јавне набавке</w:t>
            </w:r>
          </w:p>
        </w:tc>
        <w:tc>
          <w:tcPr>
            <w:tcW w:w="1719" w:type="dxa"/>
            <w:gridSpan w:val="6"/>
            <w:vMerge w:val="restart"/>
            <w:shd w:val="clear" w:color="auto" w:fill="auto"/>
            <w:vAlign w:val="center"/>
            <w:hideMark/>
          </w:tcPr>
          <w:p w:rsidR="00AE3C4E" w:rsidRPr="0081082A" w:rsidRDefault="0018051D"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tc>
        <w:tc>
          <w:tcPr>
            <w:tcW w:w="1124"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0612 – програм</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7003-пројекат</w:t>
            </w:r>
          </w:p>
        </w:tc>
        <w:tc>
          <w:tcPr>
            <w:tcW w:w="1060" w:type="dxa"/>
            <w:gridSpan w:val="6"/>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216</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6" w:type="dxa"/>
            <w:gridSpan w:val="8"/>
            <w:vMerge w:val="restart"/>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vMerge w:val="restart"/>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vMerge w:val="restart"/>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vMerge w:val="restart"/>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585"/>
          <w:jc w:val="center"/>
        </w:trPr>
        <w:tc>
          <w:tcPr>
            <w:tcW w:w="3134" w:type="dxa"/>
            <w:gridSpan w:val="4"/>
            <w:vMerge/>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p>
        </w:tc>
        <w:tc>
          <w:tcPr>
            <w:tcW w:w="1639" w:type="dxa"/>
            <w:gridSpan w:val="4"/>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25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19" w:type="dxa"/>
            <w:gridSpan w:val="6"/>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Међународна помоћ - ИПА 2013 (ГИЗ)</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„Подршка даљем унапређењу система јавних набавки у Србији</w:t>
            </w:r>
            <w:r w:rsidR="007E728E" w:rsidRPr="0081082A">
              <w:rPr>
                <w:rFonts w:eastAsia="Times New Roman"/>
                <w:sz w:val="16"/>
                <w:szCs w:val="16"/>
                <w:lang w:val="sr-Cyrl-RS" w:eastAsia="en-GB"/>
              </w:rPr>
              <w:t>”</w:t>
            </w:r>
          </w:p>
        </w:tc>
        <w:tc>
          <w:tcPr>
            <w:tcW w:w="1124"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60" w:type="dxa"/>
            <w:gridSpan w:val="6"/>
            <w:shd w:val="clear" w:color="auto" w:fill="auto"/>
            <w:noWrap/>
            <w:vAlign w:val="bottom"/>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2.160</w:t>
            </w:r>
          </w:p>
        </w:tc>
        <w:tc>
          <w:tcPr>
            <w:tcW w:w="1056" w:type="dxa"/>
            <w:gridSpan w:val="8"/>
            <w:vMerge/>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4" w:type="dxa"/>
            <w:gridSpan w:val="8"/>
            <w:vMerge/>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055" w:type="dxa"/>
            <w:gridSpan w:val="9"/>
            <w:vMerge/>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107" w:type="dxa"/>
            <w:gridSpan w:val="4"/>
            <w:vMerge/>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r>
      <w:tr w:rsidR="00AE3C4E" w:rsidRPr="0081082A" w:rsidTr="00310BEC">
        <w:trPr>
          <w:gridAfter w:val="2"/>
          <w:wAfter w:w="27" w:type="dxa"/>
          <w:trHeight w:val="1020"/>
          <w:jc w:val="center"/>
        </w:trPr>
        <w:tc>
          <w:tcPr>
            <w:tcW w:w="3134" w:type="dxa"/>
            <w:gridSpan w:val="4"/>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2.5.3 Јачање капацитета Канцеларије за јавне набавке</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Q1 2021</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Канцеларија за јавне набавке</w:t>
            </w:r>
          </w:p>
        </w:tc>
        <w:tc>
          <w:tcPr>
            <w:tcW w:w="1719" w:type="dxa"/>
            <w:gridSpan w:val="6"/>
            <w:shd w:val="clear" w:color="auto" w:fill="auto"/>
            <w:vAlign w:val="center"/>
          </w:tcPr>
          <w:p w:rsidR="00AE3C4E" w:rsidRPr="0081082A" w:rsidRDefault="0018051D" w:rsidP="00310BEC">
            <w:pPr>
              <w:tabs>
                <w:tab w:val="left" w:pos="9923"/>
              </w:tabs>
              <w:spacing w:after="0" w:line="240" w:lineRule="auto"/>
              <w:jc w:val="center"/>
              <w:rPr>
                <w:rFonts w:eastAsia="Times New Roman"/>
                <w:i/>
                <w:color w:val="000000"/>
                <w:sz w:val="16"/>
                <w:szCs w:val="16"/>
                <w:lang w:val="sr-Cyrl-RS" w:eastAsia="en-GB"/>
              </w:rPr>
            </w:pPr>
            <w:r w:rsidRPr="0081082A">
              <w:rPr>
                <w:rFonts w:eastAsia="Times New Roman"/>
                <w:i/>
                <w:color w:val="000000"/>
                <w:sz w:val="16"/>
                <w:szCs w:val="16"/>
                <w:lang w:val="sr-Cyrl-RS" w:eastAsia="en-GB"/>
              </w:rPr>
              <w:t>-</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0612-</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програм</w:t>
            </w: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1.800</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1.800</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1.800</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1.800</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1.800</w:t>
            </w:r>
          </w:p>
        </w:tc>
      </w:tr>
      <w:tr w:rsidR="00AE3C4E" w:rsidRPr="0081082A" w:rsidTr="00310BEC">
        <w:trPr>
          <w:gridAfter w:val="2"/>
          <w:wAfter w:w="27" w:type="dxa"/>
          <w:trHeight w:val="843"/>
          <w:jc w:val="center"/>
        </w:trPr>
        <w:tc>
          <w:tcPr>
            <w:tcW w:w="3134" w:type="dxa"/>
            <w:gridSpan w:val="4"/>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2.5.4 Организација обука за наручиоце и понуђаче</w:t>
            </w: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2025</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Канцеларија за јавне набавке</w:t>
            </w:r>
          </w:p>
        </w:tc>
        <w:tc>
          <w:tcPr>
            <w:tcW w:w="1719" w:type="dxa"/>
            <w:gridSpan w:val="6"/>
            <w:shd w:val="clear" w:color="auto" w:fill="auto"/>
            <w:vAlign w:val="center"/>
          </w:tcPr>
          <w:p w:rsidR="00AE3C4E" w:rsidRPr="0081082A" w:rsidRDefault="0018051D"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0612-</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програм</w:t>
            </w: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w:t>
            </w:r>
          </w:p>
        </w:tc>
      </w:tr>
      <w:tr w:rsidR="00AE3C4E" w:rsidRPr="0081082A" w:rsidTr="00310BEC">
        <w:trPr>
          <w:gridAfter w:val="2"/>
          <w:wAfter w:w="27" w:type="dxa"/>
          <w:trHeight w:val="1663"/>
          <w:jc w:val="center"/>
        </w:trPr>
        <w:tc>
          <w:tcPr>
            <w:tcW w:w="3134" w:type="dxa"/>
            <w:gridSpan w:val="4"/>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2.5.5  Израда и усвајање документа јавне политике за развој јавних набавки за период 2024-2028</w:t>
            </w:r>
          </w:p>
          <w:p w:rsidR="00AE3C4E" w:rsidRPr="0081082A" w:rsidRDefault="00AE3C4E" w:rsidP="00310BEC">
            <w:pPr>
              <w:tabs>
                <w:tab w:val="left" w:pos="9923"/>
              </w:tabs>
              <w:spacing w:after="0" w:line="240" w:lineRule="auto"/>
              <w:rPr>
                <w:rFonts w:eastAsia="Times New Roman"/>
                <w:color w:val="000000"/>
                <w:sz w:val="16"/>
                <w:szCs w:val="16"/>
                <w:lang w:val="sr-Cyrl-RS" w:eastAsia="en-GB"/>
              </w:rPr>
            </w:pPr>
          </w:p>
        </w:tc>
        <w:tc>
          <w:tcPr>
            <w:tcW w:w="1639"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Q4 2023</w:t>
            </w:r>
          </w:p>
        </w:tc>
        <w:tc>
          <w:tcPr>
            <w:tcW w:w="125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Канцеларија за јавне набавке</w:t>
            </w:r>
          </w:p>
        </w:tc>
        <w:tc>
          <w:tcPr>
            <w:tcW w:w="1719" w:type="dxa"/>
            <w:gridSpan w:val="6"/>
            <w:shd w:val="clear" w:color="auto" w:fill="auto"/>
            <w:vAlign w:val="center"/>
          </w:tcPr>
          <w:p w:rsidR="00AE3C4E" w:rsidRPr="0081082A" w:rsidRDefault="0018051D"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84" w:type="dxa"/>
            <w:gridSpan w:val="11"/>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 РС</w:t>
            </w:r>
          </w:p>
        </w:tc>
        <w:tc>
          <w:tcPr>
            <w:tcW w:w="1124"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0612-</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програм</w:t>
            </w:r>
          </w:p>
        </w:tc>
        <w:tc>
          <w:tcPr>
            <w:tcW w:w="1060"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6"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4" w:type="dxa"/>
            <w:gridSpan w:val="8"/>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055" w:type="dxa"/>
            <w:gridSpan w:val="9"/>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07"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2"/>
          <w:wAfter w:w="27" w:type="dxa"/>
          <w:trHeight w:val="1663"/>
          <w:jc w:val="center"/>
        </w:trPr>
        <w:tc>
          <w:tcPr>
            <w:tcW w:w="15988" w:type="dxa"/>
            <w:gridSpan w:val="66"/>
            <w:shd w:val="clear" w:color="auto" w:fill="auto"/>
          </w:tcPr>
          <w:tbl>
            <w:tblPr>
              <w:tblpPr w:leftFromText="180" w:rightFromText="180" w:horzAnchor="margin" w:tblpXSpec="center" w:tblpY="-870"/>
              <w:tblOverlap w:val="never"/>
              <w:tblW w:w="16473"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1838"/>
              <w:gridCol w:w="284"/>
              <w:gridCol w:w="387"/>
              <w:gridCol w:w="1597"/>
              <w:gridCol w:w="29"/>
              <w:gridCol w:w="1036"/>
              <w:gridCol w:w="211"/>
              <w:gridCol w:w="687"/>
              <w:gridCol w:w="447"/>
              <w:gridCol w:w="129"/>
              <w:gridCol w:w="1086"/>
              <w:gridCol w:w="6"/>
              <w:gridCol w:w="15"/>
              <w:gridCol w:w="18"/>
              <w:gridCol w:w="22"/>
              <w:gridCol w:w="220"/>
              <w:gridCol w:w="63"/>
              <w:gridCol w:w="173"/>
              <w:gridCol w:w="961"/>
              <w:gridCol w:w="284"/>
              <w:gridCol w:w="567"/>
              <w:gridCol w:w="141"/>
              <w:gridCol w:w="142"/>
              <w:gridCol w:w="284"/>
              <w:gridCol w:w="425"/>
              <w:gridCol w:w="709"/>
              <w:gridCol w:w="850"/>
              <w:gridCol w:w="142"/>
              <w:gridCol w:w="304"/>
              <w:gridCol w:w="546"/>
              <w:gridCol w:w="142"/>
              <w:gridCol w:w="142"/>
              <w:gridCol w:w="425"/>
              <w:gridCol w:w="531"/>
              <w:gridCol w:w="36"/>
              <w:gridCol w:w="1030"/>
              <w:gridCol w:w="77"/>
              <w:gridCol w:w="22"/>
              <w:gridCol w:w="7"/>
              <w:gridCol w:w="130"/>
              <w:gridCol w:w="328"/>
            </w:tblGrid>
            <w:tr w:rsidR="00AE3C4E" w:rsidRPr="0081082A" w:rsidTr="00310BEC">
              <w:trPr>
                <w:gridAfter w:val="2"/>
                <w:wAfter w:w="458" w:type="dxa"/>
                <w:trHeight w:val="289"/>
                <w:jc w:val="center"/>
              </w:trPr>
              <w:tc>
                <w:tcPr>
                  <w:tcW w:w="16015" w:type="dxa"/>
                  <w:gridSpan w:val="39"/>
                  <w:shd w:val="clear" w:color="auto" w:fill="DEEAF6" w:themeFill="accent1" w:themeFillTint="33"/>
                  <w:hideMark/>
                </w:tcPr>
                <w:p w:rsidR="00AE3C4E" w:rsidRPr="0081082A" w:rsidRDefault="00AE3C4E" w:rsidP="00310BEC">
                  <w:pPr>
                    <w:keepNext/>
                    <w:keepLines/>
                    <w:spacing w:after="0" w:line="240" w:lineRule="auto"/>
                    <w:outlineLvl w:val="0"/>
                    <w:rPr>
                      <w:rFonts w:ascii="Times New Roman" w:eastAsia="Times New Roman" w:hAnsi="Times New Roman"/>
                      <w:b/>
                      <w:color w:val="808080"/>
                      <w:lang w:val="sr-Cyrl-RS" w:eastAsia="en-GB"/>
                    </w:rPr>
                  </w:pPr>
                  <w:bookmarkStart w:id="99" w:name="_Toc73613674"/>
                  <w:r w:rsidRPr="0081082A">
                    <w:rPr>
                      <w:rFonts w:eastAsia="Times New Roman"/>
                      <w:b/>
                      <w:color w:val="365F91"/>
                      <w:lang w:val="sr-Cyrl-RS" w:eastAsia="en-GB"/>
                    </w:rPr>
                    <w:lastRenderedPageBreak/>
                    <w:t>ПОСЕБНИ ЦИЉ III:  УНАПРЕЂЕЊЕ БУЏЕТСКЕ ДИСЦИПЛИНЕ И ТРАНСПАРЕНТНИЈЕ КОРИШЋЕЊЕ ЈАВНИХ СРЕДСТАВА</w:t>
                  </w:r>
                  <w:bookmarkEnd w:id="99"/>
                </w:p>
              </w:tc>
            </w:tr>
            <w:tr w:rsidR="00AE3C4E" w:rsidRPr="0081082A" w:rsidTr="00310BEC">
              <w:trPr>
                <w:gridAfter w:val="3"/>
                <w:wAfter w:w="465" w:type="dxa"/>
                <w:trHeight w:val="450"/>
                <w:jc w:val="center"/>
              </w:trPr>
              <w:tc>
                <w:tcPr>
                  <w:tcW w:w="2122"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посебног циља (показатељ исхода)</w:t>
                  </w:r>
                </w:p>
              </w:tc>
              <w:tc>
                <w:tcPr>
                  <w:tcW w:w="3260" w:type="dxa"/>
                  <w:gridSpan w:val="5"/>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2370" w:type="dxa"/>
                  <w:gridSpan w:val="6"/>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457" w:type="dxa"/>
                  <w:gridSpan w:val="6"/>
                  <w:shd w:val="clear" w:color="auto" w:fill="F2F2F2" w:themeFill="background1" w:themeFillShade="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Почетна вредност </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709"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559"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 2022</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29" w:type="dxa"/>
                  <w:gridSpan w:val="3"/>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3"/>
                <w:wAfter w:w="465" w:type="dxa"/>
                <w:trHeight w:val="810"/>
                <w:jc w:val="center"/>
              </w:trPr>
              <w:tc>
                <w:tcPr>
                  <w:tcW w:w="2122"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Просечан број незаконитости и неправилности по контроли у односу на укупан број извршених контрола</w:t>
                  </w:r>
                </w:p>
              </w:tc>
              <w:tc>
                <w:tcPr>
                  <w:tcW w:w="3260"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Број</w:t>
                  </w:r>
                </w:p>
              </w:tc>
              <w:tc>
                <w:tcPr>
                  <w:tcW w:w="237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Годишњи извештај о раду буџетске инспекције</w:t>
                  </w:r>
                </w:p>
              </w:tc>
              <w:tc>
                <w:tcPr>
                  <w:tcW w:w="1457"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w:t>
                  </w: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2020</w:t>
                  </w:r>
                </w:p>
              </w:tc>
              <w:tc>
                <w:tcPr>
                  <w:tcW w:w="709"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w:t>
                  </w:r>
                </w:p>
              </w:tc>
              <w:tc>
                <w:tcPr>
                  <w:tcW w:w="1559"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w:t>
                  </w: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w:t>
                  </w: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w:t>
                  </w:r>
                </w:p>
              </w:tc>
              <w:tc>
                <w:tcPr>
                  <w:tcW w:w="1129"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w:t>
                  </w:r>
                </w:p>
              </w:tc>
            </w:tr>
            <w:tr w:rsidR="00AE3C4E" w:rsidRPr="0081082A" w:rsidTr="00310BEC">
              <w:trPr>
                <w:gridAfter w:val="3"/>
                <w:wAfter w:w="465" w:type="dxa"/>
                <w:trHeight w:val="810"/>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Проценат прихваћених и спроведених препорука које субјектима индиректног управљања средствима ЕУ даје ревизорско тело</w:t>
                  </w:r>
                </w:p>
              </w:tc>
              <w:tc>
                <w:tcPr>
                  <w:tcW w:w="3260"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Проценат (%)</w:t>
                  </w:r>
                </w:p>
              </w:tc>
              <w:tc>
                <w:tcPr>
                  <w:tcW w:w="2370"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Годишњи извештај о ревизији</w:t>
                  </w:r>
                </w:p>
              </w:tc>
              <w:tc>
                <w:tcPr>
                  <w:tcW w:w="1457"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0</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2020</w:t>
                  </w:r>
                </w:p>
              </w:tc>
              <w:tc>
                <w:tcPr>
                  <w:tcW w:w="70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50</w:t>
                  </w:r>
                  <w:r w:rsidRPr="0081082A">
                    <w:rPr>
                      <w:rFonts w:eastAsia="Times New Roman"/>
                      <w:color w:val="000000"/>
                      <w:sz w:val="16"/>
                      <w:szCs w:val="16"/>
                      <w:lang w:val="sr-Cyrl-RS" w:eastAsia="en-GB"/>
                    </w:rPr>
                    <w:t>%</w:t>
                  </w:r>
                </w:p>
              </w:tc>
              <w:tc>
                <w:tcPr>
                  <w:tcW w:w="155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55</w:t>
                  </w:r>
                  <w:r w:rsidRPr="0081082A">
                    <w:rPr>
                      <w:rFonts w:eastAsia="Times New Roman"/>
                      <w:color w:val="000000"/>
                      <w:sz w:val="16"/>
                      <w:szCs w:val="16"/>
                      <w:lang w:val="sr-Cyrl-RS" w:eastAsia="en-GB"/>
                    </w:rPr>
                    <w:t>%</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60</w:t>
                  </w:r>
                  <w:r w:rsidRPr="0081082A">
                    <w:rPr>
                      <w:rFonts w:eastAsia="Times New Roman"/>
                      <w:color w:val="000000"/>
                      <w:sz w:val="16"/>
                      <w:szCs w:val="16"/>
                      <w:lang w:val="sr-Cyrl-RS" w:eastAsia="en-GB"/>
                    </w:rPr>
                    <w:t>%</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65</w:t>
                  </w:r>
                  <w:r w:rsidRPr="0081082A">
                    <w:rPr>
                      <w:rFonts w:eastAsia="Times New Roman"/>
                      <w:color w:val="000000"/>
                      <w:sz w:val="16"/>
                      <w:szCs w:val="16"/>
                      <w:lang w:val="sr-Cyrl-RS" w:eastAsia="en-GB"/>
                    </w:rPr>
                    <w:t>%</w:t>
                  </w:r>
                </w:p>
              </w:tc>
              <w:tc>
                <w:tcPr>
                  <w:tcW w:w="1129"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70</w:t>
                  </w:r>
                  <w:r w:rsidRPr="0081082A">
                    <w:rPr>
                      <w:rFonts w:eastAsia="Times New Roman"/>
                      <w:color w:val="000000"/>
                      <w:sz w:val="16"/>
                      <w:szCs w:val="16"/>
                      <w:lang w:val="sr-Cyrl-RS" w:eastAsia="en-GB"/>
                    </w:rPr>
                    <w:t>%</w:t>
                  </w:r>
                </w:p>
              </w:tc>
            </w:tr>
            <w:tr w:rsidR="00AE3C4E" w:rsidRPr="0081082A" w:rsidTr="00310BEC">
              <w:trPr>
                <w:gridAfter w:val="3"/>
                <w:wAfter w:w="465" w:type="dxa"/>
                <w:trHeight w:val="566"/>
                <w:jc w:val="center"/>
              </w:trPr>
              <w:tc>
                <w:tcPr>
                  <w:tcW w:w="16008" w:type="dxa"/>
                  <w:gridSpan w:val="38"/>
                  <w:shd w:val="clear" w:color="auto" w:fill="F2F2F2" w:themeFill="background1" w:themeFillShade="F2"/>
                  <w:vAlign w:val="center"/>
                </w:tcPr>
                <w:p w:rsidR="00AE3C4E" w:rsidRPr="0081082A" w:rsidRDefault="00AE3C4E" w:rsidP="00310BEC">
                  <w:pPr>
                    <w:keepNext/>
                    <w:keepLines/>
                    <w:spacing w:after="0" w:line="240" w:lineRule="auto"/>
                    <w:outlineLvl w:val="1"/>
                    <w:rPr>
                      <w:rFonts w:ascii="Times New Roman" w:eastAsia="Times New Roman" w:hAnsi="Times New Roman"/>
                      <w:b/>
                      <w:i/>
                      <w:lang w:val="sr-Cyrl-RS" w:eastAsia="en-GB"/>
                    </w:rPr>
                  </w:pPr>
                  <w:bookmarkStart w:id="100" w:name="_Toc73613675"/>
                  <w:r w:rsidRPr="0081082A">
                    <w:rPr>
                      <w:rFonts w:eastAsia="Times New Roman"/>
                      <w:b/>
                      <w:i/>
                      <w:color w:val="365F91"/>
                      <w:sz w:val="18"/>
                      <w:szCs w:val="18"/>
                      <w:lang w:val="sr-Cyrl-RS" w:eastAsia="en-GB"/>
                    </w:rPr>
                    <w:t>Мера 3.1: Формирање базе за јачање институционалних и административних капацитета Канцеларије за ревизију система управљања средствима ЕУ који омогућују делотворну ревизију система контроле ЕУ</w:t>
                  </w:r>
                  <w:bookmarkEnd w:id="100"/>
                </w:p>
              </w:tc>
            </w:tr>
            <w:tr w:rsidR="00AE3C4E" w:rsidRPr="0081082A" w:rsidTr="00310BEC">
              <w:trPr>
                <w:gridAfter w:val="3"/>
                <w:wAfter w:w="465" w:type="dxa"/>
                <w:trHeight w:val="566"/>
                <w:jc w:val="center"/>
              </w:trPr>
              <w:tc>
                <w:tcPr>
                  <w:tcW w:w="16008" w:type="dxa"/>
                  <w:gridSpan w:val="38"/>
                  <w:shd w:val="clear" w:color="auto" w:fill="F2F2F2" w:themeFill="background1" w:themeFillShade="F2"/>
                  <w:vAlign w:val="center"/>
                </w:tcPr>
                <w:p w:rsidR="00AE3C4E" w:rsidRPr="0081082A" w:rsidRDefault="00AE3C4E" w:rsidP="00310BEC">
                  <w:pPr>
                    <w:tabs>
                      <w:tab w:val="left" w:pos="9923"/>
                    </w:tabs>
                    <w:spacing w:after="0" w:line="240" w:lineRule="auto"/>
                    <w:rPr>
                      <w:rFonts w:ascii="Times New Roman" w:eastAsia="Times New Roman" w:hAnsi="Times New Roman"/>
                      <w:b/>
                      <w:i/>
                      <w:color w:val="1F4E79" w:themeColor="accent1" w:themeShade="80"/>
                      <w:lang w:val="sr-Cyrl-RS" w:eastAsia="en-GB"/>
                    </w:rPr>
                  </w:pPr>
                  <w:r w:rsidRPr="0081082A">
                    <w:rPr>
                      <w:rFonts w:ascii="Times New Roman" w:eastAsia="Times New Roman" w:hAnsi="Times New Roman"/>
                      <w:b/>
                      <w:i/>
                      <w:color w:val="365F91"/>
                      <w:lang w:val="sr-Cyrl-RS" w:eastAsia="en-GB"/>
                    </w:rPr>
                    <w:t xml:space="preserve">Институција одговорна за спровођење (координацију спровођења) </w:t>
                  </w:r>
                  <w:r w:rsidR="00D55E20" w:rsidRPr="0081082A">
                    <w:rPr>
                      <w:rFonts w:ascii="Times New Roman" w:eastAsia="Times New Roman" w:hAnsi="Times New Roman"/>
                      <w:b/>
                      <w:i/>
                      <w:color w:val="365F91"/>
                      <w:lang w:val="sr-Cyrl-RS" w:eastAsia="en-GB"/>
                    </w:rPr>
                    <w:t>мере: Канцеларија</w:t>
                  </w:r>
                  <w:r w:rsidRPr="0081082A">
                    <w:rPr>
                      <w:rFonts w:ascii="Times New Roman" w:eastAsia="Times New Roman" w:hAnsi="Times New Roman"/>
                      <w:b/>
                      <w:i/>
                      <w:color w:val="365F91"/>
                      <w:lang w:val="sr-Cyrl-RS" w:eastAsia="en-GB"/>
                    </w:rPr>
                    <w:t xml:space="preserve"> за</w:t>
                  </w:r>
                  <w:r w:rsidRPr="0081082A">
                    <w:rPr>
                      <w:rFonts w:ascii="Times New Roman" w:eastAsia="Times New Roman" w:hAnsi="Times New Roman"/>
                      <w:b/>
                      <w:i/>
                      <w:color w:val="1F4E79" w:themeColor="accent1" w:themeShade="80"/>
                      <w:lang w:val="sr-Cyrl-RS" w:eastAsia="en-GB"/>
                    </w:rPr>
                    <w:t xml:space="preserve"> ревизију система управљања средствима ЕУ</w:t>
                  </w:r>
                </w:p>
              </w:tc>
            </w:tr>
            <w:tr w:rsidR="00AE3C4E" w:rsidRPr="0081082A" w:rsidTr="00310BEC">
              <w:trPr>
                <w:gridAfter w:val="3"/>
                <w:wAfter w:w="465" w:type="dxa"/>
                <w:trHeight w:val="309"/>
                <w:jc w:val="center"/>
              </w:trPr>
              <w:tc>
                <w:tcPr>
                  <w:tcW w:w="10201" w:type="dxa"/>
                  <w:gridSpan w:val="22"/>
                  <w:shd w:val="clear" w:color="auto" w:fill="F2F2F2" w:themeFill="background1" w:themeFillShade="F2"/>
                  <w:vAlign w:val="center"/>
                </w:tcPr>
                <w:p w:rsidR="00AE3C4E" w:rsidRPr="0081082A" w:rsidRDefault="00AE3C4E" w:rsidP="00310BEC">
                  <w:pPr>
                    <w:tabs>
                      <w:tab w:val="left" w:pos="9923"/>
                    </w:tabs>
                    <w:spacing w:after="0" w:line="240" w:lineRule="auto"/>
                    <w:rPr>
                      <w:rFonts w:ascii="Times New Roman" w:eastAsia="Times New Roman" w:hAnsi="Times New Roman"/>
                      <w:b/>
                      <w:i/>
                      <w:color w:val="365F91"/>
                      <w:lang w:val="sr-Cyrl-RS" w:eastAsia="en-GB"/>
                    </w:rPr>
                  </w:pPr>
                  <w:r w:rsidRPr="0081082A">
                    <w:rPr>
                      <w:rFonts w:ascii="Times New Roman" w:eastAsia="Times New Roman" w:hAnsi="Times New Roman"/>
                      <w:b/>
                      <w:i/>
                      <w:color w:val="365F91"/>
                      <w:lang w:val="sr-Cyrl-RS" w:eastAsia="en-GB"/>
                    </w:rPr>
                    <w:t>Период спровођења: 2021-2023</w:t>
                  </w:r>
                </w:p>
              </w:tc>
              <w:tc>
                <w:tcPr>
                  <w:tcW w:w="5807" w:type="dxa"/>
                  <w:gridSpan w:val="16"/>
                  <w:shd w:val="clear" w:color="auto" w:fill="F2F2F2" w:themeFill="background1" w:themeFillShade="F2"/>
                  <w:vAlign w:val="center"/>
                </w:tcPr>
                <w:p w:rsidR="00AE3C4E" w:rsidRPr="0081082A" w:rsidRDefault="00AE3C4E" w:rsidP="00310BEC">
                  <w:pPr>
                    <w:tabs>
                      <w:tab w:val="left" w:pos="9923"/>
                    </w:tabs>
                    <w:spacing w:after="0" w:line="240" w:lineRule="auto"/>
                    <w:rPr>
                      <w:rFonts w:ascii="Times New Roman" w:eastAsia="Times New Roman" w:hAnsi="Times New Roman"/>
                      <w:b/>
                      <w:i/>
                      <w:color w:val="365F91"/>
                      <w:lang w:val="sr-Cyrl-RS" w:eastAsia="en-GB"/>
                    </w:rPr>
                  </w:pPr>
                  <w:r w:rsidRPr="0081082A">
                    <w:rPr>
                      <w:rFonts w:ascii="Times New Roman" w:eastAsia="Times New Roman" w:hAnsi="Times New Roman"/>
                      <w:b/>
                      <w:i/>
                      <w:color w:val="365F91"/>
                      <w:lang w:val="sr-Cyrl-RS" w:eastAsia="en-GB"/>
                    </w:rPr>
                    <w:t>Тип мере: Институционално управљачко организациона</w:t>
                  </w:r>
                </w:p>
              </w:tc>
            </w:tr>
            <w:tr w:rsidR="00AE3C4E" w:rsidRPr="0081082A" w:rsidTr="00310BEC">
              <w:trPr>
                <w:gridAfter w:val="3"/>
                <w:wAfter w:w="465" w:type="dxa"/>
                <w:trHeight w:val="806"/>
                <w:jc w:val="center"/>
              </w:trPr>
              <w:tc>
                <w:tcPr>
                  <w:tcW w:w="2122" w:type="dxa"/>
                  <w:gridSpan w:val="2"/>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D55E20"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3947" w:type="dxa"/>
                  <w:gridSpan w:val="6"/>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Jединица мере</w:t>
                  </w:r>
                </w:p>
              </w:tc>
              <w:tc>
                <w:tcPr>
                  <w:tcW w:w="1701" w:type="dxa"/>
                  <w:gridSpan w:val="6"/>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439" w:type="dxa"/>
                  <w:gridSpan w:val="5"/>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992" w:type="dxa"/>
                  <w:gridSpan w:val="3"/>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851" w:type="dxa"/>
                  <w:gridSpan w:val="3"/>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у 2021</w:t>
                  </w:r>
                </w:p>
              </w:tc>
              <w:tc>
                <w:tcPr>
                  <w:tcW w:w="1559" w:type="dxa"/>
                  <w:gridSpan w:val="2"/>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134" w:type="dxa"/>
                  <w:gridSpan w:val="4"/>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134" w:type="dxa"/>
                  <w:gridSpan w:val="4"/>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2024</w:t>
                  </w:r>
                </w:p>
              </w:tc>
              <w:tc>
                <w:tcPr>
                  <w:tcW w:w="1129" w:type="dxa"/>
                  <w:gridSpan w:val="3"/>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2025</w:t>
                  </w:r>
                </w:p>
              </w:tc>
            </w:tr>
            <w:tr w:rsidR="00AE3C4E" w:rsidRPr="0081082A" w:rsidTr="00310BEC">
              <w:trPr>
                <w:gridAfter w:val="3"/>
                <w:wAfter w:w="465" w:type="dxa"/>
                <w:trHeight w:val="806"/>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 ревизорских налаза ЕК у односу на број спроведених препорука ревизије</w:t>
                  </w:r>
                </w:p>
              </w:tc>
              <w:tc>
                <w:tcPr>
                  <w:tcW w:w="3947"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701"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Извештај Европске комисије</w:t>
                  </w:r>
                </w:p>
              </w:tc>
              <w:tc>
                <w:tcPr>
                  <w:tcW w:w="1439"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16</w:t>
                  </w:r>
                </w:p>
              </w:tc>
              <w:tc>
                <w:tcPr>
                  <w:tcW w:w="992"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2020</w:t>
                  </w:r>
                </w:p>
              </w:tc>
              <w:tc>
                <w:tcPr>
                  <w:tcW w:w="851"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10</w:t>
                  </w:r>
                </w:p>
              </w:tc>
              <w:tc>
                <w:tcPr>
                  <w:tcW w:w="155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8</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w:t>
                  </w:r>
                </w:p>
              </w:tc>
              <w:tc>
                <w:tcPr>
                  <w:tcW w:w="1129"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w:t>
                  </w:r>
                </w:p>
              </w:tc>
            </w:tr>
            <w:tr w:rsidR="00AE3C4E" w:rsidRPr="0081082A" w:rsidTr="00310BEC">
              <w:trPr>
                <w:gridAfter w:val="4"/>
                <w:wAfter w:w="487" w:type="dxa"/>
                <w:trHeight w:val="300"/>
                <w:jc w:val="center"/>
              </w:trPr>
              <w:tc>
                <w:tcPr>
                  <w:tcW w:w="2122" w:type="dxa"/>
                  <w:gridSpan w:val="2"/>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Назив активности:</w:t>
                  </w:r>
                </w:p>
              </w:tc>
              <w:tc>
                <w:tcPr>
                  <w:tcW w:w="1984" w:type="dxa"/>
                  <w:gridSpan w:val="2"/>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Рок за завршетак активности</w:t>
                  </w:r>
                </w:p>
              </w:tc>
              <w:tc>
                <w:tcPr>
                  <w:tcW w:w="1276" w:type="dxa"/>
                  <w:gridSpan w:val="3"/>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 xml:space="preserve">Институција одговорна за спровођење </w:t>
                  </w:r>
                </w:p>
              </w:tc>
              <w:tc>
                <w:tcPr>
                  <w:tcW w:w="2355" w:type="dxa"/>
                  <w:gridSpan w:val="5"/>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Партнери у спровођењу активности</w:t>
                  </w:r>
                </w:p>
              </w:tc>
              <w:tc>
                <w:tcPr>
                  <w:tcW w:w="8249" w:type="dxa"/>
                  <w:gridSpan w:val="25"/>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Укупна процењена финансијска средства по изворима у 000 дин</w:t>
                  </w:r>
                </w:p>
              </w:tc>
            </w:tr>
            <w:tr w:rsidR="00AE3C4E" w:rsidRPr="0081082A" w:rsidTr="00310BEC">
              <w:trPr>
                <w:gridAfter w:val="4"/>
                <w:wAfter w:w="487" w:type="dxa"/>
                <w:trHeight w:val="585"/>
                <w:jc w:val="center"/>
              </w:trPr>
              <w:tc>
                <w:tcPr>
                  <w:tcW w:w="2122" w:type="dxa"/>
                  <w:gridSpan w:val="2"/>
                  <w:vMerge/>
                  <w:shd w:val="clear" w:color="auto" w:fill="F2F2F2" w:themeFill="background1" w:themeFillShade="F2"/>
                  <w:vAlign w:val="center"/>
                  <w:hideMark/>
                </w:tcPr>
                <w:p w:rsidR="00AE3C4E" w:rsidRPr="0081082A" w:rsidRDefault="00AE3C4E" w:rsidP="00310BEC">
                  <w:pPr>
                    <w:tabs>
                      <w:tab w:val="left" w:pos="9923"/>
                    </w:tabs>
                    <w:spacing w:after="0" w:line="240" w:lineRule="auto"/>
                    <w:rPr>
                      <w:rFonts w:eastAsia="Times New Roman" w:cstheme="minorHAnsi"/>
                      <w:b/>
                      <w:bCs/>
                      <w:color w:val="000000"/>
                      <w:sz w:val="16"/>
                      <w:szCs w:val="16"/>
                      <w:lang w:val="sr-Cyrl-RS" w:eastAsia="en-GB"/>
                    </w:rPr>
                  </w:pPr>
                </w:p>
              </w:tc>
              <w:tc>
                <w:tcPr>
                  <w:tcW w:w="1984" w:type="dxa"/>
                  <w:gridSpan w:val="2"/>
                  <w:vMerge/>
                  <w:shd w:val="clear" w:color="auto" w:fill="F2F2F2" w:themeFill="background1" w:themeFillShade="F2"/>
                  <w:vAlign w:val="center"/>
                  <w:hideMark/>
                </w:tcPr>
                <w:p w:rsidR="00AE3C4E" w:rsidRPr="0081082A" w:rsidRDefault="00AE3C4E" w:rsidP="00310BEC">
                  <w:pPr>
                    <w:tabs>
                      <w:tab w:val="left" w:pos="9923"/>
                    </w:tabs>
                    <w:spacing w:after="0" w:line="240" w:lineRule="auto"/>
                    <w:rPr>
                      <w:rFonts w:eastAsia="Times New Roman" w:cstheme="minorHAnsi"/>
                      <w:b/>
                      <w:bCs/>
                      <w:color w:val="000000"/>
                      <w:sz w:val="16"/>
                      <w:szCs w:val="16"/>
                      <w:lang w:val="sr-Cyrl-RS" w:eastAsia="en-GB"/>
                    </w:rPr>
                  </w:pPr>
                </w:p>
              </w:tc>
              <w:tc>
                <w:tcPr>
                  <w:tcW w:w="1276" w:type="dxa"/>
                  <w:gridSpan w:val="3"/>
                  <w:vMerge/>
                  <w:shd w:val="clear" w:color="auto" w:fill="F2F2F2" w:themeFill="background1" w:themeFillShade="F2"/>
                  <w:vAlign w:val="center"/>
                  <w:hideMark/>
                </w:tcPr>
                <w:p w:rsidR="00AE3C4E" w:rsidRPr="0081082A" w:rsidRDefault="00AE3C4E" w:rsidP="00310BEC">
                  <w:pPr>
                    <w:tabs>
                      <w:tab w:val="left" w:pos="9923"/>
                    </w:tabs>
                    <w:spacing w:after="0" w:line="240" w:lineRule="auto"/>
                    <w:rPr>
                      <w:rFonts w:eastAsia="Times New Roman" w:cstheme="minorHAnsi"/>
                      <w:b/>
                      <w:bCs/>
                      <w:color w:val="000000"/>
                      <w:sz w:val="16"/>
                      <w:szCs w:val="16"/>
                      <w:lang w:val="sr-Cyrl-RS" w:eastAsia="en-GB"/>
                    </w:rPr>
                  </w:pPr>
                </w:p>
              </w:tc>
              <w:tc>
                <w:tcPr>
                  <w:tcW w:w="2355" w:type="dxa"/>
                  <w:gridSpan w:val="5"/>
                  <w:vMerge/>
                  <w:shd w:val="clear" w:color="auto" w:fill="F2F2F2" w:themeFill="background1" w:themeFillShade="F2"/>
                  <w:vAlign w:val="center"/>
                  <w:hideMark/>
                </w:tcPr>
                <w:p w:rsidR="00AE3C4E" w:rsidRPr="0081082A" w:rsidRDefault="00AE3C4E" w:rsidP="00310BEC">
                  <w:pPr>
                    <w:tabs>
                      <w:tab w:val="left" w:pos="9923"/>
                    </w:tabs>
                    <w:spacing w:after="0" w:line="240" w:lineRule="auto"/>
                    <w:rPr>
                      <w:rFonts w:eastAsia="Times New Roman" w:cstheme="minorHAnsi"/>
                      <w:b/>
                      <w:bCs/>
                      <w:color w:val="000000"/>
                      <w:sz w:val="16"/>
                      <w:szCs w:val="16"/>
                      <w:lang w:val="sr-Cyrl-RS" w:eastAsia="en-GB"/>
                    </w:rPr>
                  </w:pPr>
                </w:p>
              </w:tc>
              <w:tc>
                <w:tcPr>
                  <w:tcW w:w="1472" w:type="dxa"/>
                  <w:gridSpan w:val="7"/>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Извор финансирања</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Веза са програмским буџетом (ПР-ПА/ПЈ)</w:t>
                  </w:r>
                </w:p>
              </w:tc>
              <w:tc>
                <w:tcPr>
                  <w:tcW w:w="709"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2021</w:t>
                  </w:r>
                </w:p>
              </w:tc>
              <w:tc>
                <w:tcPr>
                  <w:tcW w:w="1559"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2022</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2023</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2024</w:t>
                  </w:r>
                </w:p>
              </w:tc>
              <w:tc>
                <w:tcPr>
                  <w:tcW w:w="1107"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right"/>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2025</w:t>
                  </w:r>
                </w:p>
              </w:tc>
            </w:tr>
            <w:tr w:rsidR="00AE3C4E" w:rsidRPr="0081082A" w:rsidTr="00310BEC">
              <w:trPr>
                <w:gridAfter w:val="4"/>
                <w:wAfter w:w="487" w:type="dxa"/>
                <w:trHeight w:val="829"/>
                <w:jc w:val="center"/>
              </w:trPr>
              <w:tc>
                <w:tcPr>
                  <w:tcW w:w="2122" w:type="dxa"/>
                  <w:gridSpan w:val="2"/>
                  <w:shd w:val="clear" w:color="auto" w:fill="auto"/>
                  <w:vAlign w:val="center"/>
                  <w:hideMark/>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lastRenderedPageBreak/>
                    <w:t>3.1.1 Јачање законодавног оквира за реинституционализацију Канцеларије за ревизију система управљања средствима ЕУ – усвајање и спровођење нове правне основе</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Q4 2022</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Канцеларија за ревизију система управљања средствима ЕУ, Министарство за европске интеграције</w:t>
                  </w:r>
                </w:p>
              </w:tc>
              <w:tc>
                <w:tcPr>
                  <w:tcW w:w="2355"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highlight w:val="cyan"/>
                      <w:lang w:val="sr-Cyrl-RS" w:eastAsia="en-GB"/>
                    </w:rPr>
                  </w:pPr>
                  <w:r w:rsidRPr="0081082A">
                    <w:rPr>
                      <w:rFonts w:eastAsia="Times New Roman" w:cstheme="minorHAnsi"/>
                      <w:color w:val="000000"/>
                      <w:sz w:val="16"/>
                      <w:szCs w:val="16"/>
                      <w:lang w:val="sr-Cyrl-RS" w:eastAsia="en-GB"/>
                    </w:rPr>
                    <w:t>Министарство финансија, Министарство државне управе и локалне самоуправе, Републички секретаријат за законодавство, Републички секретаријат за јавне политике, Државна ревизорска институција</w:t>
                  </w:r>
                </w:p>
              </w:tc>
              <w:tc>
                <w:tcPr>
                  <w:tcW w:w="1472"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Донаторска средства (ГИЗ)</w:t>
                  </w:r>
                </w:p>
              </w:tc>
              <w:tc>
                <w:tcPr>
                  <w:tcW w:w="1134" w:type="dxa"/>
                  <w:gridSpan w:val="4"/>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709"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559"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906</w:t>
                  </w:r>
                  <w:r w:rsidRPr="0081082A">
                    <w:rPr>
                      <w:rFonts w:eastAsia="Times New Roman" w:cstheme="minorHAnsi"/>
                      <w:sz w:val="16"/>
                      <w:szCs w:val="16"/>
                      <w:lang w:val="sr-Cyrl-RS" w:eastAsia="en-GB"/>
                    </w:rPr>
                    <w:t>*</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107"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r>
            <w:tr w:rsidR="00AE3C4E" w:rsidRPr="0081082A" w:rsidTr="00310BEC">
              <w:trPr>
                <w:gridAfter w:val="4"/>
                <w:wAfter w:w="487" w:type="dxa"/>
                <w:trHeight w:val="1090"/>
                <w:jc w:val="center"/>
              </w:trPr>
              <w:tc>
                <w:tcPr>
                  <w:tcW w:w="2122" w:type="dxa"/>
                  <w:gridSpan w:val="2"/>
                  <w:vMerge w:val="restart"/>
                  <w:shd w:val="clear" w:color="auto" w:fill="auto"/>
                  <w:vAlign w:val="center"/>
                  <w:hideMark/>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t>3.1.2 Развијање политике задржавања кадрова како би се осигурали адекватни и стабилни административни капацитети Канцеларије</w:t>
                  </w:r>
                </w:p>
              </w:tc>
              <w:tc>
                <w:tcPr>
                  <w:tcW w:w="1984" w:type="dxa"/>
                  <w:gridSpan w:val="2"/>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Q4 2023</w:t>
                  </w:r>
                </w:p>
              </w:tc>
              <w:tc>
                <w:tcPr>
                  <w:tcW w:w="1276"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Служба за управљање кадровима</w:t>
                  </w:r>
                </w:p>
              </w:tc>
              <w:tc>
                <w:tcPr>
                  <w:tcW w:w="2355" w:type="dxa"/>
                  <w:gridSpan w:val="5"/>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Канцеларија за ревизију система управљања средствима ЕУ, Министарство финансија</w:t>
                  </w:r>
                </w:p>
              </w:tc>
              <w:tc>
                <w:tcPr>
                  <w:tcW w:w="1472"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p w:rsidR="00AE3C4E" w:rsidRPr="0081082A" w:rsidRDefault="00AE3C4E" w:rsidP="00310BEC">
                  <w:pPr>
                    <w:rPr>
                      <w:rFonts w:eastAsia="Times New Roman" w:cstheme="minorHAnsi"/>
                      <w:sz w:val="16"/>
                      <w:szCs w:val="16"/>
                      <w:lang w:val="sr-Cyrl-RS" w:eastAsia="en-GB"/>
                    </w:rPr>
                  </w:pPr>
                  <w:r w:rsidRPr="0081082A">
                    <w:rPr>
                      <w:rFonts w:eastAsia="Times New Roman" w:cstheme="minorHAnsi"/>
                      <w:sz w:val="16"/>
                      <w:szCs w:val="16"/>
                      <w:lang w:val="sr-Cyrl-RS" w:eastAsia="en-GB"/>
                    </w:rPr>
                    <w:t>Буџетска средства</w:t>
                  </w:r>
                </w:p>
              </w:tc>
              <w:tc>
                <w:tcPr>
                  <w:tcW w:w="1134" w:type="dxa"/>
                  <w:gridSpan w:val="4"/>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2301 </w:t>
                  </w:r>
                </w:p>
              </w:tc>
              <w:tc>
                <w:tcPr>
                  <w:tcW w:w="709"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0</w:t>
                  </w:r>
                </w:p>
              </w:tc>
              <w:tc>
                <w:tcPr>
                  <w:tcW w:w="1559"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13.240</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23.276</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7.932</w:t>
                  </w:r>
                </w:p>
              </w:tc>
              <w:tc>
                <w:tcPr>
                  <w:tcW w:w="1107" w:type="dxa"/>
                  <w:gridSpan w:val="2"/>
                  <w:vMerge w:val="restart"/>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r>
            <w:tr w:rsidR="00AE3C4E" w:rsidRPr="0081082A" w:rsidTr="00310BEC">
              <w:trPr>
                <w:gridAfter w:val="4"/>
                <w:wAfter w:w="487" w:type="dxa"/>
                <w:trHeight w:val="586"/>
                <w:jc w:val="center"/>
              </w:trPr>
              <w:tc>
                <w:tcPr>
                  <w:tcW w:w="2122" w:type="dxa"/>
                  <w:gridSpan w:val="2"/>
                  <w:vMerge/>
                  <w:shd w:val="clear" w:color="auto" w:fill="auto"/>
                  <w:vAlign w:val="center"/>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p>
              </w:tc>
              <w:tc>
                <w:tcPr>
                  <w:tcW w:w="1984" w:type="dxa"/>
                  <w:gridSpan w:val="2"/>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27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2355" w:type="dxa"/>
                  <w:gridSpan w:val="5"/>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1472" w:type="dxa"/>
                  <w:gridSpan w:val="7"/>
                  <w:shd w:val="clear" w:color="auto" w:fill="auto"/>
                  <w:vAlign w:val="center"/>
                </w:tcPr>
                <w:p w:rsidR="00AE3C4E" w:rsidRPr="0081082A" w:rsidRDefault="00AE3C4E" w:rsidP="00310BEC">
                  <w:pPr>
                    <w:rPr>
                      <w:rFonts w:eastAsia="Times New Roman" w:cstheme="minorHAnsi"/>
                      <w:sz w:val="16"/>
                      <w:szCs w:val="16"/>
                      <w:lang w:val="sr-Cyrl-RS" w:eastAsia="en-GB"/>
                    </w:rPr>
                  </w:pPr>
                  <w:r w:rsidRPr="0081082A">
                    <w:rPr>
                      <w:rFonts w:eastAsia="Times New Roman" w:cstheme="minorHAnsi"/>
                      <w:sz w:val="16"/>
                      <w:szCs w:val="16"/>
                      <w:lang w:val="sr-Cyrl-RS" w:eastAsia="en-GB"/>
                    </w:rPr>
                    <w:t>ИПА (Неалоцирана средства)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134" w:type="dxa"/>
                  <w:gridSpan w:val="4"/>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709" w:type="dxa"/>
                  <w:gridSpan w:val="2"/>
                  <w:shd w:val="clear" w:color="auto" w:fill="auto"/>
                  <w:noWrap/>
                  <w:vAlign w:val="center"/>
                </w:tcPr>
                <w:p w:rsidR="00AE3C4E" w:rsidRPr="0081082A" w:rsidRDefault="00AE3C4E" w:rsidP="00310BEC">
                  <w:pPr>
                    <w:tabs>
                      <w:tab w:val="left" w:pos="9923"/>
                    </w:tabs>
                    <w:spacing w:after="0" w:line="240" w:lineRule="auto"/>
                    <w:jc w:val="right"/>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23.600 </w:t>
                  </w:r>
                </w:p>
              </w:tc>
              <w:tc>
                <w:tcPr>
                  <w:tcW w:w="1559" w:type="dxa"/>
                  <w:gridSpan w:val="2"/>
                  <w:shd w:val="clear" w:color="auto" w:fill="auto"/>
                  <w:noWrap/>
                  <w:vAlign w:val="center"/>
                </w:tcPr>
                <w:p w:rsidR="00AE3C4E" w:rsidRPr="0081082A" w:rsidRDefault="00AE3C4E" w:rsidP="00310BEC">
                  <w:pPr>
                    <w:tabs>
                      <w:tab w:val="left" w:pos="9923"/>
                    </w:tabs>
                    <w:spacing w:after="0" w:line="240" w:lineRule="auto"/>
                    <w:jc w:val="right"/>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11.800 </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right"/>
                    <w:rPr>
                      <w:rFonts w:eastAsia="Times New Roman" w:cstheme="minorHAnsi"/>
                      <w:color w:val="000000"/>
                      <w:sz w:val="16"/>
                      <w:szCs w:val="16"/>
                      <w:lang w:val="sr-Cyrl-RS" w:eastAsia="en-GB"/>
                    </w:rPr>
                  </w:pPr>
                </w:p>
              </w:tc>
              <w:tc>
                <w:tcPr>
                  <w:tcW w:w="1107" w:type="dxa"/>
                  <w:gridSpan w:val="2"/>
                  <w:vMerge/>
                  <w:shd w:val="clear" w:color="auto" w:fill="auto"/>
                  <w:noWrap/>
                  <w:vAlign w:val="center"/>
                </w:tcPr>
                <w:p w:rsidR="00AE3C4E" w:rsidRPr="0081082A" w:rsidRDefault="00AE3C4E" w:rsidP="00310BEC">
                  <w:pPr>
                    <w:tabs>
                      <w:tab w:val="left" w:pos="9923"/>
                    </w:tabs>
                    <w:spacing w:after="0" w:line="240" w:lineRule="auto"/>
                    <w:jc w:val="right"/>
                    <w:rPr>
                      <w:rFonts w:eastAsia="Times New Roman" w:cstheme="minorHAnsi"/>
                      <w:color w:val="000000"/>
                      <w:sz w:val="16"/>
                      <w:szCs w:val="16"/>
                      <w:lang w:val="sr-Cyrl-RS" w:eastAsia="en-GB"/>
                    </w:rPr>
                  </w:pPr>
                </w:p>
              </w:tc>
            </w:tr>
            <w:tr w:rsidR="00AE3C4E" w:rsidRPr="0081082A" w:rsidTr="00310BEC">
              <w:trPr>
                <w:gridAfter w:val="2"/>
                <w:wAfter w:w="458" w:type="dxa"/>
                <w:trHeight w:val="289"/>
                <w:jc w:val="center"/>
              </w:trPr>
              <w:tc>
                <w:tcPr>
                  <w:tcW w:w="2122" w:type="dxa"/>
                  <w:gridSpan w:val="2"/>
                  <w:shd w:val="clear" w:color="auto" w:fill="auto"/>
                </w:tcPr>
                <w:p w:rsidR="00AE3C4E" w:rsidRPr="0081082A" w:rsidRDefault="00AE3C4E" w:rsidP="00310BEC">
                  <w:pPr>
                    <w:keepNext/>
                    <w:keepLines/>
                    <w:spacing w:after="0" w:line="240" w:lineRule="auto"/>
                    <w:outlineLvl w:val="1"/>
                    <w:rPr>
                      <w:rFonts w:eastAsia="Times New Roman" w:cstheme="minorHAnsi"/>
                      <w:color w:val="1F4E79" w:themeColor="accent1" w:themeShade="80"/>
                      <w:sz w:val="16"/>
                      <w:szCs w:val="16"/>
                      <w:lang w:val="sr-Cyrl-RS" w:eastAsia="en-GB"/>
                    </w:rPr>
                  </w:pPr>
                  <w:bookmarkStart w:id="101" w:name="_Toc73613676"/>
                  <w:r w:rsidRPr="0081082A">
                    <w:rPr>
                      <w:rFonts w:eastAsia="Times New Roman" w:cstheme="minorHAnsi"/>
                      <w:sz w:val="16"/>
                      <w:szCs w:val="16"/>
                      <w:lang w:val="sr-Cyrl-RS" w:eastAsia="en-GB"/>
                    </w:rPr>
                    <w:t>3.1.3 Јачање капацитета Канцеларије за ревизију система управљања средствима ЕУ како би се осигурала ефикасан систем контроле и ревизија ЕУ средстава у складу са законодавним оквиром ЕУ</w:t>
                  </w:r>
                  <w:bookmarkEnd w:id="101"/>
                </w:p>
              </w:tc>
              <w:tc>
                <w:tcPr>
                  <w:tcW w:w="1984" w:type="dxa"/>
                  <w:gridSpan w:val="2"/>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b/>
                      <w:i/>
                      <w:color w:val="1F4E79" w:themeColor="accent1" w:themeShade="80"/>
                      <w:sz w:val="16"/>
                      <w:szCs w:val="16"/>
                      <w:lang w:val="sr-Cyrl-RS" w:eastAsia="en-GB"/>
                    </w:rPr>
                  </w:pPr>
                  <w:bookmarkStart w:id="102" w:name="_Toc73613677"/>
                  <w:r w:rsidRPr="0081082A">
                    <w:rPr>
                      <w:rFonts w:eastAsia="Times New Roman" w:cstheme="minorHAnsi"/>
                      <w:sz w:val="16"/>
                      <w:szCs w:val="16"/>
                      <w:lang w:val="sr-Cyrl-RS" w:eastAsia="en-GB"/>
                    </w:rPr>
                    <w:t>Q4 2025</w:t>
                  </w:r>
                  <w:bookmarkEnd w:id="102"/>
                </w:p>
              </w:tc>
              <w:tc>
                <w:tcPr>
                  <w:tcW w:w="1276" w:type="dxa"/>
                  <w:gridSpan w:val="3"/>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b/>
                      <w:i/>
                      <w:color w:val="1F4E79" w:themeColor="accent1" w:themeShade="80"/>
                      <w:sz w:val="16"/>
                      <w:szCs w:val="16"/>
                      <w:lang w:val="sr-Cyrl-RS" w:eastAsia="en-GB"/>
                    </w:rPr>
                  </w:pPr>
                  <w:bookmarkStart w:id="103" w:name="_Toc73613678"/>
                  <w:r w:rsidRPr="0081082A">
                    <w:rPr>
                      <w:rFonts w:eastAsia="Times New Roman" w:cstheme="minorHAnsi"/>
                      <w:color w:val="000000"/>
                      <w:sz w:val="16"/>
                      <w:szCs w:val="16"/>
                      <w:lang w:val="sr-Cyrl-RS" w:eastAsia="en-GB"/>
                    </w:rPr>
                    <w:t>Канцеларија за ревизију система управљања средствима ЕУ, Министарство за европске интеграције</w:t>
                  </w:r>
                  <w:bookmarkEnd w:id="103"/>
                </w:p>
              </w:tc>
              <w:tc>
                <w:tcPr>
                  <w:tcW w:w="2349" w:type="dxa"/>
                  <w:gridSpan w:val="4"/>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b/>
                      <w:i/>
                      <w:color w:val="1F4E79" w:themeColor="accent1" w:themeShade="80"/>
                      <w:sz w:val="16"/>
                      <w:szCs w:val="16"/>
                      <w:lang w:val="sr-Cyrl-RS" w:eastAsia="en-GB"/>
                    </w:rPr>
                  </w:pPr>
                  <w:bookmarkStart w:id="104" w:name="_Toc73613679"/>
                  <w:r w:rsidRPr="0081082A">
                    <w:rPr>
                      <w:rFonts w:eastAsia="Times New Roman" w:cstheme="minorHAnsi"/>
                      <w:color w:val="000000"/>
                      <w:sz w:val="16"/>
                      <w:szCs w:val="16"/>
                      <w:lang w:val="sr-Cyrl-RS" w:eastAsia="en-GB"/>
                    </w:rPr>
                    <w:t>Служба за управљање кадровима</w:t>
                  </w:r>
                  <w:bookmarkEnd w:id="104"/>
                </w:p>
              </w:tc>
              <w:tc>
                <w:tcPr>
                  <w:tcW w:w="1478" w:type="dxa"/>
                  <w:gridSpan w:val="8"/>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b/>
                      <w:i/>
                      <w:color w:val="1F4E79" w:themeColor="accent1" w:themeShade="80"/>
                      <w:sz w:val="16"/>
                      <w:szCs w:val="16"/>
                      <w:lang w:val="sr-Cyrl-RS" w:eastAsia="en-GB"/>
                    </w:rPr>
                  </w:pPr>
                  <w:bookmarkStart w:id="105" w:name="_Toc73613680"/>
                  <w:r w:rsidRPr="0081082A">
                    <w:rPr>
                      <w:rFonts w:eastAsia="Times New Roman" w:cstheme="minorHAnsi"/>
                      <w:color w:val="000000"/>
                      <w:sz w:val="16"/>
                      <w:szCs w:val="16"/>
                      <w:lang w:val="sr-Cyrl-RS" w:eastAsia="en-GB"/>
                    </w:rPr>
                    <w:t>Донаторска средства</w:t>
                  </w:r>
                  <w:bookmarkEnd w:id="105"/>
                </w:p>
              </w:tc>
              <w:tc>
                <w:tcPr>
                  <w:tcW w:w="1134" w:type="dxa"/>
                  <w:gridSpan w:val="4"/>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b/>
                      <w:i/>
                      <w:color w:val="1F4E79" w:themeColor="accent1" w:themeShade="80"/>
                      <w:sz w:val="16"/>
                      <w:szCs w:val="16"/>
                      <w:lang w:val="sr-Cyrl-RS" w:eastAsia="en-GB"/>
                    </w:rPr>
                  </w:pPr>
                </w:p>
              </w:tc>
              <w:tc>
                <w:tcPr>
                  <w:tcW w:w="709" w:type="dxa"/>
                  <w:gridSpan w:val="2"/>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sz w:val="16"/>
                      <w:szCs w:val="16"/>
                      <w:lang w:val="sr-Cyrl-RS" w:eastAsia="en-GB"/>
                    </w:rPr>
                  </w:pPr>
                  <w:bookmarkStart w:id="106" w:name="_Toc73613681"/>
                  <w:r w:rsidRPr="0081082A">
                    <w:rPr>
                      <w:rFonts w:eastAsia="Times New Roman" w:cstheme="minorHAnsi"/>
                      <w:sz w:val="16"/>
                      <w:szCs w:val="16"/>
                      <w:lang w:val="sr-Cyrl-RS" w:eastAsia="en-GB"/>
                    </w:rPr>
                    <w:t>-</w:t>
                  </w:r>
                  <w:bookmarkEnd w:id="106"/>
                </w:p>
              </w:tc>
              <w:tc>
                <w:tcPr>
                  <w:tcW w:w="1559" w:type="dxa"/>
                  <w:gridSpan w:val="2"/>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sz w:val="16"/>
                      <w:szCs w:val="16"/>
                      <w:lang w:val="sr-Cyrl-RS" w:eastAsia="en-GB"/>
                    </w:rPr>
                  </w:pPr>
                  <w:bookmarkStart w:id="107" w:name="_Toc73613682"/>
                  <w:r w:rsidRPr="0081082A">
                    <w:rPr>
                      <w:rFonts w:eastAsia="Times New Roman" w:cstheme="minorHAnsi"/>
                      <w:sz w:val="16"/>
                      <w:szCs w:val="16"/>
                      <w:lang w:val="sr-Cyrl-RS" w:eastAsia="en-GB"/>
                    </w:rPr>
                    <w:t>29.500*</w:t>
                  </w:r>
                  <w:bookmarkEnd w:id="107"/>
                </w:p>
              </w:tc>
              <w:tc>
                <w:tcPr>
                  <w:tcW w:w="1134" w:type="dxa"/>
                  <w:gridSpan w:val="4"/>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sz w:val="16"/>
                      <w:szCs w:val="16"/>
                      <w:lang w:val="sr-Cyrl-RS" w:eastAsia="en-GB"/>
                    </w:rPr>
                  </w:pPr>
                  <w:bookmarkStart w:id="108" w:name="_Toc73613683"/>
                  <w:r w:rsidRPr="0081082A">
                    <w:rPr>
                      <w:rFonts w:eastAsia="Times New Roman" w:cstheme="minorHAnsi"/>
                      <w:sz w:val="16"/>
                      <w:szCs w:val="16"/>
                      <w:lang w:val="sr-Cyrl-RS" w:eastAsia="en-GB"/>
                    </w:rPr>
                    <w:t>29.500*</w:t>
                  </w:r>
                  <w:bookmarkEnd w:id="108"/>
                </w:p>
              </w:tc>
              <w:tc>
                <w:tcPr>
                  <w:tcW w:w="1098" w:type="dxa"/>
                  <w:gridSpan w:val="3"/>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sz w:val="16"/>
                      <w:szCs w:val="16"/>
                      <w:lang w:val="sr-Cyrl-RS" w:eastAsia="en-GB"/>
                    </w:rPr>
                  </w:pPr>
                  <w:bookmarkStart w:id="109" w:name="_Toc73613684"/>
                  <w:r w:rsidRPr="0081082A">
                    <w:rPr>
                      <w:rFonts w:eastAsia="Times New Roman" w:cstheme="minorHAnsi"/>
                      <w:sz w:val="16"/>
                      <w:szCs w:val="16"/>
                      <w:lang w:val="sr-Cyrl-RS" w:eastAsia="en-GB"/>
                    </w:rPr>
                    <w:t>29.500*</w:t>
                  </w:r>
                  <w:bookmarkEnd w:id="109"/>
                </w:p>
              </w:tc>
              <w:tc>
                <w:tcPr>
                  <w:tcW w:w="1172" w:type="dxa"/>
                  <w:gridSpan w:val="5"/>
                  <w:shd w:val="clear" w:color="auto" w:fill="auto"/>
                  <w:vAlign w:val="center"/>
                </w:tcPr>
                <w:p w:rsidR="00AE3C4E" w:rsidRPr="0081082A" w:rsidRDefault="00AE3C4E" w:rsidP="00310BEC">
                  <w:pPr>
                    <w:keepNext/>
                    <w:keepLines/>
                    <w:spacing w:after="0" w:line="240" w:lineRule="auto"/>
                    <w:jc w:val="center"/>
                    <w:outlineLvl w:val="1"/>
                    <w:rPr>
                      <w:rFonts w:eastAsia="Times New Roman" w:cstheme="minorHAnsi"/>
                      <w:sz w:val="16"/>
                      <w:szCs w:val="16"/>
                      <w:lang w:val="sr-Cyrl-RS" w:eastAsia="en-GB"/>
                    </w:rPr>
                  </w:pPr>
                  <w:bookmarkStart w:id="110" w:name="_Toc73613685"/>
                  <w:r w:rsidRPr="0081082A">
                    <w:rPr>
                      <w:rFonts w:eastAsia="Times New Roman" w:cstheme="minorHAnsi"/>
                      <w:sz w:val="16"/>
                      <w:szCs w:val="16"/>
                      <w:lang w:val="sr-Cyrl-RS" w:eastAsia="en-GB"/>
                    </w:rPr>
                    <w:t>29.500*</w:t>
                  </w:r>
                  <w:bookmarkEnd w:id="110"/>
                </w:p>
              </w:tc>
            </w:tr>
            <w:tr w:rsidR="00AE3C4E" w:rsidRPr="0081082A" w:rsidTr="00310BEC">
              <w:trPr>
                <w:gridAfter w:val="2"/>
                <w:wAfter w:w="458" w:type="dxa"/>
                <w:trHeight w:val="289"/>
                <w:jc w:val="center"/>
              </w:trPr>
              <w:tc>
                <w:tcPr>
                  <w:tcW w:w="16015" w:type="dxa"/>
                  <w:gridSpan w:val="39"/>
                  <w:shd w:val="clear" w:color="auto" w:fill="F2F2F2" w:themeFill="background1" w:themeFillShade="F2"/>
                  <w:hideMark/>
                </w:tcPr>
                <w:p w:rsidR="00AE3C4E" w:rsidRPr="0081082A" w:rsidRDefault="00AE3C4E" w:rsidP="00310BEC">
                  <w:pPr>
                    <w:keepNext/>
                    <w:keepLines/>
                    <w:spacing w:after="0" w:line="240" w:lineRule="auto"/>
                    <w:outlineLvl w:val="1"/>
                    <w:rPr>
                      <w:rFonts w:ascii="Times New Roman" w:eastAsia="Times New Roman" w:hAnsi="Times New Roman"/>
                      <w:b/>
                      <w:i/>
                      <w:color w:val="808080"/>
                      <w:sz w:val="18"/>
                      <w:szCs w:val="18"/>
                      <w:lang w:val="sr-Cyrl-RS" w:eastAsia="en-GB"/>
                    </w:rPr>
                  </w:pPr>
                  <w:bookmarkStart w:id="111" w:name="_Toc73613686"/>
                  <w:r w:rsidRPr="0081082A">
                    <w:rPr>
                      <w:rFonts w:eastAsia="Times New Roman"/>
                      <w:b/>
                      <w:i/>
                      <w:color w:val="365F91"/>
                      <w:sz w:val="18"/>
                      <w:szCs w:val="18"/>
                      <w:lang w:val="sr-Cyrl-RS" w:eastAsia="en-GB"/>
                    </w:rPr>
                    <w:t>Mera 3.2: Јачање система за ефикасније и ефективније управљање средствима ЕУ</w:t>
                  </w:r>
                  <w:bookmarkEnd w:id="111"/>
                </w:p>
              </w:tc>
            </w:tr>
            <w:tr w:rsidR="00AE3C4E" w:rsidRPr="0081082A" w:rsidTr="00310BEC">
              <w:trPr>
                <w:gridAfter w:val="2"/>
                <w:wAfter w:w="458" w:type="dxa"/>
                <w:trHeight w:val="289"/>
                <w:jc w:val="center"/>
              </w:trPr>
              <w:tc>
                <w:tcPr>
                  <w:tcW w:w="16015" w:type="dxa"/>
                  <w:gridSpan w:val="39"/>
                  <w:shd w:val="clear" w:color="auto" w:fill="F2F2F2" w:themeFill="background1" w:themeFillShade="F2"/>
                </w:tcPr>
                <w:p w:rsidR="00AE3C4E" w:rsidRPr="0081082A" w:rsidRDefault="00AE3C4E" w:rsidP="00310BEC">
                  <w:pPr>
                    <w:keepNext/>
                    <w:keepLines/>
                    <w:spacing w:after="0" w:line="240" w:lineRule="auto"/>
                    <w:outlineLvl w:val="1"/>
                    <w:rPr>
                      <w:rFonts w:ascii="Times New Roman" w:eastAsia="Times New Roman" w:hAnsi="Times New Roman"/>
                      <w:b/>
                      <w:i/>
                      <w:color w:val="1F4E79" w:themeColor="accent1" w:themeShade="80"/>
                      <w:sz w:val="18"/>
                      <w:szCs w:val="18"/>
                      <w:lang w:val="sr-Cyrl-RS" w:eastAsia="en-GB"/>
                    </w:rPr>
                  </w:pPr>
                  <w:bookmarkStart w:id="112" w:name="_Toc73613687"/>
                  <w:r w:rsidRPr="0081082A">
                    <w:rPr>
                      <w:rFonts w:ascii="Times New Roman" w:eastAsia="Times New Roman" w:hAnsi="Times New Roman"/>
                      <w:b/>
                      <w:i/>
                      <w:color w:val="365F91"/>
                      <w:sz w:val="18"/>
                      <w:szCs w:val="18"/>
                      <w:lang w:val="sr-Cyrl-RS" w:eastAsia="en-GB"/>
                    </w:rPr>
                    <w:t xml:space="preserve">Институција одговорна за спровођење (координацију спровођења) </w:t>
                  </w:r>
                  <w:r w:rsidR="00D55E20" w:rsidRPr="0081082A">
                    <w:rPr>
                      <w:rFonts w:ascii="Times New Roman" w:eastAsia="Times New Roman" w:hAnsi="Times New Roman"/>
                      <w:b/>
                      <w:i/>
                      <w:color w:val="365F91"/>
                      <w:sz w:val="18"/>
                      <w:szCs w:val="18"/>
                      <w:lang w:val="sr-Cyrl-RS" w:eastAsia="en-GB"/>
                    </w:rPr>
                    <w:t>мере: Министарство</w:t>
                  </w:r>
                  <w:r w:rsidRPr="0081082A">
                    <w:rPr>
                      <w:rFonts w:ascii="Times New Roman" w:eastAsia="Times New Roman" w:hAnsi="Times New Roman"/>
                      <w:b/>
                      <w:i/>
                      <w:color w:val="365F91"/>
                      <w:sz w:val="18"/>
                      <w:szCs w:val="18"/>
                      <w:lang w:val="sr-Cyrl-RS" w:eastAsia="en-GB"/>
                    </w:rPr>
                    <w:t xml:space="preserve"> финансија- Сектор за управљање средствима ЕУ</w:t>
                  </w:r>
                  <w:bookmarkEnd w:id="112"/>
                </w:p>
              </w:tc>
            </w:tr>
            <w:tr w:rsidR="00AE3C4E" w:rsidRPr="0081082A" w:rsidTr="00310BEC">
              <w:trPr>
                <w:gridAfter w:val="2"/>
                <w:wAfter w:w="458" w:type="dxa"/>
                <w:trHeight w:val="289"/>
                <w:jc w:val="center"/>
              </w:trPr>
              <w:tc>
                <w:tcPr>
                  <w:tcW w:w="10201" w:type="dxa"/>
                  <w:gridSpan w:val="22"/>
                  <w:shd w:val="clear" w:color="auto" w:fill="F2F2F2" w:themeFill="background1" w:themeFillShade="F2"/>
                </w:tcPr>
                <w:p w:rsidR="00AE3C4E" w:rsidRPr="0081082A" w:rsidRDefault="00AE3C4E" w:rsidP="00310BEC">
                  <w:pPr>
                    <w:keepNext/>
                    <w:keepLines/>
                    <w:spacing w:after="0" w:line="240" w:lineRule="auto"/>
                    <w:outlineLvl w:val="1"/>
                    <w:rPr>
                      <w:rFonts w:ascii="Times New Roman" w:eastAsia="Times New Roman" w:hAnsi="Times New Roman"/>
                      <w:b/>
                      <w:i/>
                      <w:color w:val="365F91"/>
                      <w:sz w:val="18"/>
                      <w:szCs w:val="18"/>
                      <w:lang w:val="sr-Cyrl-RS" w:eastAsia="en-GB"/>
                    </w:rPr>
                  </w:pPr>
                  <w:bookmarkStart w:id="113" w:name="_Toc73613688"/>
                  <w:r w:rsidRPr="0081082A">
                    <w:rPr>
                      <w:rFonts w:ascii="Times New Roman" w:eastAsia="Times New Roman" w:hAnsi="Times New Roman"/>
                      <w:b/>
                      <w:i/>
                      <w:color w:val="365F91"/>
                      <w:sz w:val="18"/>
                      <w:szCs w:val="18"/>
                      <w:lang w:val="sr-Cyrl-RS" w:eastAsia="en-GB"/>
                    </w:rPr>
                    <w:t>Период спровођења: 2021-2025</w:t>
                  </w:r>
                  <w:bookmarkEnd w:id="113"/>
                </w:p>
              </w:tc>
              <w:tc>
                <w:tcPr>
                  <w:tcW w:w="5814" w:type="dxa"/>
                  <w:gridSpan w:val="17"/>
                  <w:shd w:val="clear" w:color="auto" w:fill="F2F2F2" w:themeFill="background1" w:themeFillShade="F2"/>
                </w:tcPr>
                <w:p w:rsidR="00AE3C4E" w:rsidRPr="0081082A" w:rsidRDefault="00AE3C4E" w:rsidP="00310BEC">
                  <w:pPr>
                    <w:keepNext/>
                    <w:keepLines/>
                    <w:spacing w:after="0" w:line="240" w:lineRule="auto"/>
                    <w:outlineLvl w:val="1"/>
                    <w:rPr>
                      <w:rFonts w:ascii="Times New Roman" w:eastAsia="Times New Roman" w:hAnsi="Times New Roman"/>
                      <w:b/>
                      <w:i/>
                      <w:color w:val="365F91"/>
                      <w:sz w:val="18"/>
                      <w:szCs w:val="18"/>
                      <w:lang w:val="sr-Cyrl-RS" w:eastAsia="en-GB"/>
                    </w:rPr>
                  </w:pPr>
                  <w:bookmarkStart w:id="114" w:name="_Toc73613689"/>
                  <w:r w:rsidRPr="0081082A">
                    <w:rPr>
                      <w:rFonts w:ascii="Times New Roman" w:eastAsia="Times New Roman" w:hAnsi="Times New Roman"/>
                      <w:b/>
                      <w:i/>
                      <w:color w:val="365F91"/>
                      <w:sz w:val="18"/>
                      <w:szCs w:val="18"/>
                      <w:lang w:val="sr-Cyrl-RS" w:eastAsia="en-GB"/>
                    </w:rPr>
                    <w:t>Тип мере: Институционално управљачко организациона</w:t>
                  </w:r>
                  <w:bookmarkEnd w:id="114"/>
                </w:p>
              </w:tc>
            </w:tr>
            <w:tr w:rsidR="00AE3C4E" w:rsidRPr="0081082A" w:rsidTr="00310BEC">
              <w:trPr>
                <w:gridAfter w:val="3"/>
                <w:wAfter w:w="465" w:type="dxa"/>
                <w:trHeight w:val="450"/>
                <w:jc w:val="center"/>
              </w:trPr>
              <w:tc>
                <w:tcPr>
                  <w:tcW w:w="2122"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D55E20"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3260" w:type="dxa"/>
                  <w:gridSpan w:val="5"/>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2370" w:type="dxa"/>
                  <w:gridSpan w:val="6"/>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457" w:type="dxa"/>
                  <w:gridSpan w:val="6"/>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709"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559"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2022</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2024</w:t>
                  </w:r>
                </w:p>
              </w:tc>
              <w:tc>
                <w:tcPr>
                  <w:tcW w:w="1129" w:type="dxa"/>
                  <w:gridSpan w:val="3"/>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2025</w:t>
                  </w:r>
                </w:p>
              </w:tc>
            </w:tr>
            <w:tr w:rsidR="00AE3C4E" w:rsidRPr="0081082A" w:rsidTr="00310BEC">
              <w:trPr>
                <w:gridAfter w:val="3"/>
                <w:wAfter w:w="465" w:type="dxa"/>
                <w:trHeight w:val="718"/>
                <w:jc w:val="center"/>
              </w:trPr>
              <w:tc>
                <w:tcPr>
                  <w:tcW w:w="2122"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Усвојени акти усмерени на политику задржавања кадрова</w:t>
                  </w:r>
                </w:p>
              </w:tc>
              <w:tc>
                <w:tcPr>
                  <w:tcW w:w="3260"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Број</w:t>
                  </w:r>
                </w:p>
              </w:tc>
              <w:tc>
                <w:tcPr>
                  <w:tcW w:w="2370"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Службени гласник</w:t>
                  </w:r>
                </w:p>
              </w:tc>
              <w:tc>
                <w:tcPr>
                  <w:tcW w:w="1457"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0</w:t>
                  </w: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2020</w:t>
                  </w:r>
                </w:p>
              </w:tc>
              <w:tc>
                <w:tcPr>
                  <w:tcW w:w="709"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w:t>
                  </w:r>
                </w:p>
              </w:tc>
              <w:tc>
                <w:tcPr>
                  <w:tcW w:w="1559"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w:t>
                  </w: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1129"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w:t>
                  </w:r>
                </w:p>
              </w:tc>
            </w:tr>
            <w:tr w:rsidR="00AE3C4E" w:rsidRPr="0081082A" w:rsidTr="00310BEC">
              <w:trPr>
                <w:gridAfter w:val="3"/>
                <w:wAfter w:w="465" w:type="dxa"/>
                <w:trHeight w:val="572"/>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lastRenderedPageBreak/>
                    <w:t>Проценат обучених службеника у погледу управљања контроле коришћења средстава управљања ризицима и неправилностима</w:t>
                  </w:r>
                </w:p>
              </w:tc>
              <w:tc>
                <w:tcPr>
                  <w:tcW w:w="3260"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Проценат (%)</w:t>
                  </w:r>
                </w:p>
              </w:tc>
              <w:tc>
                <w:tcPr>
                  <w:tcW w:w="2370"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Извештаји о одржаним обукама</w:t>
                  </w:r>
                </w:p>
              </w:tc>
              <w:tc>
                <w:tcPr>
                  <w:tcW w:w="1457"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9.5%</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2020</w:t>
                  </w:r>
                </w:p>
              </w:tc>
              <w:tc>
                <w:tcPr>
                  <w:tcW w:w="70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20%</w:t>
                  </w:r>
                </w:p>
              </w:tc>
              <w:tc>
                <w:tcPr>
                  <w:tcW w:w="155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30%</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35%</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40%</w:t>
                  </w:r>
                </w:p>
              </w:tc>
              <w:tc>
                <w:tcPr>
                  <w:tcW w:w="1129"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50%</w:t>
                  </w:r>
                </w:p>
              </w:tc>
            </w:tr>
            <w:tr w:rsidR="00AE3C4E" w:rsidRPr="0081082A" w:rsidTr="00310BEC">
              <w:trPr>
                <w:gridAfter w:val="3"/>
                <w:wAfter w:w="465" w:type="dxa"/>
                <w:trHeight w:val="900"/>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Извршене провере на лицу места код корисника јавних средстава</w:t>
                  </w:r>
                </w:p>
              </w:tc>
              <w:tc>
                <w:tcPr>
                  <w:tcW w:w="3260"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Број</w:t>
                  </w:r>
                </w:p>
              </w:tc>
              <w:tc>
                <w:tcPr>
                  <w:tcW w:w="2370"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Годишњи планови Провера на лицу места релевантних ИПА тела</w:t>
                  </w:r>
                </w:p>
              </w:tc>
              <w:tc>
                <w:tcPr>
                  <w:tcW w:w="1457"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9</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2020</w:t>
                  </w:r>
                </w:p>
              </w:tc>
              <w:tc>
                <w:tcPr>
                  <w:tcW w:w="70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10</w:t>
                  </w:r>
                </w:p>
              </w:tc>
              <w:tc>
                <w:tcPr>
                  <w:tcW w:w="155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12</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12</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12</w:t>
                  </w:r>
                </w:p>
              </w:tc>
              <w:tc>
                <w:tcPr>
                  <w:tcW w:w="1129"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12</w:t>
                  </w:r>
                </w:p>
              </w:tc>
            </w:tr>
            <w:tr w:rsidR="00AE3C4E" w:rsidRPr="0081082A" w:rsidTr="00310BEC">
              <w:trPr>
                <w:gridAfter w:val="3"/>
                <w:wAfter w:w="465" w:type="dxa"/>
                <w:trHeight w:val="900"/>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Проценат идентификованих неправилности приликом прве/првостепене контроле</w:t>
                  </w:r>
                </w:p>
              </w:tc>
              <w:tc>
                <w:tcPr>
                  <w:tcW w:w="3260"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Проценат (%)</w:t>
                  </w:r>
                </w:p>
              </w:tc>
              <w:tc>
                <w:tcPr>
                  <w:tcW w:w="2370"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AFIS-IMS систем за извештавање, Годишњи извештаји о напретку који се подносе НАО, Декларације о управљању</w:t>
                  </w:r>
                </w:p>
              </w:tc>
              <w:tc>
                <w:tcPr>
                  <w:tcW w:w="1457"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75%</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2020</w:t>
                  </w:r>
                </w:p>
              </w:tc>
              <w:tc>
                <w:tcPr>
                  <w:tcW w:w="70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50%</w:t>
                  </w:r>
                </w:p>
              </w:tc>
              <w:tc>
                <w:tcPr>
                  <w:tcW w:w="155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55%</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60%</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65%</w:t>
                  </w:r>
                </w:p>
              </w:tc>
              <w:tc>
                <w:tcPr>
                  <w:tcW w:w="1129"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70%</w:t>
                  </w:r>
                </w:p>
              </w:tc>
            </w:tr>
            <w:tr w:rsidR="00AE3C4E" w:rsidRPr="0081082A" w:rsidTr="00310BEC">
              <w:trPr>
                <w:gridAfter w:val="3"/>
                <w:wAfter w:w="465" w:type="dxa"/>
                <w:trHeight w:val="900"/>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Проценат пословних процеса који су подржани ИТ системом</w:t>
                  </w:r>
                </w:p>
              </w:tc>
              <w:tc>
                <w:tcPr>
                  <w:tcW w:w="3260"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Проценат (%)</w:t>
                  </w:r>
                </w:p>
              </w:tc>
              <w:tc>
                <w:tcPr>
                  <w:tcW w:w="2370"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Извештаји о функционисању ИТ система</w:t>
                  </w:r>
                </w:p>
              </w:tc>
              <w:tc>
                <w:tcPr>
                  <w:tcW w:w="1457"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0</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2020</w:t>
                  </w:r>
                </w:p>
              </w:tc>
              <w:tc>
                <w:tcPr>
                  <w:tcW w:w="70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0</w:t>
                  </w:r>
                </w:p>
              </w:tc>
              <w:tc>
                <w:tcPr>
                  <w:tcW w:w="1559"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0</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0</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50%</w:t>
                  </w:r>
                </w:p>
              </w:tc>
              <w:tc>
                <w:tcPr>
                  <w:tcW w:w="1129"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60%</w:t>
                  </w:r>
                </w:p>
              </w:tc>
            </w:tr>
            <w:tr w:rsidR="00AE3C4E" w:rsidRPr="0081082A" w:rsidTr="00310BEC">
              <w:trPr>
                <w:gridAfter w:val="4"/>
                <w:wAfter w:w="487" w:type="dxa"/>
                <w:trHeight w:val="300"/>
                <w:jc w:val="center"/>
              </w:trPr>
              <w:tc>
                <w:tcPr>
                  <w:tcW w:w="2122" w:type="dxa"/>
                  <w:gridSpan w:val="2"/>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Назив активности:</w:t>
                  </w:r>
                </w:p>
              </w:tc>
              <w:tc>
                <w:tcPr>
                  <w:tcW w:w="1984" w:type="dxa"/>
                  <w:gridSpan w:val="2"/>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Рок за завршетак активности</w:t>
                  </w:r>
                </w:p>
              </w:tc>
              <w:tc>
                <w:tcPr>
                  <w:tcW w:w="1276" w:type="dxa"/>
                  <w:gridSpan w:val="3"/>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Институција одговорна за спровођење</w:t>
                  </w:r>
                </w:p>
              </w:tc>
              <w:tc>
                <w:tcPr>
                  <w:tcW w:w="2355" w:type="dxa"/>
                  <w:gridSpan w:val="5"/>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Партнери у спровођењу активности</w:t>
                  </w:r>
                </w:p>
              </w:tc>
              <w:tc>
                <w:tcPr>
                  <w:tcW w:w="8249" w:type="dxa"/>
                  <w:gridSpan w:val="25"/>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Укупна процењена финансијска средства по изворима u 000 din.</w:t>
                  </w:r>
                </w:p>
              </w:tc>
            </w:tr>
            <w:tr w:rsidR="00AE3C4E" w:rsidRPr="0081082A" w:rsidTr="00310BEC">
              <w:trPr>
                <w:gridAfter w:val="4"/>
                <w:wAfter w:w="487" w:type="dxa"/>
                <w:trHeight w:val="540"/>
                <w:jc w:val="center"/>
              </w:trPr>
              <w:tc>
                <w:tcPr>
                  <w:tcW w:w="2122" w:type="dxa"/>
                  <w:gridSpan w:val="2"/>
                  <w:vMerge/>
                  <w:shd w:val="clear" w:color="auto" w:fill="F2F2F2" w:themeFill="background1" w:themeFillShade="F2"/>
                  <w:vAlign w:val="center"/>
                  <w:hideMark/>
                </w:tcPr>
                <w:p w:rsidR="00AE3C4E" w:rsidRPr="0081082A" w:rsidRDefault="00AE3C4E" w:rsidP="00310BEC">
                  <w:pPr>
                    <w:tabs>
                      <w:tab w:val="left" w:pos="9923"/>
                    </w:tabs>
                    <w:spacing w:after="0" w:line="240" w:lineRule="auto"/>
                    <w:rPr>
                      <w:rFonts w:eastAsia="Times New Roman" w:cstheme="minorHAnsi"/>
                      <w:b/>
                      <w:bCs/>
                      <w:color w:val="000000"/>
                      <w:sz w:val="16"/>
                      <w:szCs w:val="16"/>
                      <w:lang w:val="sr-Cyrl-RS" w:eastAsia="en-GB"/>
                    </w:rPr>
                  </w:pPr>
                </w:p>
              </w:tc>
              <w:tc>
                <w:tcPr>
                  <w:tcW w:w="1984" w:type="dxa"/>
                  <w:gridSpan w:val="2"/>
                  <w:vMerge/>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p>
              </w:tc>
              <w:tc>
                <w:tcPr>
                  <w:tcW w:w="1276" w:type="dxa"/>
                  <w:gridSpan w:val="3"/>
                  <w:vMerge/>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p>
              </w:tc>
              <w:tc>
                <w:tcPr>
                  <w:tcW w:w="2355" w:type="dxa"/>
                  <w:gridSpan w:val="5"/>
                  <w:vMerge/>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p>
              </w:tc>
              <w:tc>
                <w:tcPr>
                  <w:tcW w:w="1472" w:type="dxa"/>
                  <w:gridSpan w:val="7"/>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Извор финансирања</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Веза са програмским буџетом (ПР-ПА/ПЈ)</w:t>
                  </w:r>
                </w:p>
              </w:tc>
              <w:tc>
                <w:tcPr>
                  <w:tcW w:w="709"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2021</w:t>
                  </w:r>
                </w:p>
              </w:tc>
              <w:tc>
                <w:tcPr>
                  <w:tcW w:w="1559"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2022</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2023</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2024</w:t>
                  </w:r>
                </w:p>
              </w:tc>
              <w:tc>
                <w:tcPr>
                  <w:tcW w:w="1107"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2025</w:t>
                  </w:r>
                </w:p>
              </w:tc>
            </w:tr>
            <w:tr w:rsidR="00AE3C4E" w:rsidRPr="0081082A" w:rsidTr="00310BEC">
              <w:trPr>
                <w:gridAfter w:val="4"/>
                <w:wAfter w:w="487" w:type="dxa"/>
                <w:trHeight w:val="990"/>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t>3.2.1 Израда нових процедура поступања, методолошких смерница те додатних помоћних алата за институције надлежне за управљање и спровођење средстава ЕУ са циљем повећања ефикасности извршених контрола и смањења административног оптерећења</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Q4 2023</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Сектор за управљање средствима ЕУ</w:t>
                  </w:r>
                </w:p>
              </w:tc>
              <w:tc>
                <w:tcPr>
                  <w:tcW w:w="2355" w:type="dxa"/>
                  <w:gridSpan w:val="5"/>
                  <w:shd w:val="clear" w:color="auto" w:fill="auto"/>
                  <w:vAlign w:val="center"/>
                  <w:hideMark/>
                </w:tcPr>
                <w:p w:rsidR="00AE3C4E" w:rsidRPr="0081082A" w:rsidRDefault="0018051D"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1472"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Донаторска средства</w:t>
                  </w:r>
                </w:p>
              </w:tc>
              <w:tc>
                <w:tcPr>
                  <w:tcW w:w="1134" w:type="dxa"/>
                  <w:gridSpan w:val="4"/>
                  <w:shd w:val="clear" w:color="auto" w:fill="auto"/>
                  <w:vAlign w:val="bottom"/>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709"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559"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12000</w:t>
                  </w:r>
                  <w:r w:rsidRPr="0081082A">
                    <w:rPr>
                      <w:rFonts w:eastAsia="Times New Roman" w:cstheme="minorHAnsi"/>
                      <w:sz w:val="16"/>
                      <w:szCs w:val="16"/>
                      <w:lang w:val="sr-Cyrl-RS" w:eastAsia="en-GB"/>
                    </w:rPr>
                    <w:t>*</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12000</w:t>
                  </w:r>
                  <w:r w:rsidRPr="0081082A">
                    <w:rPr>
                      <w:rFonts w:eastAsia="Times New Roman" w:cstheme="minorHAnsi"/>
                      <w:sz w:val="16"/>
                      <w:szCs w:val="16"/>
                      <w:lang w:val="sr-Cyrl-RS" w:eastAsia="en-GB"/>
                    </w:rPr>
                    <w:t>*</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107"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r>
            <w:tr w:rsidR="00AE3C4E" w:rsidRPr="0081082A" w:rsidTr="00310BEC">
              <w:trPr>
                <w:gridAfter w:val="4"/>
                <w:wAfter w:w="487" w:type="dxa"/>
                <w:trHeight w:val="770"/>
                <w:jc w:val="center"/>
              </w:trPr>
              <w:tc>
                <w:tcPr>
                  <w:tcW w:w="2122" w:type="dxa"/>
                  <w:gridSpan w:val="2"/>
                  <w:vMerge w:val="restart"/>
                  <w:shd w:val="clear" w:color="auto" w:fill="auto"/>
                  <w:hideMark/>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t xml:space="preserve">3.2.2 Успостављање и спровођење континуираних стручних </w:t>
                  </w:r>
                  <w:r w:rsidRPr="0081082A">
                    <w:rPr>
                      <w:rFonts w:eastAsia="Times New Roman" w:cstheme="minorHAnsi"/>
                      <w:sz w:val="16"/>
                      <w:szCs w:val="16"/>
                      <w:lang w:val="sr-Cyrl-RS" w:eastAsia="en-GB"/>
                    </w:rPr>
                    <w:lastRenderedPageBreak/>
                    <w:t>обука и обука на лицу места везаних за управљање и надзор система, финансијско управљање, контролу коришћења средстава, управљање ризицима и неправилностима</w:t>
                  </w:r>
                </w:p>
              </w:tc>
              <w:tc>
                <w:tcPr>
                  <w:tcW w:w="1984" w:type="dxa"/>
                  <w:gridSpan w:val="2"/>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lastRenderedPageBreak/>
                    <w:t>Q4 2025</w:t>
                  </w:r>
                </w:p>
              </w:tc>
              <w:tc>
                <w:tcPr>
                  <w:tcW w:w="1276"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lastRenderedPageBreak/>
                    <w:t>Сектор за управљање средствима ЕУ</w:t>
                  </w:r>
                </w:p>
              </w:tc>
              <w:tc>
                <w:tcPr>
                  <w:tcW w:w="2355" w:type="dxa"/>
                  <w:gridSpan w:val="5"/>
                  <w:vMerge w:val="restart"/>
                  <w:shd w:val="clear" w:color="auto" w:fill="auto"/>
                  <w:vAlign w:val="center"/>
                  <w:hideMark/>
                </w:tcPr>
                <w:p w:rsidR="004C0437" w:rsidRPr="0081082A" w:rsidRDefault="004C0437" w:rsidP="004C0437">
                  <w:pPr>
                    <w:tabs>
                      <w:tab w:val="left" w:pos="9923"/>
                    </w:tabs>
                    <w:spacing w:after="0" w:line="240" w:lineRule="auto"/>
                    <w:jc w:val="center"/>
                    <w:rPr>
                      <w:rFonts w:eastAsia="Times New Roman" w:cstheme="minorHAnsi"/>
                      <w:sz w:val="16"/>
                      <w:szCs w:val="16"/>
                      <w:lang w:val="sr-Cyrl-RS" w:eastAsia="en-GB"/>
                    </w:rPr>
                  </w:pPr>
                </w:p>
                <w:p w:rsidR="004C0437" w:rsidRPr="0081082A" w:rsidRDefault="004C0437" w:rsidP="004C0437">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472"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lastRenderedPageBreak/>
                    <w:t>Буџетска средства</w:t>
                  </w:r>
                </w:p>
              </w:tc>
              <w:tc>
                <w:tcPr>
                  <w:tcW w:w="1134" w:type="dxa"/>
                  <w:gridSpan w:val="4"/>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4004-3212</w:t>
                  </w:r>
                </w:p>
              </w:tc>
              <w:tc>
                <w:tcPr>
                  <w:tcW w:w="709"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1.500</w:t>
                  </w:r>
                </w:p>
              </w:tc>
              <w:tc>
                <w:tcPr>
                  <w:tcW w:w="1559"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1650</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495</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495*</w:t>
                  </w:r>
                </w:p>
              </w:tc>
              <w:tc>
                <w:tcPr>
                  <w:tcW w:w="1107"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1800*</w:t>
                  </w:r>
                </w:p>
              </w:tc>
            </w:tr>
            <w:tr w:rsidR="00AE3C4E" w:rsidRPr="0081082A" w:rsidTr="00310BEC">
              <w:trPr>
                <w:gridAfter w:val="4"/>
                <w:wAfter w:w="487" w:type="dxa"/>
                <w:trHeight w:val="540"/>
                <w:jc w:val="center"/>
              </w:trPr>
              <w:tc>
                <w:tcPr>
                  <w:tcW w:w="2122" w:type="dxa"/>
                  <w:gridSpan w:val="2"/>
                  <w:vMerge/>
                  <w:shd w:val="clear" w:color="auto" w:fill="auto"/>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p>
              </w:tc>
              <w:tc>
                <w:tcPr>
                  <w:tcW w:w="1984" w:type="dxa"/>
                  <w:gridSpan w:val="2"/>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27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2355" w:type="dxa"/>
                  <w:gridSpan w:val="5"/>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472"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Донаторска средства</w:t>
                  </w:r>
                </w:p>
              </w:tc>
              <w:tc>
                <w:tcPr>
                  <w:tcW w:w="1134" w:type="dxa"/>
                  <w:gridSpan w:val="4"/>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709"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1005*</w:t>
                  </w:r>
                </w:p>
              </w:tc>
              <w:tc>
                <w:tcPr>
                  <w:tcW w:w="1559"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1155*</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107"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1305*</w:t>
                  </w:r>
                </w:p>
              </w:tc>
            </w:tr>
            <w:tr w:rsidR="00AE3C4E" w:rsidRPr="0081082A" w:rsidTr="00310BEC">
              <w:trPr>
                <w:gridAfter w:val="4"/>
                <w:wAfter w:w="487" w:type="dxa"/>
                <w:trHeight w:val="670"/>
                <w:jc w:val="center"/>
              </w:trPr>
              <w:tc>
                <w:tcPr>
                  <w:tcW w:w="2122" w:type="dxa"/>
                  <w:gridSpan w:val="2"/>
                  <w:vMerge w:val="restart"/>
                  <w:shd w:val="clear" w:color="auto" w:fill="auto"/>
                  <w:hideMark/>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lastRenderedPageBreak/>
                    <w:t xml:space="preserve">3.2.3 Осигурање одговарајућег броја службеника и јачање капацитета у погледу ширења опсега и квалитета провера на лицу места и вршења надзорних функција код корисника јавних средстава </w:t>
                  </w:r>
                </w:p>
              </w:tc>
              <w:tc>
                <w:tcPr>
                  <w:tcW w:w="1984" w:type="dxa"/>
                  <w:gridSpan w:val="2"/>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Q4 2025</w:t>
                  </w:r>
                </w:p>
              </w:tc>
              <w:tc>
                <w:tcPr>
                  <w:tcW w:w="1276"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Сектор за управљање средствима ЕУ</w:t>
                  </w:r>
                </w:p>
              </w:tc>
              <w:tc>
                <w:tcPr>
                  <w:tcW w:w="2355" w:type="dxa"/>
                  <w:gridSpan w:val="5"/>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472" w:type="dxa"/>
                  <w:gridSpan w:val="7"/>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Буџетска средствa</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134" w:type="dxa"/>
                  <w:gridSpan w:val="4"/>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4004-3212</w:t>
                  </w:r>
                </w:p>
              </w:tc>
              <w:tc>
                <w:tcPr>
                  <w:tcW w:w="709" w:type="dxa"/>
                  <w:gridSpan w:val="2"/>
                  <w:shd w:val="clear" w:color="auto" w:fill="auto"/>
                  <w:noWrap/>
                  <w:vAlign w:val="bottom"/>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315</w:t>
                  </w:r>
                </w:p>
              </w:tc>
              <w:tc>
                <w:tcPr>
                  <w:tcW w:w="1559"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378</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378</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378*</w:t>
                  </w:r>
                </w:p>
              </w:tc>
              <w:tc>
                <w:tcPr>
                  <w:tcW w:w="1107"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378*</w:t>
                  </w:r>
                </w:p>
              </w:tc>
            </w:tr>
            <w:tr w:rsidR="00AE3C4E" w:rsidRPr="0081082A" w:rsidTr="00310BEC">
              <w:trPr>
                <w:gridAfter w:val="4"/>
                <w:wAfter w:w="487" w:type="dxa"/>
                <w:trHeight w:val="670"/>
                <w:jc w:val="center"/>
              </w:trPr>
              <w:tc>
                <w:tcPr>
                  <w:tcW w:w="2122" w:type="dxa"/>
                  <w:gridSpan w:val="2"/>
                  <w:vMerge/>
                  <w:shd w:val="clear" w:color="auto" w:fill="auto"/>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p>
              </w:tc>
              <w:tc>
                <w:tcPr>
                  <w:tcW w:w="1984" w:type="dxa"/>
                  <w:gridSpan w:val="2"/>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27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2355" w:type="dxa"/>
                  <w:gridSpan w:val="5"/>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472"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Донаторска средства</w:t>
                  </w:r>
                </w:p>
              </w:tc>
              <w:tc>
                <w:tcPr>
                  <w:tcW w:w="1134" w:type="dxa"/>
                  <w:gridSpan w:val="4"/>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709" w:type="dxa"/>
                  <w:gridSpan w:val="2"/>
                  <w:shd w:val="clear" w:color="auto" w:fill="auto"/>
                  <w:noWrap/>
                  <w:vAlign w:val="bottom"/>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559"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172*</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172*</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172*</w:t>
                  </w:r>
                </w:p>
              </w:tc>
              <w:tc>
                <w:tcPr>
                  <w:tcW w:w="1107"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172*</w:t>
                  </w:r>
                </w:p>
              </w:tc>
            </w:tr>
            <w:tr w:rsidR="00AE3C4E" w:rsidRPr="0081082A" w:rsidTr="00310BEC">
              <w:trPr>
                <w:gridAfter w:val="4"/>
                <w:wAfter w:w="487" w:type="dxa"/>
                <w:trHeight w:val="1260"/>
                <w:jc w:val="center"/>
              </w:trPr>
              <w:tc>
                <w:tcPr>
                  <w:tcW w:w="2122" w:type="dxa"/>
                  <w:gridSpan w:val="2"/>
                  <w:shd w:val="clear" w:color="auto" w:fill="auto"/>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t>3.2.4  Унапређење информационог система намењеног подршци пословним процесима за управљање системом и спровођењу уговора и коришћењу средстава</w:t>
                  </w:r>
                </w:p>
              </w:tc>
              <w:tc>
                <w:tcPr>
                  <w:tcW w:w="1984"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cstheme="minorHAnsi"/>
                      <w:sz w:val="16"/>
                      <w:szCs w:val="16"/>
                      <w:lang w:val="sr-Cyrl-RS"/>
                    </w:rPr>
                    <w:t>Q4 2025</w:t>
                  </w:r>
                </w:p>
              </w:tc>
              <w:tc>
                <w:tcPr>
                  <w:tcW w:w="127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Сектор за управљање средствима ЕУ</w:t>
                  </w:r>
                </w:p>
              </w:tc>
              <w:tc>
                <w:tcPr>
                  <w:tcW w:w="2355" w:type="dxa"/>
                  <w:gridSpan w:val="5"/>
                  <w:shd w:val="clear" w:color="auto" w:fill="auto"/>
                  <w:vAlign w:val="center"/>
                </w:tcPr>
                <w:p w:rsidR="00AE3C4E" w:rsidRPr="0081082A" w:rsidRDefault="00221D1E" w:rsidP="00310BEC">
                  <w:pPr>
                    <w:tabs>
                      <w:tab w:val="left" w:pos="9923"/>
                    </w:tabs>
                    <w:spacing w:after="0" w:line="240" w:lineRule="auto"/>
                    <w:jc w:val="center"/>
                    <w:rPr>
                      <w:rFonts w:eastAsia="Times New Roman" w:cstheme="minorHAnsi"/>
                      <w:sz w:val="16"/>
                      <w:szCs w:val="16"/>
                      <w:lang w:val="sr-Cyrl-RS" w:eastAsia="en-GB"/>
                    </w:rPr>
                  </w:pPr>
                  <w:r>
                    <w:rPr>
                      <w:rFonts w:eastAsia="Times New Roman" w:cstheme="minorHAnsi"/>
                      <w:sz w:val="16"/>
                      <w:szCs w:val="16"/>
                      <w:lang w:val="sr-Cyrl-RS" w:eastAsia="en-GB"/>
                    </w:rPr>
                    <w:t>Министарство финансија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472"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Донаторска средства</w:t>
                  </w: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4004-3212</w:t>
                  </w:r>
                </w:p>
              </w:tc>
              <w:tc>
                <w:tcPr>
                  <w:tcW w:w="709"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0</w:t>
                  </w:r>
                </w:p>
              </w:tc>
              <w:tc>
                <w:tcPr>
                  <w:tcW w:w="1559"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0</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0</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35.400*</w:t>
                  </w:r>
                </w:p>
              </w:tc>
              <w:tc>
                <w:tcPr>
                  <w:tcW w:w="1107"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0</w:t>
                  </w:r>
                </w:p>
              </w:tc>
            </w:tr>
            <w:tr w:rsidR="00AE3C4E" w:rsidRPr="0081082A" w:rsidTr="00310BEC">
              <w:trPr>
                <w:gridAfter w:val="4"/>
                <w:wAfter w:w="487" w:type="dxa"/>
                <w:trHeight w:val="345"/>
                <w:jc w:val="center"/>
              </w:trPr>
              <w:tc>
                <w:tcPr>
                  <w:tcW w:w="15986" w:type="dxa"/>
                  <w:gridSpan w:val="37"/>
                  <w:shd w:val="clear" w:color="auto" w:fill="F2F2F2" w:themeFill="background1" w:themeFillShade="F2"/>
                  <w:vAlign w:val="center"/>
                </w:tcPr>
                <w:p w:rsidR="00AE3C4E" w:rsidRPr="0081082A" w:rsidRDefault="00AE3C4E" w:rsidP="00310BEC">
                  <w:pPr>
                    <w:keepNext/>
                    <w:keepLines/>
                    <w:spacing w:after="0" w:line="240" w:lineRule="auto"/>
                    <w:outlineLvl w:val="1"/>
                    <w:rPr>
                      <w:rFonts w:ascii="Times New Roman" w:eastAsia="Times New Roman" w:hAnsi="Times New Roman"/>
                      <w:b/>
                      <w:i/>
                      <w:color w:val="000000"/>
                      <w:lang w:val="sr-Cyrl-RS" w:eastAsia="en-GB"/>
                    </w:rPr>
                  </w:pPr>
                  <w:bookmarkStart w:id="115" w:name="_Toc73613690"/>
                  <w:r w:rsidRPr="0081082A">
                    <w:rPr>
                      <w:rFonts w:eastAsia="Times New Roman"/>
                      <w:b/>
                      <w:i/>
                      <w:color w:val="365F91"/>
                      <w:sz w:val="18"/>
                      <w:szCs w:val="18"/>
                      <w:lang w:val="sr-Cyrl-RS" w:eastAsia="en-GB"/>
                    </w:rPr>
                    <w:t>Мера 3.3: Повећање ефикасности и ефективности инспекцијске контроле</w:t>
                  </w:r>
                  <w:bookmarkEnd w:id="115"/>
                </w:p>
              </w:tc>
            </w:tr>
            <w:tr w:rsidR="00AE3C4E" w:rsidRPr="0081082A" w:rsidTr="00310BEC">
              <w:trPr>
                <w:gridAfter w:val="4"/>
                <w:wAfter w:w="487" w:type="dxa"/>
                <w:trHeight w:val="273"/>
                <w:jc w:val="center"/>
              </w:trPr>
              <w:tc>
                <w:tcPr>
                  <w:tcW w:w="15986" w:type="dxa"/>
                  <w:gridSpan w:val="37"/>
                  <w:shd w:val="clear" w:color="auto" w:fill="F2F2F2" w:themeFill="background1" w:themeFillShade="F2"/>
                </w:tcPr>
                <w:p w:rsidR="00AE3C4E" w:rsidRPr="0081082A" w:rsidRDefault="00AE3C4E" w:rsidP="00310BEC">
                  <w:pPr>
                    <w:keepNext/>
                    <w:keepLines/>
                    <w:spacing w:after="0" w:line="240" w:lineRule="auto"/>
                    <w:outlineLvl w:val="1"/>
                    <w:rPr>
                      <w:rFonts w:ascii="Times New Roman" w:eastAsia="Times New Roman" w:hAnsi="Times New Roman"/>
                      <w:b/>
                      <w:i/>
                      <w:color w:val="1F4E79" w:themeColor="accent1" w:themeShade="80"/>
                      <w:lang w:val="sr-Cyrl-RS" w:eastAsia="en-GB"/>
                    </w:rPr>
                  </w:pPr>
                  <w:bookmarkStart w:id="116" w:name="_Toc73613691"/>
                  <w:r w:rsidRPr="0081082A">
                    <w:rPr>
                      <w:rFonts w:ascii="Times New Roman" w:eastAsia="Times New Roman" w:hAnsi="Times New Roman"/>
                      <w:b/>
                      <w:i/>
                      <w:color w:val="365F91"/>
                      <w:lang w:val="sr-Cyrl-RS" w:eastAsia="en-GB"/>
                    </w:rPr>
                    <w:t>Институција одговорна за спровођење (координацију спровођења) мере: Министарство финансија- Сектор за буџетску инспекцију</w:t>
                  </w:r>
                  <w:bookmarkEnd w:id="116"/>
                </w:p>
              </w:tc>
            </w:tr>
            <w:tr w:rsidR="00AE3C4E" w:rsidRPr="0081082A" w:rsidTr="00310BEC">
              <w:trPr>
                <w:gridAfter w:val="4"/>
                <w:wAfter w:w="487" w:type="dxa"/>
                <w:trHeight w:val="237"/>
                <w:jc w:val="center"/>
              </w:trPr>
              <w:tc>
                <w:tcPr>
                  <w:tcW w:w="10201" w:type="dxa"/>
                  <w:gridSpan w:val="22"/>
                  <w:shd w:val="clear" w:color="auto" w:fill="F2F2F2" w:themeFill="background1" w:themeFillShade="F2"/>
                  <w:vAlign w:val="center"/>
                </w:tcPr>
                <w:p w:rsidR="00AE3C4E" w:rsidRPr="0081082A" w:rsidRDefault="00AE3C4E" w:rsidP="00310BEC">
                  <w:pPr>
                    <w:tabs>
                      <w:tab w:val="left" w:pos="9923"/>
                    </w:tabs>
                    <w:spacing w:after="0" w:line="240" w:lineRule="auto"/>
                    <w:rPr>
                      <w:rFonts w:ascii="Times New Roman" w:eastAsia="Times New Roman" w:hAnsi="Times New Roman"/>
                      <w:b/>
                      <w:i/>
                      <w:color w:val="1F4E79" w:themeColor="accent1" w:themeShade="80"/>
                      <w:lang w:val="sr-Cyrl-RS" w:eastAsia="en-GB"/>
                    </w:rPr>
                  </w:pPr>
                  <w:r w:rsidRPr="0081082A">
                    <w:rPr>
                      <w:rFonts w:ascii="Times New Roman" w:eastAsia="Times New Roman" w:hAnsi="Times New Roman"/>
                      <w:b/>
                      <w:i/>
                      <w:color w:val="1F4E79" w:themeColor="accent1" w:themeShade="80"/>
                      <w:lang w:val="sr-Cyrl-RS" w:eastAsia="en-GB"/>
                    </w:rPr>
                    <w:t>Период спровођења: 2021-2025</w:t>
                  </w:r>
                </w:p>
              </w:tc>
              <w:tc>
                <w:tcPr>
                  <w:tcW w:w="5785" w:type="dxa"/>
                  <w:gridSpan w:val="15"/>
                  <w:shd w:val="clear" w:color="auto" w:fill="F2F2F2" w:themeFill="background1" w:themeFillShade="F2"/>
                  <w:vAlign w:val="center"/>
                </w:tcPr>
                <w:p w:rsidR="00AE3C4E" w:rsidRPr="0081082A" w:rsidRDefault="00AE3C4E" w:rsidP="00310BEC">
                  <w:pPr>
                    <w:tabs>
                      <w:tab w:val="left" w:pos="9923"/>
                    </w:tabs>
                    <w:spacing w:after="0" w:line="240" w:lineRule="auto"/>
                    <w:rPr>
                      <w:rFonts w:ascii="Times New Roman" w:eastAsia="Times New Roman" w:hAnsi="Times New Roman"/>
                      <w:b/>
                      <w:i/>
                      <w:color w:val="1F4E79" w:themeColor="accent1" w:themeShade="80"/>
                      <w:lang w:val="sr-Cyrl-RS" w:eastAsia="en-GB"/>
                    </w:rPr>
                  </w:pPr>
                  <w:r w:rsidRPr="0081082A">
                    <w:rPr>
                      <w:rFonts w:ascii="Times New Roman" w:eastAsia="Times New Roman" w:hAnsi="Times New Roman"/>
                      <w:b/>
                      <w:i/>
                      <w:color w:val="1F4E79" w:themeColor="accent1" w:themeShade="80"/>
                      <w:lang w:val="sr-Cyrl-RS" w:eastAsia="en-GB"/>
                    </w:rPr>
                    <w:t>Тип мере: Институционално управљачко организациона</w:t>
                  </w:r>
                </w:p>
              </w:tc>
            </w:tr>
            <w:tr w:rsidR="00AE3C4E" w:rsidRPr="0081082A" w:rsidTr="00787EFE">
              <w:trPr>
                <w:gridAfter w:val="3"/>
                <w:wAfter w:w="465" w:type="dxa"/>
                <w:trHeight w:val="837"/>
                <w:jc w:val="center"/>
              </w:trPr>
              <w:tc>
                <w:tcPr>
                  <w:tcW w:w="2122"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мере (показатељ резултата)</w:t>
                  </w:r>
                </w:p>
              </w:tc>
              <w:tc>
                <w:tcPr>
                  <w:tcW w:w="1984"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2410" w:type="dxa"/>
                  <w:gridSpan w:val="5"/>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559" w:type="dxa"/>
                  <w:gridSpan w:val="8"/>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34"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843" w:type="dxa"/>
                  <w:gridSpan w:val="6"/>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у 2021</w:t>
                  </w:r>
                </w:p>
              </w:tc>
              <w:tc>
                <w:tcPr>
                  <w:tcW w:w="1701" w:type="dxa"/>
                  <w:gridSpan w:val="3"/>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2023</w:t>
                  </w:r>
                </w:p>
              </w:tc>
              <w:tc>
                <w:tcPr>
                  <w:tcW w:w="992" w:type="dxa"/>
                  <w:gridSpan w:val="3"/>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29" w:type="dxa"/>
                  <w:gridSpan w:val="3"/>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2025</w:t>
                  </w:r>
                </w:p>
              </w:tc>
            </w:tr>
            <w:tr w:rsidR="00AE3C4E" w:rsidRPr="0081082A" w:rsidTr="00787EFE">
              <w:trPr>
                <w:gridAfter w:val="3"/>
                <w:wAfter w:w="465" w:type="dxa"/>
                <w:trHeight w:val="543"/>
                <w:jc w:val="center"/>
              </w:trPr>
              <w:tc>
                <w:tcPr>
                  <w:tcW w:w="2122"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Укупан број извршених инспекцијских контрола</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Број</w:t>
                  </w:r>
                </w:p>
              </w:tc>
              <w:tc>
                <w:tcPr>
                  <w:tcW w:w="2410"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Годишњи извештај о раду буџетске инспекције</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29</w:t>
                  </w: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2020</w:t>
                  </w:r>
                </w:p>
              </w:tc>
              <w:tc>
                <w:tcPr>
                  <w:tcW w:w="1843"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50</w:t>
                  </w:r>
                </w:p>
              </w:tc>
              <w:tc>
                <w:tcPr>
                  <w:tcW w:w="1701"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sz w:val="16"/>
                      <w:szCs w:val="16"/>
                      <w:lang w:val="sr-Cyrl-RS" w:eastAsia="en-GB"/>
                    </w:rPr>
                    <w:t>52</w:t>
                  </w: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54</w:t>
                  </w:r>
                </w:p>
              </w:tc>
              <w:tc>
                <w:tcPr>
                  <w:tcW w:w="992"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56</w:t>
                  </w:r>
                </w:p>
              </w:tc>
              <w:tc>
                <w:tcPr>
                  <w:tcW w:w="1129"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58</w:t>
                  </w:r>
                </w:p>
              </w:tc>
            </w:tr>
            <w:tr w:rsidR="00AE3C4E" w:rsidRPr="0081082A" w:rsidTr="00787EFE">
              <w:trPr>
                <w:gridAfter w:val="3"/>
                <w:wAfter w:w="465" w:type="dxa"/>
                <w:trHeight w:val="630"/>
                <w:jc w:val="center"/>
              </w:trPr>
              <w:tc>
                <w:tcPr>
                  <w:tcW w:w="2122" w:type="dxa"/>
                  <w:gridSpan w:val="2"/>
                  <w:shd w:val="clear" w:color="auto" w:fill="auto"/>
                  <w:vAlign w:val="center"/>
                  <w:hideMark/>
                </w:tcPr>
                <w:p w:rsidR="00AE3C4E" w:rsidRPr="0081082A" w:rsidRDefault="00AE3C4E" w:rsidP="002D3511">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Проценат планираних контрола у односу на број примљених представки, пријава и захтева за контролу</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Проценат (%)</w:t>
                  </w:r>
                </w:p>
              </w:tc>
              <w:tc>
                <w:tcPr>
                  <w:tcW w:w="2410"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Годишњи извештај о раду буџетске инспекције</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12%</w:t>
                  </w: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2020</w:t>
                  </w:r>
                </w:p>
              </w:tc>
              <w:tc>
                <w:tcPr>
                  <w:tcW w:w="1843"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15%</w:t>
                  </w:r>
                </w:p>
              </w:tc>
              <w:tc>
                <w:tcPr>
                  <w:tcW w:w="1701"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17%</w:t>
                  </w: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20%</w:t>
                  </w:r>
                </w:p>
              </w:tc>
              <w:tc>
                <w:tcPr>
                  <w:tcW w:w="992"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25%</w:t>
                  </w:r>
                </w:p>
              </w:tc>
              <w:tc>
                <w:tcPr>
                  <w:tcW w:w="1129"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30%</w:t>
                  </w:r>
                </w:p>
              </w:tc>
            </w:tr>
            <w:tr w:rsidR="00AE3C4E" w:rsidRPr="0081082A" w:rsidTr="00787EFE">
              <w:trPr>
                <w:gridAfter w:val="4"/>
                <w:wAfter w:w="487" w:type="dxa"/>
                <w:trHeight w:val="300"/>
                <w:jc w:val="center"/>
              </w:trPr>
              <w:tc>
                <w:tcPr>
                  <w:tcW w:w="2122" w:type="dxa"/>
                  <w:gridSpan w:val="2"/>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lastRenderedPageBreak/>
                    <w:t>Назив активности:</w:t>
                  </w:r>
                </w:p>
              </w:tc>
              <w:tc>
                <w:tcPr>
                  <w:tcW w:w="1984" w:type="dxa"/>
                  <w:gridSpan w:val="2"/>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Рок за завршетак активности</w:t>
                  </w:r>
                </w:p>
              </w:tc>
              <w:tc>
                <w:tcPr>
                  <w:tcW w:w="1276" w:type="dxa"/>
                  <w:gridSpan w:val="3"/>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Институција одговорна за спровођење</w:t>
                  </w:r>
                </w:p>
              </w:tc>
              <w:tc>
                <w:tcPr>
                  <w:tcW w:w="1134" w:type="dxa"/>
                  <w:gridSpan w:val="2"/>
                  <w:vMerge w:val="restart"/>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Партнери у спровођењу активности</w:t>
                  </w:r>
                </w:p>
              </w:tc>
              <w:tc>
                <w:tcPr>
                  <w:tcW w:w="9470" w:type="dxa"/>
                  <w:gridSpan w:val="28"/>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Укупна процењена финансијска средства по изворима у 000 дин.</w:t>
                  </w:r>
                </w:p>
              </w:tc>
            </w:tr>
            <w:tr w:rsidR="00AE3C4E" w:rsidRPr="0081082A" w:rsidTr="00787EFE">
              <w:trPr>
                <w:gridAfter w:val="4"/>
                <w:wAfter w:w="487" w:type="dxa"/>
                <w:trHeight w:val="570"/>
                <w:jc w:val="center"/>
              </w:trPr>
              <w:tc>
                <w:tcPr>
                  <w:tcW w:w="2122" w:type="dxa"/>
                  <w:gridSpan w:val="2"/>
                  <w:vMerge/>
                  <w:shd w:val="clear" w:color="auto" w:fill="F2F2F2" w:themeFill="background1" w:themeFillShade="F2"/>
                  <w:vAlign w:val="center"/>
                  <w:hideMark/>
                </w:tcPr>
                <w:p w:rsidR="00AE3C4E" w:rsidRPr="0081082A" w:rsidRDefault="00AE3C4E" w:rsidP="00310BEC">
                  <w:pPr>
                    <w:tabs>
                      <w:tab w:val="left" w:pos="9923"/>
                    </w:tabs>
                    <w:spacing w:after="0" w:line="240" w:lineRule="auto"/>
                    <w:rPr>
                      <w:rFonts w:eastAsia="Times New Roman" w:cstheme="minorHAnsi"/>
                      <w:b/>
                      <w:bCs/>
                      <w:color w:val="000000"/>
                      <w:sz w:val="16"/>
                      <w:szCs w:val="16"/>
                      <w:lang w:val="sr-Cyrl-RS" w:eastAsia="en-GB"/>
                    </w:rPr>
                  </w:pPr>
                </w:p>
              </w:tc>
              <w:tc>
                <w:tcPr>
                  <w:tcW w:w="1984" w:type="dxa"/>
                  <w:gridSpan w:val="2"/>
                  <w:vMerge/>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p>
              </w:tc>
              <w:tc>
                <w:tcPr>
                  <w:tcW w:w="1276" w:type="dxa"/>
                  <w:gridSpan w:val="3"/>
                  <w:vMerge/>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p>
              </w:tc>
              <w:tc>
                <w:tcPr>
                  <w:tcW w:w="1134" w:type="dxa"/>
                  <w:gridSpan w:val="2"/>
                  <w:vMerge/>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p>
              </w:tc>
              <w:tc>
                <w:tcPr>
                  <w:tcW w:w="1559" w:type="dxa"/>
                  <w:gridSpan w:val="8"/>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Извор финансирања</w:t>
                  </w:r>
                </w:p>
              </w:tc>
              <w:tc>
                <w:tcPr>
                  <w:tcW w:w="1134"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Веза са програмским буџетом (ПР-ПА/ПЈ)</w:t>
                  </w:r>
                </w:p>
              </w:tc>
              <w:tc>
                <w:tcPr>
                  <w:tcW w:w="1843" w:type="dxa"/>
                  <w:gridSpan w:val="6"/>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2021</w:t>
                  </w:r>
                </w:p>
              </w:tc>
              <w:tc>
                <w:tcPr>
                  <w:tcW w:w="1701" w:type="dxa"/>
                  <w:gridSpan w:val="3"/>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2022</w:t>
                  </w:r>
                </w:p>
              </w:tc>
              <w:tc>
                <w:tcPr>
                  <w:tcW w:w="1134" w:type="dxa"/>
                  <w:gridSpan w:val="4"/>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2023</w:t>
                  </w:r>
                </w:p>
              </w:tc>
              <w:tc>
                <w:tcPr>
                  <w:tcW w:w="992" w:type="dxa"/>
                  <w:gridSpan w:val="3"/>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2024</w:t>
                  </w:r>
                </w:p>
              </w:tc>
              <w:tc>
                <w:tcPr>
                  <w:tcW w:w="1107" w:type="dxa"/>
                  <w:gridSpan w:val="2"/>
                  <w:shd w:val="clear" w:color="auto" w:fill="F2F2F2" w:themeFill="background1" w:themeFillShade="F2"/>
                  <w:vAlign w:val="center"/>
                  <w:hideMark/>
                </w:tcPr>
                <w:p w:rsidR="00AE3C4E" w:rsidRPr="0081082A" w:rsidRDefault="00AE3C4E" w:rsidP="00310BEC">
                  <w:pPr>
                    <w:tabs>
                      <w:tab w:val="left" w:pos="9923"/>
                    </w:tabs>
                    <w:spacing w:after="0" w:line="240" w:lineRule="auto"/>
                    <w:jc w:val="center"/>
                    <w:rPr>
                      <w:rFonts w:eastAsia="Times New Roman" w:cstheme="minorHAnsi"/>
                      <w:b/>
                      <w:bCs/>
                      <w:color w:val="000000"/>
                      <w:sz w:val="16"/>
                      <w:szCs w:val="16"/>
                      <w:lang w:val="sr-Cyrl-RS" w:eastAsia="en-GB"/>
                    </w:rPr>
                  </w:pPr>
                  <w:r w:rsidRPr="0081082A">
                    <w:rPr>
                      <w:rFonts w:eastAsia="Times New Roman" w:cstheme="minorHAnsi"/>
                      <w:b/>
                      <w:bCs/>
                      <w:color w:val="000000"/>
                      <w:sz w:val="16"/>
                      <w:szCs w:val="16"/>
                      <w:lang w:val="sr-Cyrl-RS" w:eastAsia="en-GB"/>
                    </w:rPr>
                    <w:t>2025</w:t>
                  </w:r>
                </w:p>
              </w:tc>
            </w:tr>
            <w:tr w:rsidR="00AE3C4E" w:rsidRPr="0081082A" w:rsidTr="00787EFE">
              <w:trPr>
                <w:gridAfter w:val="4"/>
                <w:wAfter w:w="487" w:type="dxa"/>
                <w:trHeight w:val="893"/>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t>3.3.1 Доношење методолошких упутства o начину рада буџетске инспекције по областима вршења контрола</w:t>
                  </w:r>
                </w:p>
              </w:tc>
              <w:tc>
                <w:tcPr>
                  <w:tcW w:w="1984" w:type="dxa"/>
                  <w:gridSpan w:val="2"/>
                  <w:shd w:val="clear" w:color="auto" w:fill="auto"/>
                  <w:vAlign w:val="center"/>
                  <w:hideMark/>
                </w:tcPr>
                <w:p w:rsidR="00AE3C4E" w:rsidRPr="0081082A" w:rsidRDefault="00AE3C4E" w:rsidP="00310BEC">
                  <w:pPr>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Q4 2021</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финансија-Сектор за буџетску инспекцију</w:t>
                  </w:r>
                </w:p>
              </w:tc>
              <w:tc>
                <w:tcPr>
                  <w:tcW w:w="1134" w:type="dxa"/>
                  <w:gridSpan w:val="2"/>
                  <w:shd w:val="clear" w:color="auto" w:fill="auto"/>
                  <w:vAlign w:val="center"/>
                  <w:hideMark/>
                </w:tcPr>
                <w:p w:rsidR="00AE3C4E" w:rsidRPr="0081082A" w:rsidRDefault="00174663"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Донаторска средства- ГИЗ</w:t>
                  </w: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2301-004</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283.2</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107"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r>
            <w:tr w:rsidR="00AE3C4E" w:rsidRPr="0081082A" w:rsidTr="00787EFE">
              <w:trPr>
                <w:gridAfter w:val="4"/>
                <w:wAfter w:w="487" w:type="dxa"/>
                <w:trHeight w:val="1268"/>
                <w:jc w:val="center"/>
              </w:trPr>
              <w:tc>
                <w:tcPr>
                  <w:tcW w:w="2122" w:type="dxa"/>
                  <w:gridSpan w:val="2"/>
                  <w:vMerge w:val="restart"/>
                  <w:shd w:val="clear" w:color="auto" w:fill="auto"/>
                  <w:hideMark/>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t>3.3.2 Професионално усавршавање буџетских инспектора и других запослених у буџетској инспекцији континуираном едукацијом</w:t>
                  </w:r>
                </w:p>
              </w:tc>
              <w:tc>
                <w:tcPr>
                  <w:tcW w:w="1984" w:type="dxa"/>
                  <w:gridSpan w:val="2"/>
                  <w:vMerge w:val="restart"/>
                  <w:shd w:val="clear" w:color="auto" w:fill="auto"/>
                  <w:vAlign w:val="center"/>
                  <w:hideMark/>
                </w:tcPr>
                <w:p w:rsidR="00AE3C4E" w:rsidRPr="0081082A" w:rsidRDefault="00AE3C4E" w:rsidP="00310BEC">
                  <w:pPr>
                    <w:spacing w:line="240" w:lineRule="auto"/>
                    <w:jc w:val="center"/>
                    <w:rPr>
                      <w:rFonts w:cstheme="minorHAnsi"/>
                      <w:sz w:val="16"/>
                      <w:szCs w:val="16"/>
                      <w:lang w:val="sr-Cyrl-RS"/>
                    </w:rPr>
                  </w:pPr>
                  <w:r w:rsidRPr="0081082A">
                    <w:rPr>
                      <w:rFonts w:cstheme="minorHAnsi"/>
                      <w:sz w:val="16"/>
                      <w:szCs w:val="16"/>
                      <w:lang w:val="sr-Cyrl-RS"/>
                    </w:rPr>
                    <w:t>Q4 2025</w:t>
                  </w:r>
                </w:p>
              </w:tc>
              <w:tc>
                <w:tcPr>
                  <w:tcW w:w="1276"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финансија-Сектор за буџетску инспекцију</w:t>
                  </w:r>
                </w:p>
              </w:tc>
              <w:tc>
                <w:tcPr>
                  <w:tcW w:w="1134" w:type="dxa"/>
                  <w:gridSpan w:val="2"/>
                  <w:vMerge w:val="restart"/>
                  <w:shd w:val="clear" w:color="auto" w:fill="auto"/>
                  <w:vAlign w:val="center"/>
                  <w:hideMark/>
                </w:tcPr>
                <w:p w:rsidR="00AE3C4E" w:rsidRPr="0081082A" w:rsidRDefault="00174663"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Буџетска средства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134" w:type="dxa"/>
                  <w:gridSpan w:val="2"/>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2301-004</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3.090</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3.182,7</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3.278,2</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3.376,6*</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1107"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3.447,9*</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r>
            <w:tr w:rsidR="00AE3C4E" w:rsidRPr="0081082A" w:rsidTr="00787EFE">
              <w:trPr>
                <w:gridAfter w:val="4"/>
                <w:wAfter w:w="487" w:type="dxa"/>
                <w:trHeight w:val="916"/>
                <w:jc w:val="center"/>
              </w:trPr>
              <w:tc>
                <w:tcPr>
                  <w:tcW w:w="2122" w:type="dxa"/>
                  <w:gridSpan w:val="2"/>
                  <w:vMerge/>
                  <w:shd w:val="clear" w:color="auto" w:fill="auto"/>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p>
              </w:tc>
              <w:tc>
                <w:tcPr>
                  <w:tcW w:w="1984" w:type="dxa"/>
                  <w:gridSpan w:val="2"/>
                  <w:vMerge/>
                  <w:shd w:val="clear" w:color="auto" w:fill="auto"/>
                  <w:vAlign w:val="center"/>
                </w:tcPr>
                <w:p w:rsidR="00AE3C4E" w:rsidRPr="0081082A" w:rsidRDefault="00AE3C4E" w:rsidP="00310BEC">
                  <w:pPr>
                    <w:spacing w:line="240" w:lineRule="auto"/>
                    <w:jc w:val="center"/>
                    <w:rPr>
                      <w:rFonts w:cstheme="minorHAnsi"/>
                      <w:sz w:val="16"/>
                      <w:szCs w:val="16"/>
                      <w:lang w:val="sr-Cyrl-RS"/>
                    </w:rPr>
                  </w:pPr>
                </w:p>
              </w:tc>
              <w:tc>
                <w:tcPr>
                  <w:tcW w:w="127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134" w:type="dxa"/>
                  <w:gridSpan w:val="2"/>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559"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Донаторска средства-ГИЗ</w:t>
                  </w:r>
                </w:p>
              </w:tc>
              <w:tc>
                <w:tcPr>
                  <w:tcW w:w="1134" w:type="dxa"/>
                  <w:gridSpan w:val="2"/>
                  <w:vMerge/>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1843"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141.6</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Извор 06 − Донације од међународних организација</w:t>
                  </w:r>
                </w:p>
              </w:tc>
              <w:tc>
                <w:tcPr>
                  <w:tcW w:w="1701"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992" w:type="dxa"/>
                  <w:gridSpan w:val="3"/>
                  <w:shd w:val="clear" w:color="auto" w:fill="auto"/>
                  <w:noWrap/>
                  <w:vAlign w:val="center"/>
                </w:tcPr>
                <w:p w:rsidR="00AE3C4E" w:rsidRPr="0081082A" w:rsidRDefault="00AE3C4E" w:rsidP="00310BEC">
                  <w:pPr>
                    <w:tabs>
                      <w:tab w:val="left" w:pos="9923"/>
                    </w:tabs>
                    <w:spacing w:after="0" w:line="240" w:lineRule="auto"/>
                    <w:jc w:val="center"/>
                    <w:rPr>
                      <w:rFonts w:ascii="Times New Roman" w:eastAsia="Times New Roman" w:hAnsi="Times New Roman"/>
                      <w:color w:val="000000"/>
                      <w:lang w:val="sr-Cyrl-RS" w:eastAsia="en-GB"/>
                    </w:rPr>
                  </w:pPr>
                  <w:r w:rsidRPr="0081082A">
                    <w:rPr>
                      <w:rFonts w:ascii="Times New Roman" w:eastAsia="Times New Roman" w:hAnsi="Times New Roman"/>
                      <w:color w:val="000000"/>
                      <w:lang w:val="sr-Cyrl-RS" w:eastAsia="en-GB"/>
                    </w:rPr>
                    <w:t>-</w:t>
                  </w:r>
                </w:p>
              </w:tc>
              <w:tc>
                <w:tcPr>
                  <w:tcW w:w="1107" w:type="dxa"/>
                  <w:gridSpan w:val="2"/>
                  <w:shd w:val="clear" w:color="auto" w:fill="auto"/>
                  <w:noWrap/>
                  <w:vAlign w:val="center"/>
                </w:tcPr>
                <w:p w:rsidR="00AE3C4E" w:rsidRPr="0081082A" w:rsidRDefault="00AE3C4E" w:rsidP="00310BEC">
                  <w:pPr>
                    <w:tabs>
                      <w:tab w:val="left" w:pos="9923"/>
                    </w:tabs>
                    <w:spacing w:after="0" w:line="240" w:lineRule="auto"/>
                    <w:jc w:val="center"/>
                    <w:rPr>
                      <w:rFonts w:ascii="Times New Roman" w:eastAsia="Times New Roman" w:hAnsi="Times New Roman"/>
                      <w:color w:val="000000"/>
                      <w:lang w:val="sr-Cyrl-RS" w:eastAsia="en-GB"/>
                    </w:rPr>
                  </w:pPr>
                  <w:r w:rsidRPr="0081082A">
                    <w:rPr>
                      <w:rFonts w:ascii="Times New Roman" w:eastAsia="Times New Roman" w:hAnsi="Times New Roman"/>
                      <w:color w:val="000000"/>
                      <w:lang w:val="sr-Cyrl-RS" w:eastAsia="en-GB"/>
                    </w:rPr>
                    <w:t>-</w:t>
                  </w:r>
                </w:p>
              </w:tc>
            </w:tr>
            <w:tr w:rsidR="00AE3C4E" w:rsidRPr="0081082A" w:rsidTr="00787EFE">
              <w:trPr>
                <w:gridAfter w:val="4"/>
                <w:wAfter w:w="487" w:type="dxa"/>
                <w:trHeight w:val="1065"/>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t>3.3.3 Обезбеђивање потребног броја инспектора – 38 у 2025</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Q4 2025</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финансија-Сектор за буџетску инспекцију</w:t>
                  </w:r>
                </w:p>
              </w:tc>
              <w:tc>
                <w:tcPr>
                  <w:tcW w:w="1134" w:type="dxa"/>
                  <w:gridSpan w:val="2"/>
                  <w:shd w:val="clear" w:color="auto" w:fill="auto"/>
                  <w:vAlign w:val="center"/>
                  <w:hideMark/>
                </w:tcPr>
                <w:p w:rsidR="00AE3C4E" w:rsidRPr="0081082A" w:rsidRDefault="00174663"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Буџетска средства</w:t>
                  </w: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2301-004</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1.919</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r w:rsidRPr="0081082A">
                    <w:rPr>
                      <w:rFonts w:eastAsia="Times New Roman" w:cstheme="minorHAnsi"/>
                      <w:color w:val="000000"/>
                      <w:sz w:val="16"/>
                      <w:szCs w:val="16"/>
                      <w:lang w:val="sr-Cyrl-RS" w:eastAsia="en-GB"/>
                    </w:rPr>
                    <w:t>16.738</w:t>
                  </w:r>
                </w:p>
                <w:p w:rsidR="00AE3C4E" w:rsidRPr="0081082A" w:rsidRDefault="00AE3C4E" w:rsidP="00310BEC">
                  <w:pPr>
                    <w:tabs>
                      <w:tab w:val="left" w:pos="9923"/>
                    </w:tabs>
                    <w:spacing w:after="0" w:line="240" w:lineRule="auto"/>
                    <w:jc w:val="center"/>
                    <w:rPr>
                      <w:rFonts w:eastAsia="Times New Roman" w:cstheme="minorHAnsi"/>
                      <w:color w:val="000000"/>
                      <w:sz w:val="16"/>
                      <w:szCs w:val="16"/>
                      <w:lang w:val="sr-Cyrl-RS" w:eastAsia="en-GB"/>
                    </w:rPr>
                  </w:pP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ascii="Times New Roman" w:eastAsia="Times New Roman" w:hAnsi="Times New Roman"/>
                      <w:color w:val="000000"/>
                      <w:lang w:val="sr-Cyrl-RS" w:eastAsia="en-GB"/>
                    </w:rPr>
                  </w:pPr>
                  <w:r w:rsidRPr="0081082A">
                    <w:rPr>
                      <w:rFonts w:ascii="Times New Roman" w:eastAsia="Times New Roman" w:hAnsi="Times New Roman"/>
                      <w:color w:val="000000"/>
                      <w:lang w:val="sr-Cyrl-RS" w:eastAsia="en-GB"/>
                    </w:rPr>
                    <w:t>-</w:t>
                  </w:r>
                </w:p>
              </w:tc>
              <w:tc>
                <w:tcPr>
                  <w:tcW w:w="1107" w:type="dxa"/>
                  <w:gridSpan w:val="2"/>
                  <w:shd w:val="clear" w:color="auto" w:fill="auto"/>
                  <w:noWrap/>
                  <w:vAlign w:val="center"/>
                  <w:hideMark/>
                </w:tcPr>
                <w:p w:rsidR="00AE3C4E" w:rsidRPr="0081082A" w:rsidRDefault="00AE3C4E" w:rsidP="00310BEC">
                  <w:pPr>
                    <w:tabs>
                      <w:tab w:val="left" w:pos="9923"/>
                    </w:tabs>
                    <w:spacing w:after="0" w:line="240" w:lineRule="auto"/>
                    <w:jc w:val="center"/>
                    <w:rPr>
                      <w:rFonts w:ascii="Times New Roman" w:eastAsia="Times New Roman" w:hAnsi="Times New Roman"/>
                      <w:color w:val="000000"/>
                      <w:lang w:val="sr-Cyrl-RS" w:eastAsia="en-GB"/>
                    </w:rPr>
                  </w:pPr>
                  <w:r w:rsidRPr="0081082A">
                    <w:rPr>
                      <w:rFonts w:ascii="Times New Roman" w:eastAsia="Times New Roman" w:hAnsi="Times New Roman"/>
                      <w:color w:val="000000"/>
                      <w:lang w:val="sr-Cyrl-RS" w:eastAsia="en-GB"/>
                    </w:rPr>
                    <w:t>-</w:t>
                  </w:r>
                </w:p>
              </w:tc>
            </w:tr>
            <w:tr w:rsidR="00AE3C4E" w:rsidRPr="0081082A" w:rsidTr="00787EFE">
              <w:trPr>
                <w:gridAfter w:val="4"/>
                <w:wAfter w:w="487" w:type="dxa"/>
                <w:trHeight w:val="841"/>
                <w:jc w:val="center"/>
              </w:trPr>
              <w:tc>
                <w:tcPr>
                  <w:tcW w:w="2122" w:type="dxa"/>
                  <w:gridSpan w:val="2"/>
                  <w:shd w:val="clear" w:color="auto" w:fill="auto"/>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t>3.3.4 Измене и допуне Закона о буџетском систему и подзаконских аката буџетске инспекције / Доношење закона о буџетској инспекцији</w:t>
                  </w:r>
                </w:p>
              </w:tc>
              <w:tc>
                <w:tcPr>
                  <w:tcW w:w="1984" w:type="dxa"/>
                  <w:gridSpan w:val="2"/>
                  <w:shd w:val="clear" w:color="auto" w:fill="auto"/>
                  <w:vAlign w:val="center"/>
                </w:tcPr>
                <w:p w:rsidR="00AE3C4E" w:rsidRPr="0081082A" w:rsidRDefault="00AE3C4E" w:rsidP="00310BEC">
                  <w:pPr>
                    <w:tabs>
                      <w:tab w:val="left" w:pos="9923"/>
                    </w:tabs>
                    <w:spacing w:after="0" w:line="240" w:lineRule="auto"/>
                    <w:rPr>
                      <w:rFonts w:eastAsia="Times New Roman" w:cstheme="minorHAnsi"/>
                      <w:sz w:val="16"/>
                      <w:szCs w:val="16"/>
                      <w:lang w:val="sr-Cyrl-RS" w:eastAsia="en-GB"/>
                    </w:rPr>
                  </w:pPr>
                  <w:r w:rsidRPr="0081082A">
                    <w:rPr>
                      <w:rFonts w:eastAsia="Times New Roman" w:cstheme="minorHAnsi"/>
                      <w:sz w:val="16"/>
                      <w:szCs w:val="16"/>
                      <w:lang w:val="sr-Cyrl-RS" w:eastAsia="en-GB"/>
                    </w:rPr>
                    <w:t>Q1 2022</w:t>
                  </w:r>
                </w:p>
              </w:tc>
              <w:tc>
                <w:tcPr>
                  <w:tcW w:w="127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Министарство финансија-Сектор за буџетску инспекцију</w:t>
                  </w:r>
                </w:p>
                <w:p w:rsidR="008743A9" w:rsidRPr="0081082A" w:rsidRDefault="008743A9" w:rsidP="00310BEC">
                  <w:pPr>
                    <w:tabs>
                      <w:tab w:val="left" w:pos="9923"/>
                    </w:tabs>
                    <w:spacing w:after="0" w:line="240" w:lineRule="auto"/>
                    <w:jc w:val="center"/>
                    <w:rPr>
                      <w:rFonts w:eastAsia="Times New Roman" w:cstheme="minorHAnsi"/>
                      <w:sz w:val="16"/>
                      <w:szCs w:val="16"/>
                      <w:lang w:val="sr-Cyrl-RS" w:eastAsia="en-GB"/>
                    </w:rPr>
                  </w:pPr>
                </w:p>
                <w:p w:rsidR="008743A9" w:rsidRPr="0081082A" w:rsidRDefault="008743A9" w:rsidP="00310BEC">
                  <w:pPr>
                    <w:tabs>
                      <w:tab w:val="left" w:pos="9923"/>
                    </w:tabs>
                    <w:spacing w:after="0" w:line="240" w:lineRule="auto"/>
                    <w:jc w:val="center"/>
                    <w:rPr>
                      <w:rFonts w:eastAsia="Times New Roman" w:cstheme="minorHAnsi"/>
                      <w:sz w:val="16"/>
                      <w:szCs w:val="16"/>
                      <w:lang w:val="sr-Cyrl-RS" w:eastAsia="en-GB"/>
                    </w:rPr>
                  </w:pPr>
                </w:p>
                <w:p w:rsidR="008743A9" w:rsidRPr="0081082A" w:rsidRDefault="008743A9" w:rsidP="00310BEC">
                  <w:pPr>
                    <w:tabs>
                      <w:tab w:val="left" w:pos="9923"/>
                    </w:tabs>
                    <w:spacing w:after="0" w:line="240" w:lineRule="auto"/>
                    <w:jc w:val="center"/>
                    <w:rPr>
                      <w:rFonts w:eastAsia="Times New Roman" w:cstheme="minorHAnsi"/>
                      <w:sz w:val="16"/>
                      <w:szCs w:val="16"/>
                      <w:lang w:val="sr-Cyrl-RS" w:eastAsia="en-GB"/>
                    </w:rPr>
                  </w:pPr>
                </w:p>
              </w:tc>
              <w:tc>
                <w:tcPr>
                  <w:tcW w:w="1134" w:type="dxa"/>
                  <w:gridSpan w:val="2"/>
                  <w:shd w:val="clear" w:color="auto" w:fill="auto"/>
                  <w:vAlign w:val="center"/>
                </w:tcPr>
                <w:p w:rsidR="00AE3C4E" w:rsidRPr="0081082A" w:rsidRDefault="00174663"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1559"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Донаторска средства-ГИЗ</w:t>
                  </w:r>
                </w:p>
              </w:tc>
              <w:tc>
                <w:tcPr>
                  <w:tcW w:w="1134"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p>
              </w:tc>
              <w:tc>
                <w:tcPr>
                  <w:tcW w:w="1843"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708</w:t>
                  </w:r>
                </w:p>
              </w:tc>
              <w:tc>
                <w:tcPr>
                  <w:tcW w:w="1701"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992"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c>
                <w:tcPr>
                  <w:tcW w:w="1107" w:type="dxa"/>
                  <w:gridSpan w:val="2"/>
                  <w:shd w:val="clear" w:color="auto" w:fill="auto"/>
                  <w:noWrap/>
                  <w:vAlign w:val="center"/>
                </w:tcPr>
                <w:p w:rsidR="00AE3C4E" w:rsidRPr="0081082A" w:rsidRDefault="00AE3C4E" w:rsidP="00310BEC">
                  <w:pPr>
                    <w:tabs>
                      <w:tab w:val="left" w:pos="9923"/>
                    </w:tabs>
                    <w:spacing w:after="0" w:line="240" w:lineRule="auto"/>
                    <w:jc w:val="center"/>
                    <w:rPr>
                      <w:rFonts w:eastAsia="Times New Roman" w:cstheme="minorHAnsi"/>
                      <w:sz w:val="16"/>
                      <w:szCs w:val="16"/>
                      <w:lang w:val="sr-Cyrl-RS" w:eastAsia="en-GB"/>
                    </w:rPr>
                  </w:pPr>
                  <w:r w:rsidRPr="0081082A">
                    <w:rPr>
                      <w:rFonts w:eastAsia="Times New Roman" w:cstheme="minorHAnsi"/>
                      <w:sz w:val="16"/>
                      <w:szCs w:val="16"/>
                      <w:lang w:val="sr-Cyrl-RS" w:eastAsia="en-GB"/>
                    </w:rPr>
                    <w:t>-</w:t>
                  </w:r>
                </w:p>
              </w:tc>
            </w:tr>
            <w:tr w:rsidR="00AE3C4E" w:rsidRPr="0081082A" w:rsidTr="00310BEC">
              <w:trPr>
                <w:gridAfter w:val="5"/>
                <w:wAfter w:w="564" w:type="dxa"/>
                <w:trHeight w:val="687"/>
                <w:jc w:val="center"/>
              </w:trPr>
              <w:tc>
                <w:tcPr>
                  <w:tcW w:w="15909" w:type="dxa"/>
                  <w:gridSpan w:val="36"/>
                  <w:shd w:val="clear" w:color="auto" w:fill="DEEAF6" w:themeFill="accent1" w:themeFillTint="33"/>
                </w:tcPr>
                <w:p w:rsidR="00AE3C4E" w:rsidRPr="0081082A" w:rsidRDefault="00AE3C4E" w:rsidP="00310BEC">
                  <w:pPr>
                    <w:keepNext/>
                    <w:keepLines/>
                    <w:spacing w:after="0" w:line="240" w:lineRule="auto"/>
                    <w:outlineLvl w:val="1"/>
                    <w:rPr>
                      <w:rFonts w:eastAsia="Times New Roman"/>
                      <w:b/>
                      <w:bCs/>
                      <w:iCs/>
                      <w:color w:val="365F91"/>
                      <w:sz w:val="18"/>
                      <w:szCs w:val="18"/>
                      <w:lang w:val="sr-Cyrl-RS" w:eastAsia="en-GB"/>
                    </w:rPr>
                  </w:pPr>
                  <w:bookmarkStart w:id="117" w:name="_Toc69726992"/>
                </w:p>
                <w:p w:rsidR="00AE3C4E" w:rsidRPr="0081082A" w:rsidRDefault="00AE3C4E" w:rsidP="00310BEC">
                  <w:pPr>
                    <w:keepNext/>
                    <w:keepLines/>
                    <w:spacing w:after="0" w:line="240" w:lineRule="auto"/>
                    <w:outlineLvl w:val="0"/>
                    <w:rPr>
                      <w:rFonts w:eastAsia="Times New Roman"/>
                      <w:b/>
                      <w:bCs/>
                      <w:iCs/>
                      <w:color w:val="365F91"/>
                      <w:sz w:val="18"/>
                      <w:szCs w:val="18"/>
                      <w:lang w:val="sr-Cyrl-RS" w:eastAsia="en-GB"/>
                    </w:rPr>
                  </w:pPr>
                  <w:r w:rsidRPr="0081082A">
                    <w:rPr>
                      <w:rFonts w:eastAsia="Times New Roman"/>
                      <w:b/>
                      <w:color w:val="365F91"/>
                      <w:shd w:val="clear" w:color="auto" w:fill="DEEAF6" w:themeFill="accent1" w:themeFillTint="33"/>
                      <w:lang w:val="sr-Cyrl-RS" w:eastAsia="en-GB"/>
                    </w:rPr>
                    <w:t>ПОСЕБНИ ЦИЉ IV:  УНАПРЕЂЕЊЕ ПРИМЕНЕ СИСТЕМА ИНТЕРНЕ ФИНАНСИЈСКЕ КОНТРОЛЕ У ЈАВНОМ СЕКТОРУ</w:t>
                  </w:r>
                  <w:bookmarkEnd w:id="117"/>
                </w:p>
              </w:tc>
            </w:tr>
            <w:tr w:rsidR="00AE3C4E" w:rsidRPr="0081082A" w:rsidTr="00787EFE">
              <w:trPr>
                <w:gridAfter w:val="4"/>
                <w:wAfter w:w="487" w:type="dxa"/>
                <w:trHeight w:val="780"/>
                <w:jc w:val="center"/>
              </w:trPr>
              <w:tc>
                <w:tcPr>
                  <w:tcW w:w="2122" w:type="dxa"/>
                  <w:gridSpan w:val="2"/>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 (и) на нивоу посебног циља (показатељ исхода)</w:t>
                  </w:r>
                </w:p>
              </w:tc>
              <w:tc>
                <w:tcPr>
                  <w:tcW w:w="1984" w:type="dxa"/>
                  <w:gridSpan w:val="2"/>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2410" w:type="dxa"/>
                  <w:gridSpan w:val="5"/>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559"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34" w:type="dxa"/>
                  <w:gridSpan w:val="2"/>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843"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701"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992"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07" w:type="dxa"/>
                  <w:gridSpan w:val="2"/>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787EFE">
              <w:trPr>
                <w:gridAfter w:val="4"/>
                <w:wAfter w:w="487" w:type="dxa"/>
                <w:trHeight w:val="1320"/>
                <w:jc w:val="center"/>
              </w:trPr>
              <w:tc>
                <w:tcPr>
                  <w:tcW w:w="2122"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Идентификован напредак који се односи на ИФКЈ у оквиру ЕК извештаја о напретку Републике Србије за одређену годину</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1.Рана фаза припремљености</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2.Известан ниво припремљености</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3.Умерена припремљеност</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4.Добар ниво припремљености</w:t>
                  </w:r>
                </w:p>
              </w:tc>
              <w:tc>
                <w:tcPr>
                  <w:tcW w:w="2410"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ЕК извештај о Србији за одређену годину (поглавље 32)</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Умерено припремљена уз добар напредак у 2019. години</w:t>
                  </w: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2019</w:t>
                  </w:r>
                </w:p>
              </w:tc>
              <w:tc>
                <w:tcPr>
                  <w:tcW w:w="1843"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Умерена припремље-ност</w:t>
                  </w:r>
                </w:p>
              </w:tc>
              <w:tc>
                <w:tcPr>
                  <w:tcW w:w="1701" w:type="dxa"/>
                  <w:gridSpan w:val="3"/>
                  <w:shd w:val="clear" w:color="auto" w:fill="auto"/>
                  <w:vAlign w:val="center"/>
                  <w:hideMark/>
                </w:tcPr>
                <w:p w:rsidR="00AE3C4E" w:rsidRPr="0081082A" w:rsidRDefault="009876E4" w:rsidP="00310BEC">
                  <w:pPr>
                    <w:tabs>
                      <w:tab w:val="left" w:pos="9923"/>
                    </w:tabs>
                    <w:spacing w:after="0" w:line="240" w:lineRule="auto"/>
                    <w:jc w:val="center"/>
                    <w:rPr>
                      <w:rFonts w:eastAsia="Times New Roman"/>
                      <w:sz w:val="16"/>
                      <w:szCs w:val="16"/>
                      <w:lang w:val="sr-Cyrl-RS" w:eastAsia="en-GB"/>
                    </w:rPr>
                  </w:pPr>
                  <w:r>
                    <w:rPr>
                      <w:rFonts w:eastAsia="Times New Roman"/>
                      <w:sz w:val="16"/>
                      <w:szCs w:val="16"/>
                      <w:lang w:val="sr-Cyrl-RS" w:eastAsia="en-GB"/>
                    </w:rPr>
                    <w:t>Умерена припремље</w:t>
                  </w:r>
                  <w:r w:rsidR="00AE3C4E" w:rsidRPr="0081082A">
                    <w:rPr>
                      <w:rFonts w:eastAsia="Times New Roman"/>
                      <w:sz w:val="16"/>
                      <w:szCs w:val="16"/>
                      <w:lang w:val="sr-Cyrl-RS" w:eastAsia="en-GB"/>
                    </w:rPr>
                    <w:t>ност</w:t>
                  </w: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Умерена припремље-ност</w:t>
                  </w:r>
                </w:p>
              </w:tc>
              <w:tc>
                <w:tcPr>
                  <w:tcW w:w="992" w:type="dxa"/>
                  <w:gridSpan w:val="3"/>
                  <w:shd w:val="clear" w:color="auto" w:fill="auto"/>
                  <w:vAlign w:val="center"/>
                  <w:hideMark/>
                </w:tcPr>
                <w:p w:rsidR="00AE3C4E" w:rsidRPr="0081082A" w:rsidRDefault="009876E4" w:rsidP="00310BEC">
                  <w:pPr>
                    <w:tabs>
                      <w:tab w:val="left" w:pos="9923"/>
                    </w:tabs>
                    <w:spacing w:after="0" w:line="240" w:lineRule="auto"/>
                    <w:jc w:val="center"/>
                    <w:rPr>
                      <w:rFonts w:eastAsia="Times New Roman"/>
                      <w:sz w:val="16"/>
                      <w:szCs w:val="16"/>
                      <w:lang w:val="sr-Cyrl-RS" w:eastAsia="en-GB"/>
                    </w:rPr>
                  </w:pPr>
                  <w:r>
                    <w:rPr>
                      <w:rFonts w:eastAsia="Times New Roman"/>
                      <w:sz w:val="16"/>
                      <w:szCs w:val="16"/>
                      <w:lang w:val="sr-Cyrl-RS" w:eastAsia="en-GB"/>
                    </w:rPr>
                    <w:t>Умерена припремље</w:t>
                  </w:r>
                  <w:r w:rsidR="00AE3C4E" w:rsidRPr="0081082A">
                    <w:rPr>
                      <w:rFonts w:eastAsia="Times New Roman"/>
                      <w:sz w:val="16"/>
                      <w:szCs w:val="16"/>
                      <w:lang w:val="sr-Cyrl-RS" w:eastAsia="en-GB"/>
                    </w:rPr>
                    <w:t>ност</w:t>
                  </w:r>
                </w:p>
              </w:tc>
              <w:tc>
                <w:tcPr>
                  <w:tcW w:w="1107"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Добар ниво припремље-ности</w:t>
                  </w:r>
                </w:p>
              </w:tc>
            </w:tr>
            <w:tr w:rsidR="00AE3C4E" w:rsidRPr="0081082A" w:rsidTr="00310BEC">
              <w:trPr>
                <w:gridAfter w:val="5"/>
                <w:wAfter w:w="564" w:type="dxa"/>
                <w:trHeight w:val="300"/>
                <w:jc w:val="center"/>
              </w:trPr>
              <w:tc>
                <w:tcPr>
                  <w:tcW w:w="15909" w:type="dxa"/>
                  <w:gridSpan w:val="36"/>
                  <w:shd w:val="clear" w:color="auto" w:fill="F2F2F2" w:themeFill="background1" w:themeFillShade="F2"/>
                  <w:vAlign w:val="center"/>
                </w:tcPr>
                <w:p w:rsidR="00AE3C4E" w:rsidRPr="0081082A" w:rsidRDefault="00AE3C4E" w:rsidP="00310BEC">
                  <w:pPr>
                    <w:tabs>
                      <w:tab w:val="left" w:pos="9923"/>
                    </w:tabs>
                    <w:spacing w:after="0" w:line="240" w:lineRule="auto"/>
                    <w:rPr>
                      <w:rFonts w:eastAsia="Times New Roman"/>
                      <w:b/>
                      <w:bCs/>
                      <w:i/>
                      <w:color w:val="000000"/>
                      <w:sz w:val="18"/>
                      <w:szCs w:val="18"/>
                      <w:lang w:val="sr-Cyrl-RS" w:eastAsia="en-GB"/>
                    </w:rPr>
                  </w:pPr>
                  <w:r w:rsidRPr="0081082A">
                    <w:rPr>
                      <w:rFonts w:eastAsia="Times New Roman"/>
                      <w:b/>
                      <w:bCs/>
                      <w:i/>
                      <w:color w:val="1F4E79" w:themeColor="accent1" w:themeShade="80"/>
                      <w:sz w:val="18"/>
                      <w:szCs w:val="18"/>
                      <w:lang w:val="sr-Cyrl-RS" w:eastAsia="en-GB"/>
                    </w:rPr>
                    <w:t>Мера 4.1: Унапређење система ФУК-а у институцијама јавног сектора</w:t>
                  </w:r>
                </w:p>
              </w:tc>
            </w:tr>
            <w:tr w:rsidR="00AE3C4E" w:rsidRPr="0081082A" w:rsidTr="00310BEC">
              <w:trPr>
                <w:gridAfter w:val="5"/>
                <w:wAfter w:w="564" w:type="dxa"/>
                <w:trHeight w:val="300"/>
                <w:jc w:val="center"/>
              </w:trPr>
              <w:tc>
                <w:tcPr>
                  <w:tcW w:w="15909" w:type="dxa"/>
                  <w:gridSpan w:val="36"/>
                  <w:shd w:val="clear" w:color="auto" w:fill="F2F2F2" w:themeFill="background1" w:themeFillShade="F2"/>
                  <w:vAlign w:val="center"/>
                </w:tcPr>
                <w:p w:rsidR="00AE3C4E" w:rsidRPr="0081082A" w:rsidRDefault="00AE3C4E" w:rsidP="00310BEC">
                  <w:pPr>
                    <w:tabs>
                      <w:tab w:val="left" w:pos="9923"/>
                    </w:tabs>
                    <w:spacing w:after="0" w:line="240" w:lineRule="auto"/>
                    <w:rPr>
                      <w:rFonts w:eastAsia="Times New Roman"/>
                      <w:b/>
                      <w:bCs/>
                      <w:i/>
                      <w:color w:val="1F4E79" w:themeColor="accent1" w:themeShade="80"/>
                      <w:sz w:val="18"/>
                      <w:szCs w:val="18"/>
                      <w:lang w:val="sr-Cyrl-RS" w:eastAsia="en-GB"/>
                    </w:rPr>
                  </w:pPr>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D55E20" w:rsidRPr="0081082A">
                    <w:rPr>
                      <w:rFonts w:eastAsia="Times New Roman"/>
                      <w:b/>
                      <w:i/>
                      <w:color w:val="365F91"/>
                      <w:sz w:val="18"/>
                      <w:szCs w:val="18"/>
                      <w:lang w:val="sr-Cyrl-RS" w:eastAsia="en-GB"/>
                    </w:rPr>
                    <w:t>мере: Министарство</w:t>
                  </w:r>
                  <w:r w:rsidRPr="0081082A">
                    <w:rPr>
                      <w:rFonts w:eastAsia="Times New Roman"/>
                      <w:b/>
                      <w:i/>
                      <w:color w:val="365F91"/>
                      <w:sz w:val="18"/>
                      <w:szCs w:val="18"/>
                      <w:lang w:val="sr-Cyrl-RS" w:eastAsia="en-GB"/>
                    </w:rPr>
                    <w:t xml:space="preserve"> финансија- Сектор- Централна јединица за хармонизацију</w:t>
                  </w:r>
                </w:p>
              </w:tc>
            </w:tr>
            <w:tr w:rsidR="00AE3C4E" w:rsidRPr="0081082A" w:rsidTr="00310BEC">
              <w:trPr>
                <w:gridAfter w:val="5"/>
                <w:wAfter w:w="564" w:type="dxa"/>
                <w:trHeight w:val="300"/>
                <w:jc w:val="center"/>
              </w:trPr>
              <w:tc>
                <w:tcPr>
                  <w:tcW w:w="8012" w:type="dxa"/>
                  <w:gridSpan w:val="16"/>
                  <w:shd w:val="clear" w:color="auto" w:fill="F2F2F2" w:themeFill="background1" w:themeFillShade="F2"/>
                  <w:vAlign w:val="center"/>
                </w:tcPr>
                <w:p w:rsidR="00AE3C4E" w:rsidRPr="0081082A" w:rsidRDefault="00AE3C4E" w:rsidP="00310BEC">
                  <w:pPr>
                    <w:tabs>
                      <w:tab w:val="left" w:pos="9923"/>
                    </w:tabs>
                    <w:spacing w:after="0" w:line="240" w:lineRule="auto"/>
                    <w:rPr>
                      <w:rFonts w:eastAsia="Times New Roman"/>
                      <w:b/>
                      <w:i/>
                      <w:color w:val="365F91"/>
                      <w:sz w:val="18"/>
                      <w:szCs w:val="18"/>
                      <w:lang w:val="sr-Cyrl-RS" w:eastAsia="en-GB"/>
                    </w:rPr>
                  </w:pPr>
                  <w:r w:rsidRPr="0081082A">
                    <w:rPr>
                      <w:rFonts w:eastAsia="Times New Roman"/>
                      <w:b/>
                      <w:i/>
                      <w:color w:val="365F91"/>
                      <w:sz w:val="18"/>
                      <w:szCs w:val="18"/>
                      <w:lang w:val="sr-Cyrl-RS" w:eastAsia="en-GB"/>
                    </w:rPr>
                    <w:t>Период спровођења: 2021-2025</w:t>
                  </w:r>
                </w:p>
              </w:tc>
              <w:tc>
                <w:tcPr>
                  <w:tcW w:w="7897" w:type="dxa"/>
                  <w:gridSpan w:val="20"/>
                  <w:shd w:val="clear" w:color="auto" w:fill="F2F2F2" w:themeFill="background1" w:themeFillShade="F2"/>
                  <w:vAlign w:val="center"/>
                </w:tcPr>
                <w:p w:rsidR="00AE3C4E" w:rsidRPr="0081082A" w:rsidRDefault="00AE3C4E" w:rsidP="00310BEC">
                  <w:pPr>
                    <w:tabs>
                      <w:tab w:val="left" w:pos="9923"/>
                    </w:tabs>
                    <w:spacing w:after="0" w:line="240" w:lineRule="auto"/>
                    <w:rPr>
                      <w:rFonts w:eastAsia="Times New Roman"/>
                      <w:b/>
                      <w:i/>
                      <w:color w:val="365F91"/>
                      <w:sz w:val="18"/>
                      <w:szCs w:val="18"/>
                      <w:lang w:val="sr-Cyrl-RS" w:eastAsia="en-GB"/>
                    </w:rPr>
                  </w:pPr>
                  <w:r w:rsidRPr="0081082A">
                    <w:rPr>
                      <w:rFonts w:eastAsia="Times New Roman"/>
                      <w:b/>
                      <w:i/>
                      <w:color w:val="365F91"/>
                      <w:sz w:val="18"/>
                      <w:szCs w:val="18"/>
                      <w:lang w:val="sr-Cyrl-RS" w:eastAsia="en-GB"/>
                    </w:rPr>
                    <w:t>Тип мере: Институционално управљачко организациона</w:t>
                  </w:r>
                </w:p>
              </w:tc>
            </w:tr>
            <w:tr w:rsidR="00AE3C4E" w:rsidRPr="0081082A" w:rsidTr="00310BEC">
              <w:trPr>
                <w:gridAfter w:val="1"/>
                <w:wAfter w:w="328" w:type="dxa"/>
                <w:trHeight w:val="300"/>
                <w:jc w:val="center"/>
              </w:trPr>
              <w:tc>
                <w:tcPr>
                  <w:tcW w:w="2122" w:type="dxa"/>
                  <w:gridSpan w:val="2"/>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D55E20"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2013" w:type="dxa"/>
                  <w:gridSpan w:val="3"/>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Jединица мере</w:t>
                  </w:r>
                </w:p>
              </w:tc>
              <w:tc>
                <w:tcPr>
                  <w:tcW w:w="1036" w:type="dxa"/>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474" w:type="dxa"/>
                  <w:gridSpan w:val="4"/>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603" w:type="dxa"/>
                  <w:gridSpan w:val="8"/>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812" w:type="dxa"/>
                  <w:gridSpan w:val="3"/>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2021</w:t>
                  </w:r>
                </w:p>
              </w:tc>
              <w:tc>
                <w:tcPr>
                  <w:tcW w:w="992" w:type="dxa"/>
                  <w:gridSpan w:val="4"/>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2022</w:t>
                  </w:r>
                </w:p>
              </w:tc>
              <w:tc>
                <w:tcPr>
                  <w:tcW w:w="2005" w:type="dxa"/>
                  <w:gridSpan w:val="4"/>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2023</w:t>
                  </w:r>
                </w:p>
              </w:tc>
              <w:tc>
                <w:tcPr>
                  <w:tcW w:w="1255" w:type="dxa"/>
                  <w:gridSpan w:val="4"/>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2024</w:t>
                  </w:r>
                </w:p>
              </w:tc>
              <w:tc>
                <w:tcPr>
                  <w:tcW w:w="1833" w:type="dxa"/>
                  <w:gridSpan w:val="7"/>
                  <w:shd w:val="clear" w:color="auto" w:fill="F2F2F2" w:themeFill="background1" w:themeFillShade="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Циљана вредност </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328" w:type="dxa"/>
                <w:trHeight w:val="300"/>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bCs/>
                      <w:color w:val="1F4E79" w:themeColor="accent1" w:themeShade="80"/>
                      <w:sz w:val="16"/>
                      <w:szCs w:val="16"/>
                      <w:lang w:val="sr-Cyrl-RS" w:eastAsia="en-GB"/>
                    </w:rPr>
                  </w:pPr>
                  <w:r w:rsidRPr="0081082A">
                    <w:rPr>
                      <w:rFonts w:eastAsia="Times New Roman"/>
                      <w:bCs/>
                      <w:sz w:val="16"/>
                      <w:szCs w:val="16"/>
                      <w:lang w:val="sr-Cyrl-RS" w:eastAsia="en-GB"/>
                    </w:rPr>
                    <w:t>Проценат приоритетних КЈС</w:t>
                  </w:r>
                  <w:r w:rsidRPr="0081082A">
                    <w:rPr>
                      <w:rStyle w:val="FootnoteReference"/>
                      <w:rFonts w:eastAsia="Times New Roman"/>
                      <w:bCs/>
                      <w:sz w:val="16"/>
                      <w:szCs w:val="16"/>
                      <w:lang w:val="sr-Cyrl-RS" w:eastAsia="en-GB"/>
                    </w:rPr>
                    <w:footnoteReference w:id="167"/>
                  </w:r>
                  <w:r w:rsidRPr="0081082A">
                    <w:rPr>
                      <w:rFonts w:eastAsia="Times New Roman"/>
                      <w:bCs/>
                      <w:sz w:val="16"/>
                      <w:szCs w:val="16"/>
                      <w:lang w:val="sr-Cyrl-RS" w:eastAsia="en-GB"/>
                    </w:rPr>
                    <w:t xml:space="preserve">  који достављају извештај о стању система ФУК</w:t>
                  </w:r>
                </w:p>
              </w:tc>
              <w:tc>
                <w:tcPr>
                  <w:tcW w:w="2013"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bCs/>
                      <w:color w:val="1F4E79" w:themeColor="accent1" w:themeShade="80"/>
                      <w:sz w:val="16"/>
                      <w:szCs w:val="16"/>
                      <w:lang w:val="sr-Cyrl-RS" w:eastAsia="en-GB"/>
                    </w:rPr>
                  </w:pPr>
                  <w:r w:rsidRPr="0081082A">
                    <w:rPr>
                      <w:rFonts w:eastAsia="Times New Roman"/>
                      <w:bCs/>
                      <w:sz w:val="16"/>
                      <w:szCs w:val="16"/>
                      <w:lang w:val="sr-Cyrl-RS" w:eastAsia="en-GB"/>
                    </w:rPr>
                    <w:t>Проценат (%)</w:t>
                  </w:r>
                </w:p>
              </w:tc>
              <w:tc>
                <w:tcPr>
                  <w:tcW w:w="1036" w:type="dxa"/>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Консолидовани годишњи извештај</w:t>
                  </w:r>
                </w:p>
              </w:tc>
              <w:tc>
                <w:tcPr>
                  <w:tcW w:w="147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91.49</w:t>
                  </w:r>
                </w:p>
              </w:tc>
              <w:tc>
                <w:tcPr>
                  <w:tcW w:w="160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2020</w:t>
                  </w:r>
                </w:p>
              </w:tc>
              <w:tc>
                <w:tcPr>
                  <w:tcW w:w="1812"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92%</w:t>
                  </w:r>
                </w:p>
              </w:tc>
              <w:tc>
                <w:tcPr>
                  <w:tcW w:w="992"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92%</w:t>
                  </w:r>
                </w:p>
              </w:tc>
              <w:tc>
                <w:tcPr>
                  <w:tcW w:w="200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93%</w:t>
                  </w:r>
                </w:p>
              </w:tc>
              <w:tc>
                <w:tcPr>
                  <w:tcW w:w="125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94%</w:t>
                  </w:r>
                </w:p>
              </w:tc>
              <w:tc>
                <w:tcPr>
                  <w:tcW w:w="1833"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95%</w:t>
                  </w:r>
                </w:p>
              </w:tc>
            </w:tr>
            <w:tr w:rsidR="00AE3C4E" w:rsidRPr="0081082A" w:rsidTr="00310BEC">
              <w:trPr>
                <w:gridAfter w:val="1"/>
                <w:wAfter w:w="328" w:type="dxa"/>
                <w:trHeight w:val="300"/>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Проценат приоритетних КЈС</w:t>
                  </w:r>
                  <w:r w:rsidRPr="0081082A">
                    <w:rPr>
                      <w:rStyle w:val="FootnoteReference"/>
                      <w:rFonts w:eastAsia="Times New Roman"/>
                      <w:bCs/>
                      <w:sz w:val="16"/>
                      <w:szCs w:val="16"/>
                      <w:lang w:val="sr-Cyrl-RS" w:eastAsia="en-GB"/>
                    </w:rPr>
                    <w:footnoteReference w:id="168"/>
                  </w:r>
                  <w:r w:rsidRPr="0081082A">
                    <w:rPr>
                      <w:rFonts w:eastAsia="Times New Roman"/>
                      <w:bCs/>
                      <w:sz w:val="16"/>
                      <w:szCs w:val="16"/>
                      <w:lang w:val="sr-Cyrl-RS" w:eastAsia="en-GB"/>
                    </w:rPr>
                    <w:t xml:space="preserve">  који су сачинили регистар ризика</w:t>
                  </w:r>
                </w:p>
              </w:tc>
              <w:tc>
                <w:tcPr>
                  <w:tcW w:w="2013"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Проценат (%)</w:t>
                  </w:r>
                </w:p>
              </w:tc>
              <w:tc>
                <w:tcPr>
                  <w:tcW w:w="1036" w:type="dxa"/>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Консолидовани годишњи извештај</w:t>
                  </w:r>
                </w:p>
              </w:tc>
              <w:tc>
                <w:tcPr>
                  <w:tcW w:w="147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63,95%</w:t>
                  </w:r>
                </w:p>
              </w:tc>
              <w:tc>
                <w:tcPr>
                  <w:tcW w:w="160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2020</w:t>
                  </w:r>
                </w:p>
              </w:tc>
              <w:tc>
                <w:tcPr>
                  <w:tcW w:w="1812"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65%</w:t>
                  </w:r>
                </w:p>
              </w:tc>
              <w:tc>
                <w:tcPr>
                  <w:tcW w:w="992"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68%</w:t>
                  </w:r>
                </w:p>
              </w:tc>
              <w:tc>
                <w:tcPr>
                  <w:tcW w:w="200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71%</w:t>
                  </w:r>
                </w:p>
              </w:tc>
              <w:tc>
                <w:tcPr>
                  <w:tcW w:w="125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74%</w:t>
                  </w:r>
                </w:p>
              </w:tc>
              <w:tc>
                <w:tcPr>
                  <w:tcW w:w="1833"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 xml:space="preserve"> 80%</w:t>
                  </w:r>
                </w:p>
              </w:tc>
            </w:tr>
            <w:tr w:rsidR="00AE3C4E" w:rsidRPr="0081082A" w:rsidTr="00310BEC">
              <w:trPr>
                <w:gridAfter w:val="1"/>
                <w:wAfter w:w="328" w:type="dxa"/>
                <w:trHeight w:val="300"/>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lastRenderedPageBreak/>
                    <w:t>Просечна оцена приоритетне групе КЈС</w:t>
                  </w:r>
                  <w:r w:rsidRPr="0081082A">
                    <w:rPr>
                      <w:rStyle w:val="FootnoteReference"/>
                      <w:rFonts w:eastAsia="Times New Roman"/>
                      <w:bCs/>
                      <w:sz w:val="16"/>
                      <w:szCs w:val="16"/>
                      <w:lang w:val="sr-Cyrl-RS" w:eastAsia="en-GB"/>
                    </w:rPr>
                    <w:footnoteReference w:id="169"/>
                  </w:r>
                  <w:r w:rsidRPr="0081082A">
                    <w:rPr>
                      <w:rFonts w:eastAsia="Times New Roman"/>
                      <w:bCs/>
                      <w:sz w:val="16"/>
                      <w:szCs w:val="16"/>
                      <w:lang w:val="sr-Cyrl-RS" w:eastAsia="en-GB"/>
                    </w:rPr>
                    <w:t xml:space="preserve"> који ажурирају Регистар ризика (обављају процену ризика и преглед адекватности мера бар једном годишње)</w:t>
                  </w:r>
                </w:p>
              </w:tc>
              <w:tc>
                <w:tcPr>
                  <w:tcW w:w="2013"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bCs/>
                      <w:color w:val="000000" w:themeColor="text1"/>
                      <w:sz w:val="16"/>
                      <w:szCs w:val="16"/>
                      <w:lang w:val="sr-Cyrl-RS" w:eastAsia="en-GB"/>
                    </w:rPr>
                  </w:pPr>
                  <w:r w:rsidRPr="0081082A">
                    <w:rPr>
                      <w:rFonts w:eastAsia="Times New Roman"/>
                      <w:bCs/>
                      <w:color w:val="000000" w:themeColor="text1"/>
                      <w:sz w:val="16"/>
                      <w:szCs w:val="16"/>
                      <w:lang w:val="sr-Cyrl-RS" w:eastAsia="en-GB"/>
                    </w:rPr>
                    <w:t>Аритметичка средина самооцена</w:t>
                  </w:r>
                </w:p>
              </w:tc>
              <w:tc>
                <w:tcPr>
                  <w:tcW w:w="1036" w:type="dxa"/>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Консолидовани годишњи извештај</w:t>
                  </w:r>
                </w:p>
              </w:tc>
              <w:tc>
                <w:tcPr>
                  <w:tcW w:w="147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3.91</w:t>
                  </w:r>
                </w:p>
              </w:tc>
              <w:tc>
                <w:tcPr>
                  <w:tcW w:w="160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2020</w:t>
                  </w:r>
                </w:p>
              </w:tc>
              <w:tc>
                <w:tcPr>
                  <w:tcW w:w="1812"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3,95</w:t>
                  </w:r>
                </w:p>
              </w:tc>
              <w:tc>
                <w:tcPr>
                  <w:tcW w:w="992"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4,2</w:t>
                  </w:r>
                </w:p>
              </w:tc>
              <w:tc>
                <w:tcPr>
                  <w:tcW w:w="200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4,5</w:t>
                  </w:r>
                </w:p>
              </w:tc>
              <w:tc>
                <w:tcPr>
                  <w:tcW w:w="125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4,8</w:t>
                  </w:r>
                </w:p>
              </w:tc>
              <w:tc>
                <w:tcPr>
                  <w:tcW w:w="1833"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5</w:t>
                  </w:r>
                </w:p>
              </w:tc>
            </w:tr>
            <w:tr w:rsidR="00AE3C4E" w:rsidRPr="0081082A" w:rsidTr="00310BEC">
              <w:trPr>
                <w:gridAfter w:val="1"/>
                <w:wAfter w:w="328" w:type="dxa"/>
                <w:trHeight w:val="300"/>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Просечна оцена приоритетне групе КЈС</w:t>
                  </w:r>
                  <w:r w:rsidRPr="0081082A">
                    <w:rPr>
                      <w:rStyle w:val="FootnoteReference"/>
                      <w:rFonts w:eastAsia="Times New Roman"/>
                      <w:bCs/>
                      <w:sz w:val="16"/>
                      <w:szCs w:val="16"/>
                      <w:lang w:val="sr-Cyrl-RS" w:eastAsia="en-GB"/>
                    </w:rPr>
                    <w:footnoteReference w:id="170"/>
                  </w:r>
                  <w:r w:rsidRPr="0081082A">
                    <w:rPr>
                      <w:rFonts w:eastAsia="Times New Roman"/>
                      <w:bCs/>
                      <w:sz w:val="16"/>
                      <w:szCs w:val="16"/>
                      <w:lang w:val="sr-Cyrl-RS" w:eastAsia="en-GB"/>
                    </w:rPr>
                    <w:t xml:space="preserve"> код које руководиоци доносе одлуке у функцији управљања идентификованим ризицима (у вези реакције на ризик: прихватање, избегавање, умањивање или подела ризика)</w:t>
                  </w:r>
                </w:p>
              </w:tc>
              <w:tc>
                <w:tcPr>
                  <w:tcW w:w="2013" w:type="dxa"/>
                  <w:gridSpan w:val="3"/>
                  <w:shd w:val="clear" w:color="auto" w:fill="auto"/>
                  <w:vAlign w:val="center"/>
                </w:tcPr>
                <w:p w:rsidR="00AE3C4E" w:rsidRPr="0081082A" w:rsidRDefault="00AE3C4E" w:rsidP="00310BEC">
                  <w:pPr>
                    <w:tabs>
                      <w:tab w:val="left" w:pos="9923"/>
                    </w:tabs>
                    <w:spacing w:after="0" w:line="240" w:lineRule="auto"/>
                    <w:rPr>
                      <w:rFonts w:eastAsia="Times New Roman"/>
                      <w:bCs/>
                      <w:sz w:val="16"/>
                      <w:szCs w:val="16"/>
                      <w:lang w:val="sr-Cyrl-RS" w:eastAsia="en-GB"/>
                    </w:rPr>
                  </w:pPr>
                  <w:r w:rsidRPr="0081082A">
                    <w:rPr>
                      <w:rFonts w:eastAsia="Times New Roman"/>
                      <w:bCs/>
                      <w:sz w:val="16"/>
                      <w:szCs w:val="16"/>
                      <w:lang w:val="sr-Cyrl-RS" w:eastAsia="en-GB"/>
                    </w:rPr>
                    <w:t xml:space="preserve">Аритметичка средина самооцена </w:t>
                  </w:r>
                </w:p>
              </w:tc>
              <w:tc>
                <w:tcPr>
                  <w:tcW w:w="1036" w:type="dxa"/>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Консолидовани годишњи извештај</w:t>
                  </w:r>
                </w:p>
              </w:tc>
              <w:tc>
                <w:tcPr>
                  <w:tcW w:w="147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3.68</w:t>
                  </w:r>
                </w:p>
              </w:tc>
              <w:tc>
                <w:tcPr>
                  <w:tcW w:w="160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2020</w:t>
                  </w:r>
                </w:p>
              </w:tc>
              <w:tc>
                <w:tcPr>
                  <w:tcW w:w="1812"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3,81</w:t>
                  </w:r>
                </w:p>
              </w:tc>
              <w:tc>
                <w:tcPr>
                  <w:tcW w:w="992"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w:t>
                  </w:r>
                </w:p>
              </w:tc>
              <w:tc>
                <w:tcPr>
                  <w:tcW w:w="200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4,15</w:t>
                  </w:r>
                </w:p>
              </w:tc>
              <w:tc>
                <w:tcPr>
                  <w:tcW w:w="125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4,3</w:t>
                  </w:r>
                </w:p>
              </w:tc>
              <w:tc>
                <w:tcPr>
                  <w:tcW w:w="1833"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4.5</w:t>
                  </w:r>
                </w:p>
              </w:tc>
            </w:tr>
            <w:tr w:rsidR="00AE3C4E" w:rsidRPr="0081082A" w:rsidTr="00310BEC">
              <w:trPr>
                <w:gridAfter w:val="1"/>
                <w:wAfter w:w="328" w:type="dxa"/>
                <w:trHeight w:val="300"/>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Просечна оцена приоритетне групе КЈС</w:t>
                  </w:r>
                  <w:r w:rsidRPr="0081082A">
                    <w:rPr>
                      <w:rStyle w:val="FootnoteReference"/>
                      <w:rFonts w:eastAsia="Times New Roman"/>
                      <w:bCs/>
                      <w:sz w:val="16"/>
                      <w:szCs w:val="16"/>
                      <w:lang w:val="sr-Cyrl-RS" w:eastAsia="en-GB"/>
                    </w:rPr>
                    <w:footnoteReference w:id="171"/>
                  </w:r>
                  <w:r w:rsidRPr="0081082A">
                    <w:rPr>
                      <w:rFonts w:eastAsia="Times New Roman"/>
                      <w:bCs/>
                      <w:sz w:val="16"/>
                      <w:szCs w:val="16"/>
                      <w:lang w:val="sr-Cyrl-RS" w:eastAsia="en-GB"/>
                    </w:rPr>
                    <w:t xml:space="preserve"> који извештавају руководство о ризицима</w:t>
                  </w:r>
                </w:p>
              </w:tc>
              <w:tc>
                <w:tcPr>
                  <w:tcW w:w="2013"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Аритметичка средина самооцена</w:t>
                  </w:r>
                </w:p>
              </w:tc>
              <w:tc>
                <w:tcPr>
                  <w:tcW w:w="1036" w:type="dxa"/>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Консолидовани годишњи извештај</w:t>
                  </w:r>
                </w:p>
              </w:tc>
              <w:tc>
                <w:tcPr>
                  <w:tcW w:w="147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3.62</w:t>
                  </w:r>
                </w:p>
              </w:tc>
              <w:tc>
                <w:tcPr>
                  <w:tcW w:w="1603"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2020</w:t>
                  </w:r>
                </w:p>
              </w:tc>
              <w:tc>
                <w:tcPr>
                  <w:tcW w:w="1812"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3,81</w:t>
                  </w:r>
                </w:p>
              </w:tc>
              <w:tc>
                <w:tcPr>
                  <w:tcW w:w="992"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w:t>
                  </w:r>
                </w:p>
              </w:tc>
              <w:tc>
                <w:tcPr>
                  <w:tcW w:w="200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4,15</w:t>
                  </w:r>
                </w:p>
              </w:tc>
              <w:tc>
                <w:tcPr>
                  <w:tcW w:w="1255"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4,3</w:t>
                  </w:r>
                </w:p>
              </w:tc>
              <w:tc>
                <w:tcPr>
                  <w:tcW w:w="1833" w:type="dxa"/>
                  <w:gridSpan w:val="7"/>
                  <w:shd w:val="clear" w:color="auto" w:fill="auto"/>
                  <w:vAlign w:val="center"/>
                </w:tcPr>
                <w:p w:rsidR="00AE3C4E" w:rsidRPr="0081082A" w:rsidRDefault="00AE3C4E" w:rsidP="00310BEC">
                  <w:pPr>
                    <w:tabs>
                      <w:tab w:val="left" w:pos="9923"/>
                    </w:tabs>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4.5</w:t>
                  </w:r>
                </w:p>
              </w:tc>
            </w:tr>
            <w:tr w:rsidR="00AE3C4E" w:rsidRPr="0081082A" w:rsidTr="00787EFE">
              <w:trPr>
                <w:gridAfter w:val="4"/>
                <w:wAfter w:w="487" w:type="dxa"/>
                <w:trHeight w:val="1287"/>
                <w:jc w:val="center"/>
              </w:trPr>
              <w:tc>
                <w:tcPr>
                  <w:tcW w:w="2122" w:type="dxa"/>
                  <w:gridSpan w:val="2"/>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984" w:type="dxa"/>
                  <w:gridSpan w:val="2"/>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7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Институција одговорна за спровођење </w:t>
                  </w:r>
                </w:p>
              </w:tc>
              <w:tc>
                <w:tcPr>
                  <w:tcW w:w="1134" w:type="dxa"/>
                  <w:gridSpan w:val="2"/>
                  <w:vMerge w:val="restart"/>
                  <w:shd w:val="clear" w:color="FFFFCC" w:fill="F2F2F2"/>
                  <w:vAlign w:val="center"/>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9470" w:type="dxa"/>
                  <w:gridSpan w:val="2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по изворима у 000 дин.</w:t>
                  </w:r>
                </w:p>
              </w:tc>
            </w:tr>
            <w:tr w:rsidR="00AE3C4E" w:rsidRPr="0081082A" w:rsidTr="00787EFE">
              <w:trPr>
                <w:gridAfter w:val="3"/>
                <w:wAfter w:w="465" w:type="dxa"/>
                <w:trHeight w:val="570"/>
                <w:jc w:val="center"/>
              </w:trPr>
              <w:tc>
                <w:tcPr>
                  <w:tcW w:w="2122" w:type="dxa"/>
                  <w:gridSpan w:val="2"/>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984" w:type="dxa"/>
                  <w:gridSpan w:val="2"/>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276" w:type="dxa"/>
                  <w:gridSpan w:val="3"/>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134" w:type="dxa"/>
                  <w:gridSpan w:val="2"/>
                  <w:vMerge/>
                  <w:vAlign w:val="center"/>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559"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34" w:type="dxa"/>
                  <w:gridSpan w:val="2"/>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843" w:type="dxa"/>
                  <w:gridSpan w:val="6"/>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701"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134" w:type="dxa"/>
                  <w:gridSpan w:val="4"/>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992"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29" w:type="dxa"/>
                  <w:gridSpan w:val="3"/>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787EFE">
              <w:trPr>
                <w:gridAfter w:val="3"/>
                <w:wAfter w:w="465" w:type="dxa"/>
                <w:trHeight w:val="840"/>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4.1.1 Сарадња са Сектором буџета у вези са унапређењем управљања учинком организације (веза са Стратегијом РЈУ, мера 4.1.2)</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shd w:val="clear" w:color="auto" w:fill="auto"/>
                  <w:vAlign w:val="center"/>
                  <w:hideMark/>
                </w:tcPr>
                <w:p w:rsidR="00174663" w:rsidRPr="0081082A" w:rsidRDefault="00174663" w:rsidP="00787EFE">
                  <w:pPr>
                    <w:tabs>
                      <w:tab w:val="left" w:pos="9923"/>
                    </w:tabs>
                    <w:spacing w:after="0" w:line="240" w:lineRule="auto"/>
                    <w:rPr>
                      <w:rFonts w:eastAsia="Times New Roman"/>
                      <w:sz w:val="16"/>
                      <w:szCs w:val="16"/>
                      <w:lang w:val="sr-Cyrl-RS" w:eastAsia="en-GB"/>
                    </w:rPr>
                  </w:pPr>
                </w:p>
                <w:p w:rsidR="00AE3C4E" w:rsidRPr="0081082A" w:rsidRDefault="005555AC" w:rsidP="00174663">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34" w:type="dxa"/>
                  <w:gridSpan w:val="2"/>
                  <w:shd w:val="clear" w:color="auto" w:fill="auto"/>
                  <w:vAlign w:val="center"/>
                  <w:hideMark/>
                </w:tcPr>
                <w:p w:rsidR="00AE3C4E" w:rsidRPr="0081082A" w:rsidRDefault="001E262A"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4.200*</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w:t>
                  </w:r>
                </w:p>
              </w:tc>
            </w:tr>
            <w:tr w:rsidR="00AE3C4E" w:rsidRPr="0081082A" w:rsidTr="00787EFE">
              <w:trPr>
                <w:gridAfter w:val="3"/>
                <w:wAfter w:w="465" w:type="dxa"/>
                <w:trHeight w:val="795"/>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4.1.2 Анализа примене постојећег правног и методолошког оквира и његово унапређење (нпр. приоритизација КЈС у погледу извештавања о интерним контролама, унапређење извештавања, сагледавања квалитета, управљање ризицима, управљање неправилностима, изјава о управљању и сл)</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shd w:val="clear" w:color="auto" w:fill="auto"/>
                  <w:vAlign w:val="center"/>
                  <w:hideMark/>
                </w:tcPr>
                <w:p w:rsidR="00AE3C4E" w:rsidRPr="0081082A" w:rsidRDefault="00FC5D07"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34" w:type="dxa"/>
                  <w:gridSpan w:val="2"/>
                  <w:shd w:val="clear" w:color="auto" w:fill="auto"/>
                  <w:vAlign w:val="center"/>
                  <w:hideMark/>
                </w:tcPr>
                <w:p w:rsidR="00AE3C4E" w:rsidRPr="0081082A" w:rsidRDefault="001E262A"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r>
            <w:tr w:rsidR="00AE3C4E" w:rsidRPr="0081082A" w:rsidTr="00787EFE">
              <w:trPr>
                <w:gridAfter w:val="3"/>
                <w:wAfter w:w="465" w:type="dxa"/>
                <w:trHeight w:val="795"/>
                <w:jc w:val="center"/>
              </w:trPr>
              <w:tc>
                <w:tcPr>
                  <w:tcW w:w="2122" w:type="dxa"/>
                  <w:gridSpan w:val="2"/>
                  <w:shd w:val="clear" w:color="auto" w:fill="auto"/>
                </w:tcPr>
                <w:p w:rsidR="00AE3C4E" w:rsidRPr="0081082A" w:rsidRDefault="00AE3C4E" w:rsidP="00310BEC">
                  <w:pPr>
                    <w:tabs>
                      <w:tab w:val="left" w:pos="9923"/>
                    </w:tabs>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4.1.3 Унапређивање управљања ризицима код приоритетне групе КЈС  на централном нивоу</w:t>
                  </w:r>
                  <w:r w:rsidRPr="0081082A">
                    <w:rPr>
                      <w:rStyle w:val="FootnoteReference"/>
                      <w:rFonts w:eastAsia="Times New Roman"/>
                      <w:color w:val="000000"/>
                      <w:sz w:val="16"/>
                      <w:szCs w:val="16"/>
                      <w:lang w:val="sr-Cyrl-RS" w:eastAsia="en-GB"/>
                    </w:rPr>
                    <w:footnoteReference w:id="172"/>
                  </w:r>
                  <w:r w:rsidRPr="0081082A">
                    <w:rPr>
                      <w:rFonts w:eastAsia="Times New Roman"/>
                      <w:color w:val="000000"/>
                      <w:sz w:val="16"/>
                      <w:szCs w:val="16"/>
                      <w:lang w:val="sr-Cyrl-RS" w:eastAsia="en-GB"/>
                    </w:rPr>
                    <w:t xml:space="preserve"> кроз директну подршку пројекта</w:t>
                  </w:r>
                </w:p>
              </w:tc>
              <w:tc>
                <w:tcPr>
                  <w:tcW w:w="1984"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76" w:type="dxa"/>
                  <w:gridSpan w:val="3"/>
                  <w:shd w:val="clear" w:color="auto" w:fill="auto"/>
                  <w:vAlign w:val="center"/>
                </w:tcPr>
                <w:p w:rsidR="00AE3C4E" w:rsidRPr="0081082A" w:rsidRDefault="00E327C5"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O</w:t>
                  </w:r>
                  <w:r w:rsidR="00AE3C4E" w:rsidRPr="0081082A">
                    <w:rPr>
                      <w:rFonts w:eastAsia="Times New Roman"/>
                      <w:sz w:val="16"/>
                      <w:szCs w:val="16"/>
                      <w:lang w:val="sr-Cyrl-RS" w:eastAsia="en-GB"/>
                    </w:rPr>
                    <w:t xml:space="preserve">дабрани </w:t>
                  </w:r>
                  <w:r w:rsidR="00AE3C4E" w:rsidRPr="0081082A">
                    <w:rPr>
                      <w:rFonts w:cstheme="minorHAnsi"/>
                      <w:sz w:val="16"/>
                      <w:lang w:val="sr-Cyrl-RS"/>
                    </w:rPr>
                    <w:t xml:space="preserve">КЈС из приоритетне групе </w:t>
                  </w:r>
                  <w:r w:rsidR="00AE3C4E" w:rsidRPr="0081082A">
                    <w:rPr>
                      <w:rStyle w:val="FootnoteReference"/>
                      <w:rFonts w:cstheme="minorHAnsi"/>
                      <w:sz w:val="16"/>
                      <w:lang w:val="sr-Cyrl-RS"/>
                    </w:rPr>
                    <w:footnoteReference w:id="173"/>
                  </w:r>
                </w:p>
              </w:tc>
              <w:tc>
                <w:tcPr>
                  <w:tcW w:w="1134" w:type="dxa"/>
                  <w:gridSpan w:val="2"/>
                  <w:shd w:val="clear" w:color="auto" w:fill="auto"/>
                </w:tcPr>
                <w:p w:rsidR="00E327C5" w:rsidRPr="0081082A" w:rsidRDefault="00E327C5"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w:t>
                  </w:r>
                  <w:r w:rsidR="00E327C5" w:rsidRPr="0081082A">
                    <w:rPr>
                      <w:rFonts w:eastAsia="Times New Roman"/>
                      <w:sz w:val="16"/>
                      <w:szCs w:val="16"/>
                      <w:lang w:val="sr-Cyrl-RS" w:eastAsia="en-GB"/>
                    </w:rPr>
                    <w:t>-</w:t>
                  </w:r>
                  <w:r w:rsidRPr="0081082A">
                    <w:rPr>
                      <w:rFonts w:eastAsia="Times New Roman"/>
                      <w:sz w:val="16"/>
                      <w:szCs w:val="16"/>
                      <w:lang w:val="sr-Cyrl-RS" w:eastAsia="en-GB"/>
                    </w:rPr>
                    <w:t>ство финансија-ЦЈХ</w:t>
                  </w:r>
                </w:p>
              </w:tc>
              <w:tc>
                <w:tcPr>
                  <w:tcW w:w="1559"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34" w:type="dxa"/>
                  <w:gridSpan w:val="2"/>
                  <w:shd w:val="clear" w:color="auto" w:fill="auto"/>
                  <w:vAlign w:val="center"/>
                </w:tcPr>
                <w:p w:rsidR="00AE3C4E" w:rsidRPr="0081082A" w:rsidRDefault="001E262A"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843"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01"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4.012*</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4.000*</w:t>
                  </w:r>
                </w:p>
              </w:tc>
              <w:tc>
                <w:tcPr>
                  <w:tcW w:w="992"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2.000*</w:t>
                  </w:r>
                </w:p>
              </w:tc>
              <w:tc>
                <w:tcPr>
                  <w:tcW w:w="1129"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2.000*</w:t>
                  </w:r>
                </w:p>
              </w:tc>
            </w:tr>
            <w:tr w:rsidR="00AE3C4E" w:rsidRPr="0081082A" w:rsidTr="00787EFE">
              <w:trPr>
                <w:gridAfter w:val="3"/>
                <w:wAfter w:w="465" w:type="dxa"/>
                <w:trHeight w:val="795"/>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4.1.4 Израда праткичних методолошких алата/производа знања из финансијског управљања и контроле прилагођених специфичностима </w:t>
                  </w:r>
                  <w:r w:rsidRPr="0081082A">
                    <w:rPr>
                      <w:rFonts w:eastAsia="Times New Roman"/>
                      <w:sz w:val="16"/>
                      <w:szCs w:val="16"/>
                      <w:lang w:val="sr-Cyrl-RS" w:eastAsia="en-GB"/>
                    </w:rPr>
                    <w:lastRenderedPageBreak/>
                    <w:t>појединих значајних група индиректних КЈС на централном нивоу (одабрани ресори)</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lastRenderedPageBreak/>
                    <w:t>Q4 2025</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shd w:val="clear" w:color="auto" w:fill="auto"/>
                  <w:vAlign w:val="center"/>
                  <w:hideMark/>
                </w:tcPr>
                <w:p w:rsidR="00AE3C4E" w:rsidRPr="0081082A" w:rsidRDefault="00195BA0"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34" w:type="dxa"/>
                  <w:gridSpan w:val="2"/>
                  <w:shd w:val="clear" w:color="auto" w:fill="auto"/>
                  <w:vAlign w:val="center"/>
                  <w:hideMark/>
                </w:tcPr>
                <w:p w:rsidR="00AE3C4E" w:rsidRPr="0081082A" w:rsidRDefault="001E262A"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6.000</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8.024</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6.000</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6.000</w:t>
                  </w:r>
                </w:p>
              </w:tc>
            </w:tr>
            <w:tr w:rsidR="00AE3C4E" w:rsidRPr="0081082A" w:rsidTr="00787EFE">
              <w:trPr>
                <w:gridAfter w:val="3"/>
                <w:wAfter w:w="465" w:type="dxa"/>
                <w:trHeight w:val="442"/>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4.1.5 Подршка успостављању и унапређењу система ФУК на локалном нивоу</w:t>
                  </w:r>
                  <w:r w:rsidRPr="0081082A">
                    <w:rPr>
                      <w:sz w:val="16"/>
                      <w:szCs w:val="16"/>
                      <w:lang w:val="sr-Cyrl-RS"/>
                    </w:rPr>
                    <w:footnoteReference w:id="174"/>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Одабране ЈЛС и њихови индиректни корисници</w:t>
                  </w: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w:t>
                  </w:r>
                  <w:r w:rsidR="005555AC" w:rsidRPr="0081082A">
                    <w:rPr>
                      <w:rFonts w:eastAsia="Times New Roman"/>
                      <w:sz w:val="16"/>
                      <w:szCs w:val="16"/>
                      <w:lang w:val="sr-Cyrl-RS" w:eastAsia="en-GB"/>
                    </w:rPr>
                    <w:t>-</w:t>
                  </w:r>
                  <w:r w:rsidRPr="0081082A">
                    <w:rPr>
                      <w:rFonts w:eastAsia="Times New Roman"/>
                      <w:sz w:val="16"/>
                      <w:szCs w:val="16"/>
                      <w:lang w:val="sr-Cyrl-RS" w:eastAsia="en-GB"/>
                    </w:rPr>
                    <w:t>ство финансија-ЦЈХ, МДУЛС</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 RELOF/SECO и SKGO кроз EXCHANGE 6</w:t>
                  </w:r>
                </w:p>
              </w:tc>
              <w:tc>
                <w:tcPr>
                  <w:tcW w:w="1134" w:type="dxa"/>
                  <w:gridSpan w:val="2"/>
                  <w:shd w:val="clear" w:color="auto" w:fill="auto"/>
                  <w:vAlign w:val="center"/>
                  <w:hideMark/>
                </w:tcPr>
                <w:p w:rsidR="00AE3C4E" w:rsidRPr="0081082A" w:rsidRDefault="001E262A"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787EFE">
              <w:trPr>
                <w:gridAfter w:val="3"/>
                <w:wAfter w:w="465" w:type="dxa"/>
                <w:trHeight w:val="418"/>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4.1.6 Израда анализе кохерентности ИФКЈ регулативе са осталом хоризонталном регулативом уз компаративну анализу система за управљање ЕУ средствима и система за управљање националним средствима са становишта интерних контрола</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2022</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shd w:val="clear" w:color="auto" w:fill="auto"/>
                  <w:vAlign w:val="center"/>
                  <w:hideMark/>
                </w:tcPr>
                <w:p w:rsidR="009E44DE" w:rsidRPr="0081082A" w:rsidRDefault="009E44D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МДУЛС</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ДРИ</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РСЈП</w:t>
                  </w:r>
                </w:p>
                <w:p w:rsidR="00AE3C4E" w:rsidRPr="0081082A" w:rsidRDefault="009E44D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Републички с</w:t>
                  </w:r>
                  <w:r w:rsidR="00AE3C4E" w:rsidRPr="0081082A">
                    <w:rPr>
                      <w:rFonts w:eastAsia="Times New Roman"/>
                      <w:sz w:val="16"/>
                      <w:szCs w:val="16"/>
                      <w:lang w:val="sr-Cyrl-RS" w:eastAsia="en-GB"/>
                    </w:rPr>
                    <w:t>екретари-јат за законодав-ство</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Канцеларија за јавне набавке</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 (КПМГ)</w:t>
                  </w:r>
                </w:p>
              </w:tc>
              <w:tc>
                <w:tcPr>
                  <w:tcW w:w="1134" w:type="dxa"/>
                  <w:gridSpan w:val="2"/>
                  <w:shd w:val="clear" w:color="auto" w:fill="auto"/>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8.400</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5"/>
                <w:wAfter w:w="564" w:type="dxa"/>
                <w:trHeight w:val="289"/>
                <w:jc w:val="center"/>
              </w:trPr>
              <w:tc>
                <w:tcPr>
                  <w:tcW w:w="15909" w:type="dxa"/>
                  <w:gridSpan w:val="36"/>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18" w:name="_Toc69726993"/>
                </w:p>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r w:rsidRPr="0081082A">
                    <w:rPr>
                      <w:rFonts w:eastAsia="Times New Roman"/>
                      <w:b/>
                      <w:i/>
                      <w:color w:val="365F91"/>
                      <w:sz w:val="18"/>
                      <w:szCs w:val="18"/>
                      <w:lang w:val="sr-Cyrl-RS" w:eastAsia="en-GB"/>
                    </w:rPr>
                    <w:t>Мера 4.2. Унапређена функција интерне ревизије у јавном сектору у складу са међународним стандардима и начелима</w:t>
                  </w:r>
                  <w:bookmarkEnd w:id="118"/>
                </w:p>
              </w:tc>
            </w:tr>
            <w:tr w:rsidR="00AE3C4E" w:rsidRPr="0081082A" w:rsidTr="00310BEC">
              <w:trPr>
                <w:gridAfter w:val="5"/>
                <w:wAfter w:w="564" w:type="dxa"/>
                <w:trHeight w:val="289"/>
                <w:jc w:val="center"/>
              </w:trPr>
              <w:tc>
                <w:tcPr>
                  <w:tcW w:w="15909" w:type="dxa"/>
                  <w:gridSpan w:val="36"/>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19" w:name="_Toc69726994"/>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D55E20" w:rsidRPr="0081082A">
                    <w:rPr>
                      <w:rFonts w:eastAsia="Times New Roman"/>
                      <w:b/>
                      <w:i/>
                      <w:color w:val="365F91"/>
                      <w:sz w:val="18"/>
                      <w:szCs w:val="18"/>
                      <w:lang w:val="sr-Cyrl-RS" w:eastAsia="en-GB"/>
                    </w:rPr>
                    <w:t>мере: Министарство</w:t>
                  </w:r>
                  <w:r w:rsidRPr="0081082A">
                    <w:rPr>
                      <w:rFonts w:eastAsia="Times New Roman"/>
                      <w:b/>
                      <w:i/>
                      <w:color w:val="365F91"/>
                      <w:sz w:val="18"/>
                      <w:szCs w:val="18"/>
                      <w:lang w:val="sr-Cyrl-RS" w:eastAsia="en-GB"/>
                    </w:rPr>
                    <w:t xml:space="preserve"> финансија- Сектор- Централна јединица за хармонизацију</w:t>
                  </w:r>
                  <w:bookmarkEnd w:id="119"/>
                </w:p>
              </w:tc>
            </w:tr>
            <w:tr w:rsidR="00AE3C4E" w:rsidRPr="0081082A" w:rsidTr="00310BEC">
              <w:trPr>
                <w:gridAfter w:val="5"/>
                <w:wAfter w:w="564" w:type="dxa"/>
                <w:trHeight w:val="289"/>
                <w:jc w:val="center"/>
              </w:trPr>
              <w:tc>
                <w:tcPr>
                  <w:tcW w:w="10201" w:type="dxa"/>
                  <w:gridSpan w:val="22"/>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20" w:name="_Toc69726995"/>
                  <w:r w:rsidRPr="0081082A">
                    <w:rPr>
                      <w:rFonts w:eastAsia="Times New Roman"/>
                      <w:b/>
                      <w:i/>
                      <w:color w:val="365F91"/>
                      <w:sz w:val="18"/>
                      <w:szCs w:val="18"/>
                      <w:lang w:val="sr-Cyrl-RS" w:eastAsia="en-GB"/>
                    </w:rPr>
                    <w:t>Период спровођења: 2021-2025</w:t>
                  </w:r>
                  <w:bookmarkEnd w:id="120"/>
                </w:p>
              </w:tc>
              <w:tc>
                <w:tcPr>
                  <w:tcW w:w="5708" w:type="dxa"/>
                  <w:gridSpan w:val="14"/>
                  <w:shd w:val="clear" w:color="auto" w:fill="F2F2F2" w:themeFill="background1" w:themeFillShade="F2"/>
                </w:tcPr>
                <w:p w:rsidR="00AE3C4E" w:rsidRPr="0081082A" w:rsidRDefault="00AE3C4E" w:rsidP="00310BEC">
                  <w:pPr>
                    <w:spacing w:after="0" w:line="240" w:lineRule="auto"/>
                    <w:rPr>
                      <w:rFonts w:eastAsia="Times New Roman"/>
                      <w:b/>
                      <w:i/>
                      <w:color w:val="365F91"/>
                      <w:sz w:val="18"/>
                      <w:szCs w:val="18"/>
                      <w:lang w:val="sr-Cyrl-RS" w:eastAsia="en-GB"/>
                    </w:rPr>
                  </w:pPr>
                  <w:r w:rsidRPr="0081082A">
                    <w:rPr>
                      <w:rFonts w:eastAsia="Times New Roman"/>
                      <w:b/>
                      <w:i/>
                      <w:color w:val="365F91"/>
                      <w:sz w:val="18"/>
                      <w:szCs w:val="18"/>
                      <w:lang w:val="sr-Cyrl-RS" w:eastAsia="en-GB"/>
                    </w:rPr>
                    <w:t>Тип мере: Институционално управљачко организациона</w:t>
                  </w:r>
                </w:p>
              </w:tc>
            </w:tr>
            <w:tr w:rsidR="00AE3C4E" w:rsidRPr="0081082A" w:rsidTr="00787EFE">
              <w:trPr>
                <w:gridAfter w:val="3"/>
                <w:wAfter w:w="465" w:type="dxa"/>
                <w:trHeight w:val="450"/>
                <w:jc w:val="center"/>
              </w:trPr>
              <w:tc>
                <w:tcPr>
                  <w:tcW w:w="2122" w:type="dxa"/>
                  <w:gridSpan w:val="2"/>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D55E20"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1984" w:type="dxa"/>
                  <w:gridSpan w:val="2"/>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2410" w:type="dxa"/>
                  <w:gridSpan w:val="5"/>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559" w:type="dxa"/>
                  <w:gridSpan w:val="8"/>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34" w:type="dxa"/>
                  <w:gridSpan w:val="2"/>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843" w:type="dxa"/>
                  <w:gridSpan w:val="6"/>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2021</w:t>
                  </w:r>
                </w:p>
              </w:tc>
              <w:tc>
                <w:tcPr>
                  <w:tcW w:w="1701"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2022</w:t>
                  </w:r>
                </w:p>
              </w:tc>
              <w:tc>
                <w:tcPr>
                  <w:tcW w:w="1134" w:type="dxa"/>
                  <w:gridSpan w:val="4"/>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2023</w:t>
                  </w:r>
                </w:p>
              </w:tc>
              <w:tc>
                <w:tcPr>
                  <w:tcW w:w="992"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2024</w:t>
                  </w:r>
                </w:p>
              </w:tc>
              <w:tc>
                <w:tcPr>
                  <w:tcW w:w="1129" w:type="dxa"/>
                  <w:gridSpan w:val="3"/>
                  <w:shd w:val="clear" w:color="D7E3EE"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787EFE">
              <w:trPr>
                <w:gridAfter w:val="3"/>
                <w:wAfter w:w="465" w:type="dxa"/>
                <w:trHeight w:val="1215"/>
                <w:jc w:val="center"/>
              </w:trPr>
              <w:tc>
                <w:tcPr>
                  <w:tcW w:w="2122"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СИГМА показатељ адекватности оперативног оквира за интерну ревизију</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Бодови</w:t>
                  </w:r>
                </w:p>
              </w:tc>
              <w:tc>
                <w:tcPr>
                  <w:tcW w:w="2410" w:type="dxa"/>
                  <w:gridSpan w:val="5"/>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Мониторинг извештај СИГМЕ</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3/5</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2017</w:t>
                  </w:r>
                </w:p>
              </w:tc>
              <w:tc>
                <w:tcPr>
                  <w:tcW w:w="1843" w:type="dxa"/>
                  <w:gridSpan w:val="6"/>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701"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34" w:type="dxa"/>
                  <w:gridSpan w:val="4"/>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992"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29"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4/5</w:t>
                  </w:r>
                </w:p>
              </w:tc>
            </w:tr>
            <w:tr w:rsidR="00AE3C4E" w:rsidRPr="0081082A" w:rsidTr="00787EFE">
              <w:trPr>
                <w:gridAfter w:val="3"/>
                <w:wAfter w:w="465" w:type="dxa"/>
                <w:trHeight w:val="1215"/>
                <w:jc w:val="center"/>
              </w:trPr>
              <w:tc>
                <w:tcPr>
                  <w:tcW w:w="2122"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СИГМА показатељ функционисања интерне ревизије</w:t>
                  </w:r>
                </w:p>
              </w:tc>
              <w:tc>
                <w:tcPr>
                  <w:tcW w:w="1984"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Бодови</w:t>
                  </w:r>
                </w:p>
              </w:tc>
              <w:tc>
                <w:tcPr>
                  <w:tcW w:w="2410" w:type="dxa"/>
                  <w:gridSpan w:val="5"/>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Мониторинг извештај СИГМЕ</w:t>
                  </w:r>
                </w:p>
              </w:tc>
              <w:tc>
                <w:tcPr>
                  <w:tcW w:w="1559"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1/5</w:t>
                  </w:r>
                </w:p>
              </w:tc>
              <w:tc>
                <w:tcPr>
                  <w:tcW w:w="1134"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2017</w:t>
                  </w:r>
                </w:p>
              </w:tc>
              <w:tc>
                <w:tcPr>
                  <w:tcW w:w="1843" w:type="dxa"/>
                  <w:gridSpan w:val="6"/>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701"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34" w:type="dxa"/>
                  <w:gridSpan w:val="4"/>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992"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29"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3/5</w:t>
                  </w:r>
                </w:p>
              </w:tc>
            </w:tr>
            <w:tr w:rsidR="00AE3C4E" w:rsidRPr="0081082A" w:rsidTr="00787EFE">
              <w:trPr>
                <w:gridAfter w:val="3"/>
                <w:wAfter w:w="465" w:type="dxa"/>
                <w:trHeight w:val="300"/>
                <w:jc w:val="center"/>
              </w:trPr>
              <w:tc>
                <w:tcPr>
                  <w:tcW w:w="2122" w:type="dxa"/>
                  <w:gridSpan w:val="2"/>
                  <w:vMerge w:val="restart"/>
                  <w:shd w:val="clear" w:color="FFFFCC" w:fill="F2F2F2"/>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r w:rsidRPr="0081082A">
                    <w:rPr>
                      <w:rFonts w:eastAsia="Times New Roman"/>
                      <w:b/>
                      <w:bCs/>
                      <w:sz w:val="16"/>
                      <w:szCs w:val="16"/>
                      <w:lang w:val="sr-Cyrl-RS" w:eastAsia="en-GB"/>
                    </w:rPr>
                    <w:t>Назив активности:</w:t>
                  </w:r>
                </w:p>
              </w:tc>
              <w:tc>
                <w:tcPr>
                  <w:tcW w:w="1984" w:type="dxa"/>
                  <w:gridSpan w:val="2"/>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76" w:type="dxa"/>
                  <w:gridSpan w:val="3"/>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Институција одговорна за спровођење </w:t>
                  </w:r>
                </w:p>
              </w:tc>
              <w:tc>
                <w:tcPr>
                  <w:tcW w:w="1134" w:type="dxa"/>
                  <w:gridSpan w:val="2"/>
                  <w:vMerge w:val="restart"/>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9492" w:type="dxa"/>
                  <w:gridSpan w:val="29"/>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у 000 дин.</w:t>
                  </w:r>
                </w:p>
              </w:tc>
            </w:tr>
            <w:tr w:rsidR="00AE3C4E" w:rsidRPr="0081082A" w:rsidTr="00787EFE">
              <w:trPr>
                <w:gridAfter w:val="3"/>
                <w:wAfter w:w="465" w:type="dxa"/>
                <w:trHeight w:val="540"/>
                <w:jc w:val="center"/>
              </w:trPr>
              <w:tc>
                <w:tcPr>
                  <w:tcW w:w="2122" w:type="dxa"/>
                  <w:gridSpan w:val="2"/>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984" w:type="dxa"/>
                  <w:gridSpan w:val="2"/>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276" w:type="dxa"/>
                  <w:gridSpan w:val="3"/>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134" w:type="dxa"/>
                  <w:gridSpan w:val="2"/>
                  <w:vMerge/>
                  <w:vAlign w:val="center"/>
                  <w:hideMark/>
                </w:tcPr>
                <w:p w:rsidR="00AE3C4E" w:rsidRPr="0081082A" w:rsidRDefault="00AE3C4E" w:rsidP="00310BEC">
                  <w:pPr>
                    <w:tabs>
                      <w:tab w:val="left" w:pos="9923"/>
                    </w:tabs>
                    <w:spacing w:after="0" w:line="240" w:lineRule="auto"/>
                    <w:rPr>
                      <w:rFonts w:eastAsia="Times New Roman"/>
                      <w:b/>
                      <w:bCs/>
                      <w:color w:val="000000"/>
                      <w:sz w:val="16"/>
                      <w:szCs w:val="16"/>
                      <w:lang w:val="sr-Cyrl-RS" w:eastAsia="en-GB"/>
                    </w:rPr>
                  </w:pPr>
                </w:p>
              </w:tc>
              <w:tc>
                <w:tcPr>
                  <w:tcW w:w="1559" w:type="dxa"/>
                  <w:gridSpan w:val="8"/>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34" w:type="dxa"/>
                  <w:gridSpan w:val="2"/>
                  <w:shd w:val="clear" w:color="FFFFCC" w:fill="F2F2F2"/>
                  <w:vAlign w:val="center"/>
                  <w:hideMark/>
                </w:tcPr>
                <w:p w:rsidR="00AE3C4E" w:rsidRPr="0081082A" w:rsidRDefault="00AE3C4E" w:rsidP="00310BEC">
                  <w:pPr>
                    <w:tabs>
                      <w:tab w:val="left" w:pos="9923"/>
                    </w:tabs>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843" w:type="dxa"/>
                  <w:gridSpan w:val="6"/>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701" w:type="dxa"/>
                  <w:gridSpan w:val="3"/>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134" w:type="dxa"/>
                  <w:gridSpan w:val="4"/>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992" w:type="dxa"/>
                  <w:gridSpan w:val="3"/>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29" w:type="dxa"/>
                  <w:gridSpan w:val="3"/>
                  <w:shd w:val="clear" w:color="FFFFCC" w:fill="F2F2F2"/>
                  <w:vAlign w:val="center"/>
                  <w:hideMark/>
                </w:tcPr>
                <w:p w:rsidR="00AE3C4E" w:rsidRPr="0081082A" w:rsidRDefault="00AE3C4E" w:rsidP="00310BEC">
                  <w:pPr>
                    <w:tabs>
                      <w:tab w:val="left" w:pos="9923"/>
                    </w:tabs>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787EFE">
              <w:trPr>
                <w:gridAfter w:val="3"/>
                <w:wAfter w:w="465" w:type="dxa"/>
                <w:trHeight w:val="1215"/>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4.2.1 Анализа примене постојећег методолошког оквира и његово унапређење (нпр. за ревизију </w:t>
                  </w:r>
                  <w:r w:rsidR="00AA75EF" w:rsidRPr="0081082A">
                    <w:rPr>
                      <w:rFonts w:eastAsia="Times New Roman"/>
                      <w:sz w:val="16"/>
                      <w:szCs w:val="16"/>
                      <w:lang w:val="sr-Cyrl-RS" w:eastAsia="en-GB"/>
                    </w:rPr>
                    <w:t>успешности,</w:t>
                  </w:r>
                  <w:r w:rsidRPr="0081082A">
                    <w:rPr>
                      <w:rFonts w:eastAsia="Times New Roman"/>
                      <w:sz w:val="16"/>
                      <w:szCs w:val="16"/>
                      <w:lang w:val="sr-Cyrl-RS" w:eastAsia="en-GB"/>
                    </w:rPr>
                    <w:t xml:space="preserve"> ревизију информационе безбедности, саветодавне услуге  и сл.)</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ДРИ</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134" w:type="dxa"/>
                  <w:gridSpan w:val="2"/>
                  <w:shd w:val="clear" w:color="000000" w:fill="FFFFFF"/>
                  <w:vAlign w:val="center"/>
                  <w:hideMark/>
                </w:tcPr>
                <w:p w:rsidR="00AE3C4E" w:rsidRPr="0081082A" w:rsidRDefault="001E262A"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3.600*</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6.000*</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2.400* </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2.400* </w:t>
                  </w:r>
                </w:p>
              </w:tc>
            </w:tr>
            <w:tr w:rsidR="00AE3C4E" w:rsidRPr="0081082A" w:rsidTr="00787EFE">
              <w:trPr>
                <w:gridAfter w:val="3"/>
                <w:wAfter w:w="465" w:type="dxa"/>
                <w:trHeight w:val="660"/>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4.2.2 Припрема и спровођење Програма за континуирано усавршавање интерних ревизора (веза са 4.4.4)</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2022</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НАЈУ</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Приказано у мери 4.4.4.</w:t>
                  </w:r>
                </w:p>
              </w:tc>
              <w:tc>
                <w:tcPr>
                  <w:tcW w:w="1134" w:type="dxa"/>
                  <w:gridSpan w:val="2"/>
                  <w:shd w:val="clear" w:color="000000" w:fill="FFFFFF"/>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w:t>
                  </w:r>
                  <w:r w:rsidR="001E262A" w:rsidRPr="0081082A">
                    <w:rPr>
                      <w:rFonts w:eastAsia="Times New Roman"/>
                      <w:color w:val="000000"/>
                      <w:sz w:val="16"/>
                      <w:szCs w:val="16"/>
                      <w:lang w:val="sr-Cyrl-RS" w:eastAsia="en-GB"/>
                    </w:rPr>
                    <w:t>-</w:t>
                  </w:r>
                  <w:r w:rsidRPr="0081082A">
                    <w:rPr>
                      <w:rFonts w:eastAsia="Times New Roman"/>
                      <w:color w:val="000000"/>
                      <w:sz w:val="16"/>
                      <w:szCs w:val="16"/>
                      <w:lang w:val="sr-Cyrl-RS" w:eastAsia="en-GB"/>
                    </w:rPr>
                    <w:t xml:space="preserve"> </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w:t>
                  </w:r>
                </w:p>
              </w:tc>
            </w:tr>
            <w:tr w:rsidR="00AE3C4E" w:rsidRPr="0081082A" w:rsidTr="00787EFE">
              <w:trPr>
                <w:gridAfter w:val="3"/>
                <w:wAfter w:w="465" w:type="dxa"/>
                <w:trHeight w:val="1065"/>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4.2.3 Кадровско оснаживање интерне ревизије (промоција професије,  алати за регрутацију и селекцију интерних ревизора, п</w:t>
                  </w:r>
                  <w:r w:rsidR="007C3668">
                    <w:rPr>
                      <w:rFonts w:eastAsia="Times New Roman"/>
                      <w:sz w:val="16"/>
                      <w:szCs w:val="16"/>
                      <w:lang w:val="sr-Cyrl-RS" w:eastAsia="en-GB"/>
                    </w:rPr>
                    <w:t>р</w:t>
                  </w:r>
                  <w:r w:rsidRPr="0081082A">
                    <w:rPr>
                      <w:rFonts w:eastAsia="Times New Roman"/>
                      <w:sz w:val="16"/>
                      <w:szCs w:val="16"/>
                      <w:lang w:val="sr-Cyrl-RS" w:eastAsia="en-GB"/>
                    </w:rPr>
                    <w:t>едлог за унапређења професионалног положаја инерних ревизора  и сл.)</w:t>
                  </w:r>
                  <w:r w:rsidRPr="0081082A">
                    <w:rPr>
                      <w:rStyle w:val="FootnoteReference"/>
                      <w:rFonts w:eastAsia="Times New Roman"/>
                      <w:sz w:val="16"/>
                      <w:szCs w:val="16"/>
                      <w:lang w:val="sr-Cyrl-RS" w:eastAsia="en-GB"/>
                    </w:rPr>
                    <w:t xml:space="preserve"> </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2022</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СУК</w:t>
                  </w:r>
                </w:p>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МДУЛС</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w:t>
                  </w:r>
                  <w:r w:rsidR="00775270">
                    <w:rPr>
                      <w:rFonts w:eastAsia="Times New Roman"/>
                      <w:sz w:val="16"/>
                      <w:szCs w:val="16"/>
                      <w:lang w:val="sr-Cyrl-RS" w:eastAsia="en-GB"/>
                    </w:rPr>
                    <w:t>р</w:t>
                  </w:r>
                  <w:r w:rsidRPr="0081082A">
                    <w:rPr>
                      <w:rFonts w:eastAsia="Times New Roman"/>
                      <w:sz w:val="16"/>
                      <w:szCs w:val="16"/>
                      <w:lang w:val="sr-Cyrl-RS" w:eastAsia="en-GB"/>
                    </w:rPr>
                    <w:t>ска средства (</w:t>
                  </w:r>
                  <w:r w:rsidRPr="0081082A">
                    <w:rPr>
                      <w:rFonts w:eastAsia="Times New Roman"/>
                      <w:i/>
                      <w:sz w:val="16"/>
                      <w:szCs w:val="16"/>
                      <w:lang w:val="sr-Cyrl-RS" w:eastAsia="en-GB"/>
                    </w:rPr>
                    <w:t>SIDA</w:t>
                  </w:r>
                  <w:r w:rsidRPr="0081082A">
                    <w:rPr>
                      <w:rFonts w:eastAsia="Times New Roman"/>
                      <w:sz w:val="16"/>
                      <w:szCs w:val="16"/>
                      <w:lang w:val="sr-Cyrl-RS" w:eastAsia="en-GB"/>
                    </w:rPr>
                    <w:t xml:space="preserve"> и </w:t>
                  </w:r>
                  <w:r w:rsidRPr="0081082A">
                    <w:rPr>
                      <w:rFonts w:eastAsia="Times New Roman"/>
                      <w:i/>
                      <w:sz w:val="16"/>
                      <w:szCs w:val="16"/>
                      <w:lang w:val="sr-Cyrl-RS" w:eastAsia="en-GB"/>
                    </w:rPr>
                    <w:t>UNDP</w:t>
                  </w:r>
                </w:p>
              </w:tc>
              <w:tc>
                <w:tcPr>
                  <w:tcW w:w="1134" w:type="dxa"/>
                  <w:gridSpan w:val="2"/>
                  <w:shd w:val="clear" w:color="auto" w:fill="auto"/>
                  <w:vAlign w:val="center"/>
                  <w:hideMark/>
                </w:tcPr>
                <w:p w:rsidR="00AE3C4E" w:rsidRPr="0081082A" w:rsidRDefault="001E262A"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3.626</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2.900,8</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787EFE">
              <w:trPr>
                <w:gridAfter w:val="3"/>
                <w:wAfter w:w="465" w:type="dxa"/>
                <w:trHeight w:val="1065"/>
                <w:jc w:val="center"/>
              </w:trPr>
              <w:tc>
                <w:tcPr>
                  <w:tcW w:w="2122" w:type="dxa"/>
                  <w:gridSpan w:val="2"/>
                  <w:shd w:val="clear" w:color="auto" w:fill="auto"/>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4.2.4 Подршка успостављању и унапређењу ИР на локалном нивоу</w:t>
                  </w:r>
                  <w:r w:rsidRPr="0081082A">
                    <w:rPr>
                      <w:rStyle w:val="FootnoteReference"/>
                      <w:rFonts w:eastAsia="Times New Roman"/>
                      <w:sz w:val="16"/>
                      <w:szCs w:val="16"/>
                      <w:lang w:val="sr-Cyrl-RS" w:eastAsia="en-GB"/>
                    </w:rPr>
                    <w:footnoteReference w:id="175"/>
                  </w:r>
                </w:p>
              </w:tc>
              <w:tc>
                <w:tcPr>
                  <w:tcW w:w="1984"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76" w:type="dxa"/>
                  <w:gridSpan w:val="3"/>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Одабране ЈЛС</w:t>
                  </w:r>
                </w:p>
              </w:tc>
              <w:tc>
                <w:tcPr>
                  <w:tcW w:w="1134" w:type="dxa"/>
                  <w:gridSpan w:val="2"/>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w:t>
                  </w:r>
                  <w:r w:rsidR="00A1343F" w:rsidRPr="0081082A">
                    <w:rPr>
                      <w:rFonts w:eastAsia="Times New Roman"/>
                      <w:sz w:val="16"/>
                      <w:szCs w:val="16"/>
                      <w:lang w:val="sr-Cyrl-RS" w:eastAsia="en-GB"/>
                    </w:rPr>
                    <w:t>-</w:t>
                  </w:r>
                  <w:r w:rsidRPr="0081082A">
                    <w:rPr>
                      <w:rFonts w:eastAsia="Times New Roman"/>
                      <w:sz w:val="16"/>
                      <w:szCs w:val="16"/>
                      <w:lang w:val="sr-Cyrl-RS" w:eastAsia="en-GB"/>
                    </w:rPr>
                    <w:t>ство финансија-ЦЈХ, МДУЛС, НАЈУ</w:t>
                  </w:r>
                </w:p>
              </w:tc>
              <w:tc>
                <w:tcPr>
                  <w:tcW w:w="1559"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 RELOF/SECO и SKGO кроз EXCHANGE 6</w:t>
                  </w:r>
                </w:p>
              </w:tc>
              <w:tc>
                <w:tcPr>
                  <w:tcW w:w="1134" w:type="dxa"/>
                  <w:gridSpan w:val="2"/>
                  <w:shd w:val="clear" w:color="auto" w:fill="auto"/>
                  <w:vAlign w:val="center"/>
                </w:tcPr>
                <w:p w:rsidR="00AE3C4E" w:rsidRPr="0081082A" w:rsidRDefault="001E262A"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843"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01"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992"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29"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787EFE">
              <w:trPr>
                <w:gridAfter w:val="3"/>
                <w:wAfter w:w="465" w:type="dxa"/>
                <w:trHeight w:val="885"/>
                <w:jc w:val="center"/>
              </w:trPr>
              <w:tc>
                <w:tcPr>
                  <w:tcW w:w="2122" w:type="dxa"/>
                  <w:gridSpan w:val="2"/>
                  <w:vMerge w:val="restart"/>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4.2.5 Увођење екстерне оцене квалитета по методи колегијалног прегледа (пилотирање, методологија, правилник, обука и сертфикација евалуатора, доношење и спровођење Програма екстерне оцене квалитета)</w:t>
                  </w:r>
                </w:p>
              </w:tc>
              <w:tc>
                <w:tcPr>
                  <w:tcW w:w="1984" w:type="dxa"/>
                  <w:gridSpan w:val="2"/>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Q2 2025</w:t>
                  </w:r>
                </w:p>
              </w:tc>
              <w:tc>
                <w:tcPr>
                  <w:tcW w:w="1276" w:type="dxa"/>
                  <w:gridSpan w:val="3"/>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vMerge w:val="restart"/>
                  <w:shd w:val="clear" w:color="auto" w:fill="auto"/>
                  <w:vAlign w:val="center"/>
                  <w:hideMark/>
                </w:tcPr>
                <w:p w:rsidR="00AE3C4E" w:rsidRPr="0081082A" w:rsidRDefault="00202BBD"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Буџетска средства</w:t>
                  </w:r>
                </w:p>
              </w:tc>
              <w:tc>
                <w:tcPr>
                  <w:tcW w:w="1134" w:type="dxa"/>
                  <w:gridSpan w:val="2"/>
                  <w:vMerge w:val="restart"/>
                  <w:shd w:val="clear" w:color="auto" w:fill="auto"/>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2301-0004</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2,520 </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2.520</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2.520 </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2.520* </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2.520* </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r>
            <w:tr w:rsidR="00AE3C4E" w:rsidRPr="0081082A" w:rsidTr="00787EFE">
              <w:trPr>
                <w:gridAfter w:val="3"/>
                <w:wAfter w:w="465" w:type="dxa"/>
                <w:trHeight w:val="885"/>
                <w:jc w:val="center"/>
              </w:trPr>
              <w:tc>
                <w:tcPr>
                  <w:tcW w:w="2122" w:type="dxa"/>
                  <w:gridSpan w:val="2"/>
                  <w:vMerge/>
                  <w:shd w:val="clear" w:color="auto" w:fill="auto"/>
                </w:tcPr>
                <w:p w:rsidR="00AE3C4E" w:rsidRPr="0081082A" w:rsidRDefault="00AE3C4E" w:rsidP="00310BEC">
                  <w:pPr>
                    <w:tabs>
                      <w:tab w:val="left" w:pos="9923"/>
                    </w:tabs>
                    <w:spacing w:after="0" w:line="240" w:lineRule="auto"/>
                    <w:rPr>
                      <w:rFonts w:eastAsia="Times New Roman"/>
                      <w:sz w:val="16"/>
                      <w:szCs w:val="16"/>
                      <w:lang w:val="sr-Cyrl-RS" w:eastAsia="en-GB"/>
                    </w:rPr>
                  </w:pPr>
                </w:p>
              </w:tc>
              <w:tc>
                <w:tcPr>
                  <w:tcW w:w="1984" w:type="dxa"/>
                  <w:gridSpan w:val="2"/>
                  <w:vMerge/>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276" w:type="dxa"/>
                  <w:gridSpan w:val="3"/>
                  <w:vMerge/>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134" w:type="dxa"/>
                  <w:gridSpan w:val="2"/>
                  <w:vMerge/>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p>
              </w:tc>
              <w:tc>
                <w:tcPr>
                  <w:tcW w:w="1559" w:type="dxa"/>
                  <w:gridSpan w:val="8"/>
                  <w:shd w:val="clear" w:color="auto" w:fill="auto"/>
                  <w:vAlign w:val="center"/>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 (ГИЗ)</w:t>
                  </w:r>
                </w:p>
              </w:tc>
              <w:tc>
                <w:tcPr>
                  <w:tcW w:w="1134" w:type="dxa"/>
                  <w:gridSpan w:val="2"/>
                  <w:vMerge/>
                  <w:shd w:val="clear" w:color="auto" w:fill="auto"/>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843" w:type="dxa"/>
                  <w:gridSpan w:val="6"/>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3.240</w:t>
                  </w:r>
                </w:p>
              </w:tc>
              <w:tc>
                <w:tcPr>
                  <w:tcW w:w="1701"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134" w:type="dxa"/>
                  <w:gridSpan w:val="4"/>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992"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c>
                <w:tcPr>
                  <w:tcW w:w="1129" w:type="dxa"/>
                  <w:gridSpan w:val="3"/>
                  <w:shd w:val="clear" w:color="auto" w:fill="auto"/>
                  <w:noWrap/>
                  <w:vAlign w:val="center"/>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tc>
            </w:tr>
            <w:tr w:rsidR="00AE3C4E" w:rsidRPr="0081082A" w:rsidTr="00787EFE">
              <w:trPr>
                <w:gridAfter w:val="3"/>
                <w:wAfter w:w="465" w:type="dxa"/>
                <w:trHeight w:val="1065"/>
                <w:jc w:val="center"/>
              </w:trPr>
              <w:tc>
                <w:tcPr>
                  <w:tcW w:w="2122" w:type="dxa"/>
                  <w:gridSpan w:val="2"/>
                  <w:shd w:val="clear" w:color="auto" w:fill="auto"/>
                  <w:hideMark/>
                </w:tcPr>
                <w:p w:rsidR="00AE3C4E" w:rsidRPr="0081082A"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4.2.6 Унапређење постојећег правног оквира у циљу оптимизације организације интерне ревизије и извештавања ИР</w:t>
                  </w: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2023</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shd w:val="clear" w:color="auto" w:fill="auto"/>
                  <w:vAlign w:val="center"/>
                  <w:hideMark/>
                </w:tcPr>
                <w:p w:rsidR="00AE3C4E" w:rsidRPr="0081082A" w:rsidRDefault="00202BBD"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w:t>
                  </w:r>
                  <w:r w:rsidR="004A15EC">
                    <w:rPr>
                      <w:rFonts w:eastAsia="Times New Roman"/>
                      <w:sz w:val="16"/>
                      <w:szCs w:val="16"/>
                      <w:lang w:val="sr-Cyrl-RS" w:eastAsia="en-GB"/>
                    </w:rPr>
                    <w:t>едства (</w:t>
                  </w:r>
                  <w:r w:rsidRPr="0081082A">
                    <w:rPr>
                      <w:rFonts w:eastAsia="Times New Roman"/>
                      <w:sz w:val="16"/>
                      <w:szCs w:val="16"/>
                      <w:lang w:val="sr-Cyrl-RS" w:eastAsia="en-GB"/>
                    </w:rPr>
                    <w:t>ИПА 3 и други донатори), ГИЗ</w:t>
                  </w:r>
                </w:p>
              </w:tc>
              <w:tc>
                <w:tcPr>
                  <w:tcW w:w="1134" w:type="dxa"/>
                  <w:gridSpan w:val="2"/>
                  <w:shd w:val="clear" w:color="000000" w:fill="FFFFFF"/>
                  <w:vAlign w:val="center"/>
                  <w:hideMark/>
                </w:tcPr>
                <w:p w:rsidR="00AE3C4E" w:rsidRPr="0081082A" w:rsidRDefault="001E262A"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843" w:type="dxa"/>
                  <w:gridSpan w:val="6"/>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ГИЗ</w:t>
                  </w:r>
                </w:p>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w:t>
                  </w:r>
                </w:p>
              </w:tc>
              <w:tc>
                <w:tcPr>
                  <w:tcW w:w="1701"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34" w:type="dxa"/>
                  <w:gridSpan w:val="4"/>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2.400*</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2.400*</w:t>
                  </w:r>
                </w:p>
              </w:tc>
            </w:tr>
            <w:tr w:rsidR="00AE3C4E" w:rsidRPr="0081082A" w:rsidTr="00787EFE">
              <w:trPr>
                <w:gridAfter w:val="3"/>
                <w:wAfter w:w="465" w:type="dxa"/>
                <w:trHeight w:val="1487"/>
                <w:jc w:val="center"/>
              </w:trPr>
              <w:tc>
                <w:tcPr>
                  <w:tcW w:w="2122" w:type="dxa"/>
                  <w:gridSpan w:val="2"/>
                  <w:shd w:val="clear" w:color="auto" w:fill="auto"/>
                  <w:hideMark/>
                </w:tcPr>
                <w:p w:rsidR="00AE3C4E" w:rsidRDefault="00AE3C4E" w:rsidP="00310BEC">
                  <w:pPr>
                    <w:tabs>
                      <w:tab w:val="left" w:pos="9923"/>
                    </w:tabs>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4.2.7 </w:t>
                  </w:r>
                  <w:r w:rsidR="00AA75EF" w:rsidRPr="0081082A">
                    <w:rPr>
                      <w:rFonts w:eastAsia="Times New Roman"/>
                      <w:sz w:val="16"/>
                      <w:szCs w:val="16"/>
                      <w:lang w:val="sr-Cyrl-RS" w:eastAsia="en-GB"/>
                    </w:rPr>
                    <w:t>Унифицирање вођења</w:t>
                  </w:r>
                  <w:r w:rsidRPr="0081082A">
                    <w:rPr>
                      <w:rFonts w:eastAsia="Times New Roman"/>
                      <w:sz w:val="16"/>
                      <w:szCs w:val="16"/>
                      <w:lang w:val="sr-Cyrl-RS" w:eastAsia="en-GB"/>
                    </w:rPr>
                    <w:t xml:space="preserve"> и документовање ангажмана интерне ревизије и евидентирање и праћење статуса налаза и датих препорука интерне ревизије кроз примену софтвера (веза са 4.3.2)</w:t>
                  </w:r>
                </w:p>
                <w:p w:rsidR="00E70219" w:rsidRDefault="00E70219" w:rsidP="00310BEC">
                  <w:pPr>
                    <w:tabs>
                      <w:tab w:val="left" w:pos="9923"/>
                    </w:tabs>
                    <w:spacing w:after="0" w:line="240" w:lineRule="auto"/>
                    <w:rPr>
                      <w:rFonts w:eastAsia="Times New Roman"/>
                      <w:sz w:val="16"/>
                      <w:szCs w:val="16"/>
                      <w:lang w:val="sr-Cyrl-RS" w:eastAsia="en-GB"/>
                    </w:rPr>
                  </w:pPr>
                </w:p>
                <w:p w:rsidR="00E70219" w:rsidRPr="0081082A" w:rsidRDefault="00E70219" w:rsidP="00310BEC">
                  <w:pPr>
                    <w:tabs>
                      <w:tab w:val="left" w:pos="9923"/>
                    </w:tabs>
                    <w:spacing w:after="0" w:line="240" w:lineRule="auto"/>
                    <w:rPr>
                      <w:rFonts w:eastAsia="Times New Roman"/>
                      <w:sz w:val="16"/>
                      <w:szCs w:val="16"/>
                      <w:lang w:val="sr-Cyrl-RS" w:eastAsia="en-GB"/>
                    </w:rPr>
                  </w:pPr>
                </w:p>
              </w:tc>
              <w:tc>
                <w:tcPr>
                  <w:tcW w:w="1984" w:type="dxa"/>
                  <w:gridSpan w:val="2"/>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76" w:type="dxa"/>
                  <w:gridSpan w:val="3"/>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1134" w:type="dxa"/>
                  <w:gridSpan w:val="2"/>
                  <w:shd w:val="clear" w:color="auto" w:fill="auto"/>
                  <w:vAlign w:val="center"/>
                  <w:hideMark/>
                </w:tcPr>
                <w:p w:rsidR="00AE3C4E" w:rsidRPr="0081082A" w:rsidRDefault="00202BBD"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559" w:type="dxa"/>
                  <w:gridSpan w:val="8"/>
                  <w:shd w:val="clear" w:color="auto" w:fill="auto"/>
                  <w:vAlign w:val="center"/>
                  <w:hideMark/>
                </w:tcPr>
                <w:p w:rsidR="00AE3C4E" w:rsidRPr="0081082A" w:rsidRDefault="00AE3C4E" w:rsidP="00310BEC">
                  <w:pPr>
                    <w:tabs>
                      <w:tab w:val="left" w:pos="9923"/>
                    </w:tabs>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Приказано у мери 4.3.2.</w:t>
                  </w:r>
                </w:p>
              </w:tc>
              <w:tc>
                <w:tcPr>
                  <w:tcW w:w="1134" w:type="dxa"/>
                  <w:gridSpan w:val="2"/>
                  <w:shd w:val="clear" w:color="auto" w:fill="auto"/>
                  <w:hideMark/>
                </w:tcPr>
                <w:p w:rsidR="00AE3C4E" w:rsidRPr="0081082A" w:rsidRDefault="001E262A"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843" w:type="dxa"/>
                  <w:gridSpan w:val="6"/>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01" w:type="dxa"/>
                  <w:gridSpan w:val="3"/>
                  <w:shd w:val="clear" w:color="auto" w:fill="auto"/>
                  <w:noWrap/>
                  <w:vAlign w:val="center"/>
                  <w:hideMark/>
                </w:tcPr>
                <w:p w:rsidR="00AE3C4E" w:rsidRPr="0081082A" w:rsidRDefault="00AE3C4E" w:rsidP="00310BEC">
                  <w:pPr>
                    <w:spacing w:after="0" w:line="240" w:lineRule="auto"/>
                    <w:jc w:val="center"/>
                    <w:rPr>
                      <w:color w:val="000000"/>
                      <w:sz w:val="16"/>
                      <w:szCs w:val="16"/>
                      <w:lang w:val="sr-Cyrl-RS"/>
                    </w:rPr>
                  </w:pPr>
                  <w:r w:rsidRPr="0081082A">
                    <w:rPr>
                      <w:color w:val="000000"/>
                      <w:sz w:val="16"/>
                      <w:szCs w:val="16"/>
                      <w:lang w:val="sr-Cyrl-RS"/>
                    </w:rPr>
                    <w:t>-</w:t>
                  </w:r>
                </w:p>
              </w:tc>
              <w:tc>
                <w:tcPr>
                  <w:tcW w:w="1134" w:type="dxa"/>
                  <w:gridSpan w:val="4"/>
                  <w:shd w:val="clear" w:color="auto" w:fill="auto"/>
                  <w:noWrap/>
                  <w:vAlign w:val="center"/>
                  <w:hideMark/>
                </w:tcPr>
                <w:p w:rsidR="00AE3C4E" w:rsidRPr="0081082A" w:rsidRDefault="00AE3C4E" w:rsidP="00310BEC">
                  <w:pPr>
                    <w:spacing w:after="0" w:line="240" w:lineRule="auto"/>
                    <w:jc w:val="center"/>
                    <w:rPr>
                      <w:color w:val="000000"/>
                      <w:sz w:val="16"/>
                      <w:szCs w:val="16"/>
                      <w:lang w:val="sr-Cyrl-RS"/>
                    </w:rPr>
                  </w:pPr>
                  <w:r w:rsidRPr="0081082A">
                    <w:rPr>
                      <w:color w:val="000000"/>
                      <w:sz w:val="16"/>
                      <w:szCs w:val="16"/>
                      <w:lang w:val="sr-Cyrl-RS"/>
                    </w:rPr>
                    <w:t>-</w:t>
                  </w:r>
                </w:p>
              </w:tc>
              <w:tc>
                <w:tcPr>
                  <w:tcW w:w="992"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29" w:type="dxa"/>
                  <w:gridSpan w:val="3"/>
                  <w:shd w:val="clear" w:color="auto" w:fill="auto"/>
                  <w:noWrap/>
                  <w:vAlign w:val="center"/>
                  <w:hideMark/>
                </w:tcPr>
                <w:p w:rsidR="00AE3C4E" w:rsidRPr="0081082A" w:rsidRDefault="00AE3C4E" w:rsidP="00310BEC">
                  <w:pPr>
                    <w:tabs>
                      <w:tab w:val="left" w:pos="9923"/>
                    </w:tabs>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gridAfter w:val="3"/>
                <w:wAfter w:w="465" w:type="dxa"/>
                <w:trHeight w:val="277"/>
                <w:jc w:val="center"/>
              </w:trPr>
              <w:tc>
                <w:tcPr>
                  <w:tcW w:w="16008" w:type="dxa"/>
                  <w:gridSpan w:val="38"/>
                  <w:shd w:val="clear" w:color="auto" w:fill="F2F2F2" w:themeFill="background1" w:themeFillShade="F2"/>
                </w:tcPr>
                <w:p w:rsidR="00AE3C4E" w:rsidRPr="0081082A" w:rsidRDefault="00AE3C4E" w:rsidP="00310BEC">
                  <w:pPr>
                    <w:tabs>
                      <w:tab w:val="left" w:pos="9923"/>
                    </w:tabs>
                    <w:spacing w:after="0" w:line="240" w:lineRule="auto"/>
                    <w:rPr>
                      <w:rFonts w:eastAsia="Times New Roman"/>
                      <w:b/>
                      <w:i/>
                      <w:color w:val="000000"/>
                      <w:sz w:val="18"/>
                      <w:szCs w:val="18"/>
                      <w:lang w:val="sr-Cyrl-RS" w:eastAsia="en-GB"/>
                    </w:rPr>
                  </w:pPr>
                  <w:r w:rsidRPr="0081082A">
                    <w:rPr>
                      <w:rFonts w:eastAsia="Times New Roman"/>
                      <w:b/>
                      <w:i/>
                      <w:color w:val="1F4E79" w:themeColor="accent1" w:themeShade="80"/>
                      <w:sz w:val="18"/>
                      <w:szCs w:val="18"/>
                      <w:lang w:val="sr-Cyrl-RS" w:eastAsia="en-GB"/>
                    </w:rPr>
                    <w:lastRenderedPageBreak/>
                    <w:t>Мера 4.3: Ојачано праћењe интерне контроле у јавном сектору (ИКЈС)</w:t>
                  </w:r>
                </w:p>
              </w:tc>
            </w:tr>
            <w:tr w:rsidR="00AE3C4E" w:rsidRPr="0081082A" w:rsidTr="00310BEC">
              <w:trPr>
                <w:gridAfter w:val="3"/>
                <w:wAfter w:w="465" w:type="dxa"/>
                <w:trHeight w:val="277"/>
                <w:jc w:val="center"/>
              </w:trPr>
              <w:tc>
                <w:tcPr>
                  <w:tcW w:w="16008" w:type="dxa"/>
                  <w:gridSpan w:val="3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21" w:name="_Toc69726996"/>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AA75EF" w:rsidRPr="0081082A">
                    <w:rPr>
                      <w:rFonts w:eastAsia="Times New Roman"/>
                      <w:b/>
                      <w:i/>
                      <w:color w:val="365F91"/>
                      <w:sz w:val="18"/>
                      <w:szCs w:val="18"/>
                      <w:lang w:val="sr-Cyrl-RS" w:eastAsia="en-GB"/>
                    </w:rPr>
                    <w:t>мере: Министарство</w:t>
                  </w:r>
                  <w:r w:rsidRPr="0081082A">
                    <w:rPr>
                      <w:rFonts w:eastAsia="Times New Roman"/>
                      <w:b/>
                      <w:i/>
                      <w:color w:val="365F91"/>
                      <w:sz w:val="18"/>
                      <w:szCs w:val="18"/>
                      <w:lang w:val="sr-Cyrl-RS" w:eastAsia="en-GB"/>
                    </w:rPr>
                    <w:t xml:space="preserve"> финансија- Сектор- Централна јединица за хармонизацију</w:t>
                  </w:r>
                  <w:bookmarkEnd w:id="121"/>
                </w:p>
              </w:tc>
            </w:tr>
            <w:tr w:rsidR="00AE3C4E" w:rsidRPr="0081082A" w:rsidTr="00310BEC">
              <w:trPr>
                <w:gridAfter w:val="3"/>
                <w:wAfter w:w="465" w:type="dxa"/>
                <w:trHeight w:val="277"/>
                <w:jc w:val="center"/>
              </w:trPr>
              <w:tc>
                <w:tcPr>
                  <w:tcW w:w="10201" w:type="dxa"/>
                  <w:gridSpan w:val="22"/>
                  <w:shd w:val="clear" w:color="auto" w:fill="F2F2F2" w:themeFill="background1" w:themeFillShade="F2"/>
                </w:tcPr>
                <w:p w:rsidR="00AE3C4E" w:rsidRPr="0081082A" w:rsidRDefault="00AE3C4E" w:rsidP="00310BEC">
                  <w:pPr>
                    <w:tabs>
                      <w:tab w:val="left" w:pos="9923"/>
                    </w:tabs>
                    <w:spacing w:after="0" w:line="240" w:lineRule="auto"/>
                    <w:rPr>
                      <w:rFonts w:eastAsia="Times New Roman"/>
                      <w:b/>
                      <w:i/>
                      <w:color w:val="365F91"/>
                      <w:sz w:val="18"/>
                      <w:szCs w:val="18"/>
                      <w:lang w:val="sr-Cyrl-RS" w:eastAsia="en-GB"/>
                    </w:rPr>
                  </w:pPr>
                  <w:r w:rsidRPr="0081082A">
                    <w:rPr>
                      <w:rFonts w:eastAsia="Times New Roman"/>
                      <w:b/>
                      <w:i/>
                      <w:color w:val="365F91"/>
                      <w:sz w:val="18"/>
                      <w:szCs w:val="18"/>
                      <w:lang w:val="sr-Cyrl-RS" w:eastAsia="en-GB"/>
                    </w:rPr>
                    <w:t>Период спровођења: 2021-2025</w:t>
                  </w:r>
                </w:p>
              </w:tc>
              <w:tc>
                <w:tcPr>
                  <w:tcW w:w="5807" w:type="dxa"/>
                  <w:gridSpan w:val="16"/>
                  <w:shd w:val="clear" w:color="auto" w:fill="F2F2F2" w:themeFill="background1" w:themeFillShade="F2"/>
                </w:tcPr>
                <w:p w:rsidR="00AE3C4E" w:rsidRPr="0081082A" w:rsidRDefault="00AE3C4E" w:rsidP="00310BEC">
                  <w:pPr>
                    <w:spacing w:after="0" w:line="240" w:lineRule="auto"/>
                    <w:rPr>
                      <w:rFonts w:eastAsia="Times New Roman"/>
                      <w:b/>
                      <w:i/>
                      <w:color w:val="365F91"/>
                      <w:sz w:val="18"/>
                      <w:szCs w:val="18"/>
                      <w:lang w:val="sr-Cyrl-RS" w:eastAsia="en-GB"/>
                    </w:rPr>
                  </w:pPr>
                  <w:r w:rsidRPr="0081082A">
                    <w:rPr>
                      <w:rFonts w:eastAsia="Times New Roman"/>
                      <w:b/>
                      <w:i/>
                      <w:color w:val="365F91"/>
                      <w:sz w:val="18"/>
                      <w:szCs w:val="18"/>
                      <w:lang w:val="sr-Cyrl-RS" w:eastAsia="en-GB"/>
                    </w:rPr>
                    <w:t>Тип мере: Институционално управљачко организациона</w:t>
                  </w:r>
                </w:p>
              </w:tc>
            </w:tr>
            <w:tr w:rsidR="00AE3C4E" w:rsidRPr="0081082A" w:rsidTr="00787EFE">
              <w:trPr>
                <w:trHeight w:val="696"/>
                <w:jc w:val="center"/>
              </w:trPr>
              <w:tc>
                <w:tcPr>
                  <w:tcW w:w="2122" w:type="dxa"/>
                  <w:gridSpan w:val="2"/>
                  <w:shd w:val="clear" w:color="auto" w:fill="F2F2F2" w:themeFill="background1" w:themeFillShade="F2"/>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Показатељ(</w:t>
                  </w:r>
                  <w:r w:rsidR="00AA75EF" w:rsidRPr="0081082A">
                    <w:rPr>
                      <w:rFonts w:cstheme="minorHAnsi"/>
                      <w:b/>
                      <w:sz w:val="16"/>
                      <w:szCs w:val="16"/>
                      <w:lang w:val="sr-Cyrl-RS"/>
                    </w:rPr>
                    <w:t>и) на</w:t>
                  </w:r>
                  <w:r w:rsidRPr="0081082A">
                    <w:rPr>
                      <w:rFonts w:cstheme="minorHAnsi"/>
                      <w:b/>
                      <w:sz w:val="16"/>
                      <w:szCs w:val="16"/>
                      <w:lang w:val="sr-Cyrl-RS"/>
                    </w:rPr>
                    <w:t xml:space="preserve"> нивоу мере (показатељ резултата)</w:t>
                  </w:r>
                </w:p>
              </w:tc>
              <w:tc>
                <w:tcPr>
                  <w:tcW w:w="2013" w:type="dxa"/>
                  <w:gridSpan w:val="3"/>
                  <w:shd w:val="clear" w:color="auto" w:fill="F2F2F2" w:themeFill="background1" w:themeFillShade="F2"/>
                </w:tcPr>
                <w:p w:rsidR="00AE3C4E" w:rsidRPr="0081082A" w:rsidRDefault="00AE3C4E" w:rsidP="00310BEC">
                  <w:pPr>
                    <w:spacing w:after="0" w:line="240" w:lineRule="auto"/>
                    <w:rPr>
                      <w:b/>
                      <w:sz w:val="16"/>
                      <w:szCs w:val="16"/>
                      <w:lang w:val="sr-Cyrl-RS"/>
                    </w:rPr>
                  </w:pPr>
                  <w:r w:rsidRPr="0081082A">
                    <w:rPr>
                      <w:b/>
                      <w:sz w:val="16"/>
                      <w:szCs w:val="16"/>
                      <w:lang w:val="sr-Cyrl-RS"/>
                    </w:rPr>
                    <w:t>Jединица мере</w:t>
                  </w:r>
                </w:p>
              </w:tc>
              <w:tc>
                <w:tcPr>
                  <w:tcW w:w="1036" w:type="dxa"/>
                  <w:shd w:val="clear" w:color="auto" w:fill="F2F2F2" w:themeFill="background1" w:themeFillShade="F2"/>
                </w:tcPr>
                <w:p w:rsidR="00AE3C4E" w:rsidRPr="0081082A" w:rsidRDefault="00AE3C4E" w:rsidP="00310BEC">
                  <w:pPr>
                    <w:spacing w:after="0" w:line="240" w:lineRule="auto"/>
                    <w:rPr>
                      <w:b/>
                      <w:sz w:val="16"/>
                      <w:szCs w:val="16"/>
                      <w:lang w:val="sr-Cyrl-RS"/>
                    </w:rPr>
                  </w:pPr>
                  <w:r w:rsidRPr="0081082A">
                    <w:rPr>
                      <w:b/>
                      <w:sz w:val="16"/>
                      <w:szCs w:val="16"/>
                      <w:lang w:val="sr-Cyrl-RS"/>
                    </w:rPr>
                    <w:t>Извор провере</w:t>
                  </w:r>
                </w:p>
              </w:tc>
              <w:tc>
                <w:tcPr>
                  <w:tcW w:w="1345" w:type="dxa"/>
                  <w:gridSpan w:val="3"/>
                  <w:shd w:val="clear" w:color="auto" w:fill="F2F2F2" w:themeFill="background1" w:themeFillShade="F2"/>
                </w:tcPr>
                <w:p w:rsidR="00AE3C4E" w:rsidRPr="0081082A" w:rsidRDefault="00AE3C4E" w:rsidP="00310BEC">
                  <w:pPr>
                    <w:spacing w:after="0" w:line="240" w:lineRule="auto"/>
                    <w:rPr>
                      <w:b/>
                      <w:sz w:val="16"/>
                      <w:szCs w:val="16"/>
                      <w:lang w:val="sr-Cyrl-RS"/>
                    </w:rPr>
                  </w:pPr>
                  <w:r w:rsidRPr="0081082A">
                    <w:rPr>
                      <w:b/>
                      <w:sz w:val="16"/>
                      <w:szCs w:val="16"/>
                      <w:lang w:val="sr-Cyrl-RS"/>
                    </w:rPr>
                    <w:t>Почетна вредност</w:t>
                  </w:r>
                </w:p>
              </w:tc>
              <w:tc>
                <w:tcPr>
                  <w:tcW w:w="1276" w:type="dxa"/>
                  <w:gridSpan w:val="6"/>
                  <w:shd w:val="clear" w:color="auto" w:fill="F2F2F2" w:themeFill="background1" w:themeFillShade="F2"/>
                </w:tcPr>
                <w:p w:rsidR="00AE3C4E" w:rsidRPr="0081082A" w:rsidRDefault="00AE3C4E" w:rsidP="00310BEC">
                  <w:pPr>
                    <w:jc w:val="center"/>
                    <w:rPr>
                      <w:b/>
                      <w:sz w:val="16"/>
                      <w:szCs w:val="16"/>
                      <w:lang w:val="sr-Cyrl-RS"/>
                    </w:rPr>
                  </w:pPr>
                  <w:r w:rsidRPr="0081082A">
                    <w:rPr>
                      <w:b/>
                      <w:sz w:val="16"/>
                      <w:szCs w:val="16"/>
                      <w:lang w:val="sr-Cyrl-RS"/>
                    </w:rPr>
                    <w:t>Базна година</w:t>
                  </w:r>
                </w:p>
              </w:tc>
              <w:tc>
                <w:tcPr>
                  <w:tcW w:w="1701" w:type="dxa"/>
                  <w:gridSpan w:val="5"/>
                  <w:shd w:val="clear" w:color="auto" w:fill="F2F2F2" w:themeFill="background1" w:themeFillShade="F2"/>
                </w:tcPr>
                <w:p w:rsidR="00AE3C4E" w:rsidRPr="0081082A" w:rsidRDefault="00AE3C4E" w:rsidP="00310BEC">
                  <w:pPr>
                    <w:spacing w:after="0" w:line="240" w:lineRule="auto"/>
                    <w:rPr>
                      <w:b/>
                      <w:sz w:val="16"/>
                      <w:szCs w:val="16"/>
                      <w:lang w:val="sr-Cyrl-RS"/>
                    </w:rPr>
                  </w:pPr>
                  <w:r w:rsidRPr="0081082A">
                    <w:rPr>
                      <w:b/>
                      <w:sz w:val="16"/>
                      <w:szCs w:val="16"/>
                      <w:lang w:val="sr-Cyrl-RS"/>
                    </w:rPr>
                    <w:t>Циљана вредност 2021</w:t>
                  </w:r>
                </w:p>
              </w:tc>
              <w:tc>
                <w:tcPr>
                  <w:tcW w:w="1134" w:type="dxa"/>
                  <w:gridSpan w:val="4"/>
                  <w:shd w:val="clear" w:color="auto" w:fill="F2F2F2" w:themeFill="background1" w:themeFillShade="F2"/>
                </w:tcPr>
                <w:p w:rsidR="00AE3C4E" w:rsidRPr="0081082A" w:rsidRDefault="00AE3C4E" w:rsidP="00310BEC">
                  <w:pPr>
                    <w:spacing w:after="0" w:line="240" w:lineRule="auto"/>
                    <w:rPr>
                      <w:b/>
                      <w:sz w:val="16"/>
                      <w:szCs w:val="16"/>
                      <w:lang w:val="sr-Cyrl-RS"/>
                    </w:rPr>
                  </w:pPr>
                  <w:r w:rsidRPr="0081082A">
                    <w:rPr>
                      <w:b/>
                      <w:sz w:val="16"/>
                      <w:szCs w:val="16"/>
                      <w:lang w:val="sr-Cyrl-RS"/>
                    </w:rPr>
                    <w:t>Циљана вредност 2022</w:t>
                  </w:r>
                </w:p>
              </w:tc>
              <w:tc>
                <w:tcPr>
                  <w:tcW w:w="1134" w:type="dxa"/>
                  <w:gridSpan w:val="2"/>
                  <w:shd w:val="clear" w:color="auto" w:fill="F2F2F2" w:themeFill="background1" w:themeFillShade="F2"/>
                </w:tcPr>
                <w:p w:rsidR="00AE3C4E" w:rsidRPr="0081082A" w:rsidRDefault="00AE3C4E" w:rsidP="00310BEC">
                  <w:pPr>
                    <w:spacing w:after="0" w:line="240" w:lineRule="auto"/>
                    <w:rPr>
                      <w:b/>
                      <w:sz w:val="16"/>
                      <w:szCs w:val="16"/>
                      <w:lang w:val="sr-Cyrl-RS"/>
                    </w:rPr>
                  </w:pPr>
                  <w:r w:rsidRPr="0081082A">
                    <w:rPr>
                      <w:b/>
                      <w:sz w:val="16"/>
                      <w:szCs w:val="16"/>
                      <w:lang w:val="sr-Cyrl-RS"/>
                    </w:rPr>
                    <w:t>Циљана вредност 2023</w:t>
                  </w:r>
                </w:p>
              </w:tc>
              <w:tc>
                <w:tcPr>
                  <w:tcW w:w="1842" w:type="dxa"/>
                  <w:gridSpan w:val="4"/>
                  <w:shd w:val="clear" w:color="auto" w:fill="F2F2F2" w:themeFill="background1" w:themeFillShade="F2"/>
                </w:tcPr>
                <w:p w:rsidR="00AE3C4E" w:rsidRPr="0081082A" w:rsidRDefault="00AE3C4E" w:rsidP="00310BEC">
                  <w:pPr>
                    <w:rPr>
                      <w:b/>
                      <w:sz w:val="16"/>
                      <w:szCs w:val="16"/>
                      <w:lang w:val="sr-Cyrl-RS"/>
                    </w:rPr>
                  </w:pPr>
                  <w:r w:rsidRPr="0081082A">
                    <w:rPr>
                      <w:b/>
                      <w:sz w:val="16"/>
                      <w:szCs w:val="16"/>
                      <w:lang w:val="sr-Cyrl-RS"/>
                    </w:rPr>
                    <w:t>Циљана вредност 2024</w:t>
                  </w:r>
                </w:p>
              </w:tc>
              <w:tc>
                <w:tcPr>
                  <w:tcW w:w="2870" w:type="dxa"/>
                  <w:gridSpan w:val="11"/>
                  <w:shd w:val="clear" w:color="auto" w:fill="F2F2F2" w:themeFill="background1" w:themeFillShade="F2"/>
                </w:tcPr>
                <w:p w:rsidR="00AE3C4E" w:rsidRPr="0081082A" w:rsidRDefault="00AE3C4E" w:rsidP="00310BEC">
                  <w:pPr>
                    <w:rPr>
                      <w:b/>
                      <w:sz w:val="16"/>
                      <w:szCs w:val="16"/>
                      <w:lang w:val="sr-Cyrl-RS"/>
                    </w:rPr>
                  </w:pPr>
                  <w:r w:rsidRPr="0081082A">
                    <w:rPr>
                      <w:b/>
                      <w:sz w:val="16"/>
                      <w:szCs w:val="16"/>
                      <w:lang w:val="sr-Cyrl-RS"/>
                    </w:rPr>
                    <w:t>Циљана вредност 2025</w:t>
                  </w:r>
                </w:p>
              </w:tc>
            </w:tr>
            <w:tr w:rsidR="00AE3C4E" w:rsidRPr="0081082A" w:rsidTr="00787EFE">
              <w:trPr>
                <w:trHeight w:val="1262"/>
                <w:jc w:val="center"/>
              </w:trPr>
              <w:tc>
                <w:tcPr>
                  <w:tcW w:w="2122" w:type="dxa"/>
                  <w:gridSpan w:val="2"/>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 xml:space="preserve">Функционалан </w:t>
                  </w:r>
                  <w:r w:rsidR="00AA75EF" w:rsidRPr="0081082A">
                    <w:rPr>
                      <w:rFonts w:cstheme="minorHAnsi"/>
                      <w:sz w:val="16"/>
                      <w:szCs w:val="16"/>
                      <w:lang w:val="sr-Cyrl-RS"/>
                    </w:rPr>
                    <w:t>ИТ систем</w:t>
                  </w:r>
                  <w:r w:rsidRPr="0081082A">
                    <w:rPr>
                      <w:rFonts w:cstheme="minorHAnsi"/>
                      <w:sz w:val="16"/>
                      <w:szCs w:val="16"/>
                      <w:lang w:val="sr-Cyrl-RS"/>
                    </w:rPr>
                    <w:t xml:space="preserve"> за ИК</w:t>
                  </w:r>
                </w:p>
              </w:tc>
              <w:tc>
                <w:tcPr>
                  <w:tcW w:w="2013" w:type="dxa"/>
                  <w:gridSpan w:val="3"/>
                  <w:shd w:val="clear" w:color="auto" w:fill="auto"/>
                  <w:vAlign w:val="center"/>
                </w:tcPr>
                <w:p w:rsidR="00AE3C4E" w:rsidRPr="0081082A" w:rsidRDefault="00AE3C4E" w:rsidP="00310BEC">
                  <w:pPr>
                    <w:spacing w:after="0" w:line="240" w:lineRule="auto"/>
                    <w:jc w:val="center"/>
                    <w:rPr>
                      <w:sz w:val="16"/>
                      <w:szCs w:val="16"/>
                      <w:lang w:val="sr-Cyrl-RS"/>
                    </w:rPr>
                  </w:pPr>
                  <w:r w:rsidRPr="0081082A">
                    <w:rPr>
                      <w:sz w:val="16"/>
                      <w:szCs w:val="16"/>
                      <w:lang w:val="sr-Cyrl-RS"/>
                    </w:rPr>
                    <w:t>Да/не</w:t>
                  </w:r>
                </w:p>
              </w:tc>
              <w:tc>
                <w:tcPr>
                  <w:tcW w:w="1036" w:type="dxa"/>
                  <w:shd w:val="clear" w:color="auto" w:fill="auto"/>
                  <w:vAlign w:val="center"/>
                </w:tcPr>
                <w:p w:rsidR="00AE3C4E" w:rsidRPr="0081082A" w:rsidRDefault="00AE3C4E" w:rsidP="00310BEC">
                  <w:pPr>
                    <w:spacing w:after="0" w:line="240" w:lineRule="auto"/>
                    <w:jc w:val="center"/>
                    <w:rPr>
                      <w:sz w:val="16"/>
                      <w:szCs w:val="16"/>
                      <w:lang w:val="sr-Cyrl-RS"/>
                    </w:rPr>
                  </w:pPr>
                </w:p>
                <w:p w:rsidR="00AE3C4E" w:rsidRPr="0081082A" w:rsidRDefault="00AE3C4E" w:rsidP="00310BEC">
                  <w:pPr>
                    <w:jc w:val="center"/>
                    <w:rPr>
                      <w:sz w:val="16"/>
                      <w:szCs w:val="16"/>
                      <w:lang w:val="sr-Cyrl-RS"/>
                    </w:rPr>
                  </w:pPr>
                  <w:r w:rsidRPr="0081082A">
                    <w:rPr>
                      <w:rFonts w:eastAsia="Times New Roman"/>
                      <w:bCs/>
                      <w:sz w:val="16"/>
                      <w:szCs w:val="16"/>
                      <w:lang w:val="sr-Cyrl-RS" w:eastAsia="en-GB"/>
                    </w:rPr>
                    <w:t>Консолидовани годишњи извештај</w:t>
                  </w:r>
                </w:p>
              </w:tc>
              <w:tc>
                <w:tcPr>
                  <w:tcW w:w="1345" w:type="dxa"/>
                  <w:gridSpan w:val="3"/>
                  <w:shd w:val="clear" w:color="auto" w:fill="auto"/>
                  <w:vAlign w:val="center"/>
                </w:tcPr>
                <w:p w:rsidR="00AE3C4E" w:rsidRPr="0081082A" w:rsidRDefault="00AE3C4E" w:rsidP="00310BEC">
                  <w:pPr>
                    <w:spacing w:after="0" w:line="240" w:lineRule="auto"/>
                    <w:rPr>
                      <w:sz w:val="16"/>
                      <w:szCs w:val="16"/>
                      <w:lang w:val="sr-Cyrl-RS"/>
                    </w:rPr>
                  </w:pPr>
                </w:p>
                <w:p w:rsidR="00AE3C4E" w:rsidRPr="0081082A" w:rsidRDefault="00AE3C4E" w:rsidP="00310BEC">
                  <w:pPr>
                    <w:jc w:val="center"/>
                    <w:rPr>
                      <w:sz w:val="16"/>
                      <w:szCs w:val="16"/>
                      <w:lang w:val="sr-Cyrl-RS"/>
                    </w:rPr>
                  </w:pPr>
                  <w:r w:rsidRPr="0081082A">
                    <w:rPr>
                      <w:sz w:val="16"/>
                      <w:szCs w:val="16"/>
                      <w:lang w:val="sr-Cyrl-RS"/>
                    </w:rPr>
                    <w:t>не</w:t>
                  </w:r>
                </w:p>
              </w:tc>
              <w:tc>
                <w:tcPr>
                  <w:tcW w:w="1276" w:type="dxa"/>
                  <w:gridSpan w:val="6"/>
                  <w:shd w:val="clear" w:color="auto" w:fill="auto"/>
                  <w:vAlign w:val="center"/>
                </w:tcPr>
                <w:p w:rsidR="00AE3C4E" w:rsidRPr="0081082A" w:rsidRDefault="00AE3C4E" w:rsidP="00310BEC">
                  <w:pPr>
                    <w:spacing w:after="0" w:line="240" w:lineRule="auto"/>
                    <w:rPr>
                      <w:sz w:val="16"/>
                      <w:szCs w:val="16"/>
                      <w:lang w:val="sr-Cyrl-RS"/>
                    </w:rPr>
                  </w:pPr>
                </w:p>
                <w:p w:rsidR="00AE3C4E" w:rsidRPr="0081082A" w:rsidRDefault="00AE3C4E" w:rsidP="00310BEC">
                  <w:pPr>
                    <w:jc w:val="center"/>
                    <w:rPr>
                      <w:sz w:val="16"/>
                      <w:szCs w:val="16"/>
                      <w:lang w:val="sr-Cyrl-RS"/>
                    </w:rPr>
                  </w:pPr>
                  <w:r w:rsidRPr="0081082A">
                    <w:rPr>
                      <w:sz w:val="16"/>
                      <w:szCs w:val="16"/>
                      <w:lang w:val="sr-Cyrl-RS"/>
                    </w:rPr>
                    <w:t>2020</w:t>
                  </w:r>
                </w:p>
              </w:tc>
              <w:tc>
                <w:tcPr>
                  <w:tcW w:w="1701" w:type="dxa"/>
                  <w:gridSpan w:val="5"/>
                  <w:shd w:val="clear" w:color="auto" w:fill="auto"/>
                  <w:vAlign w:val="center"/>
                </w:tcPr>
                <w:p w:rsidR="00AE3C4E" w:rsidRPr="0081082A" w:rsidRDefault="00AE3C4E" w:rsidP="00310BEC">
                  <w:pPr>
                    <w:spacing w:after="0" w:line="240" w:lineRule="auto"/>
                    <w:rPr>
                      <w:sz w:val="16"/>
                      <w:szCs w:val="16"/>
                      <w:lang w:val="sr-Cyrl-RS"/>
                    </w:rPr>
                  </w:pPr>
                </w:p>
              </w:tc>
              <w:tc>
                <w:tcPr>
                  <w:tcW w:w="1134" w:type="dxa"/>
                  <w:gridSpan w:val="4"/>
                  <w:shd w:val="clear" w:color="auto" w:fill="auto"/>
                  <w:vAlign w:val="center"/>
                </w:tcPr>
                <w:p w:rsidR="00AE3C4E" w:rsidRPr="0081082A" w:rsidRDefault="00AE3C4E" w:rsidP="00310BEC">
                  <w:pPr>
                    <w:spacing w:after="0" w:line="240" w:lineRule="auto"/>
                    <w:rPr>
                      <w:b/>
                      <w:sz w:val="16"/>
                      <w:szCs w:val="16"/>
                      <w:lang w:val="sr-Cyrl-RS"/>
                    </w:rPr>
                  </w:pPr>
                </w:p>
              </w:tc>
              <w:tc>
                <w:tcPr>
                  <w:tcW w:w="1134" w:type="dxa"/>
                  <w:gridSpan w:val="2"/>
                  <w:shd w:val="clear" w:color="auto" w:fill="auto"/>
                  <w:vAlign w:val="center"/>
                </w:tcPr>
                <w:p w:rsidR="00AE3C4E" w:rsidRPr="0081082A" w:rsidRDefault="00AE3C4E" w:rsidP="00310BEC">
                  <w:pPr>
                    <w:spacing w:after="0" w:line="240" w:lineRule="auto"/>
                    <w:rPr>
                      <w:b/>
                      <w:sz w:val="16"/>
                      <w:szCs w:val="16"/>
                      <w:lang w:val="sr-Cyrl-RS"/>
                    </w:rPr>
                  </w:pPr>
                </w:p>
              </w:tc>
              <w:tc>
                <w:tcPr>
                  <w:tcW w:w="1842" w:type="dxa"/>
                  <w:gridSpan w:val="4"/>
                  <w:shd w:val="clear" w:color="auto" w:fill="auto"/>
                  <w:vAlign w:val="center"/>
                </w:tcPr>
                <w:p w:rsidR="00AE3C4E" w:rsidRPr="0081082A" w:rsidRDefault="00AE3C4E" w:rsidP="00310BEC">
                  <w:pPr>
                    <w:rPr>
                      <w:b/>
                      <w:sz w:val="16"/>
                      <w:szCs w:val="16"/>
                      <w:lang w:val="sr-Cyrl-RS"/>
                    </w:rPr>
                  </w:pPr>
                </w:p>
              </w:tc>
              <w:tc>
                <w:tcPr>
                  <w:tcW w:w="2870" w:type="dxa"/>
                  <w:gridSpan w:val="11"/>
                  <w:shd w:val="clear" w:color="auto" w:fill="auto"/>
                  <w:vAlign w:val="center"/>
                </w:tcPr>
                <w:p w:rsidR="00AE3C4E" w:rsidRPr="0081082A" w:rsidRDefault="00AE3C4E" w:rsidP="00310BEC">
                  <w:pPr>
                    <w:rPr>
                      <w:sz w:val="16"/>
                      <w:szCs w:val="16"/>
                      <w:lang w:val="sr-Cyrl-RS"/>
                    </w:rPr>
                  </w:pPr>
                  <w:r w:rsidRPr="0081082A">
                    <w:rPr>
                      <w:sz w:val="16"/>
                      <w:szCs w:val="16"/>
                      <w:lang w:val="sr-Cyrl-RS"/>
                    </w:rPr>
                    <w:t>да</w:t>
                  </w:r>
                </w:p>
              </w:tc>
            </w:tr>
            <w:tr w:rsidR="00AE3C4E" w:rsidRPr="0081082A" w:rsidTr="00787EFE">
              <w:trPr>
                <w:gridAfter w:val="3"/>
                <w:wAfter w:w="465" w:type="dxa"/>
                <w:trHeight w:val="300"/>
                <w:jc w:val="center"/>
              </w:trPr>
              <w:tc>
                <w:tcPr>
                  <w:tcW w:w="1838" w:type="dxa"/>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671" w:type="dxa"/>
                  <w:gridSpan w:val="2"/>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597" w:type="dxa"/>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Институција одговорна за спровођење </w:t>
                  </w:r>
                </w:p>
              </w:tc>
              <w:tc>
                <w:tcPr>
                  <w:tcW w:w="2410" w:type="dxa"/>
                  <w:gridSpan w:val="5"/>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9492" w:type="dxa"/>
                  <w:gridSpan w:val="29"/>
                  <w:shd w:val="clear" w:color="FFFFCC" w:fill="F2F2F2"/>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Укупна процењена финансијска средства по изворима у 000 дин.  </w:t>
                  </w:r>
                </w:p>
              </w:tc>
            </w:tr>
            <w:tr w:rsidR="00AE3C4E" w:rsidRPr="0081082A" w:rsidTr="00787EFE">
              <w:trPr>
                <w:gridAfter w:val="3"/>
                <w:wAfter w:w="465" w:type="dxa"/>
                <w:trHeight w:val="510"/>
                <w:jc w:val="center"/>
              </w:trPr>
              <w:tc>
                <w:tcPr>
                  <w:tcW w:w="1838" w:type="dxa"/>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671" w:type="dxa"/>
                  <w:gridSpan w:val="2"/>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597" w:type="dxa"/>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2410" w:type="dxa"/>
                  <w:gridSpan w:val="5"/>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559" w:type="dxa"/>
                  <w:gridSpan w:val="8"/>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34" w:type="dxa"/>
                  <w:gridSpan w:val="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843" w:type="dxa"/>
                  <w:gridSpan w:val="6"/>
                  <w:shd w:val="clear" w:color="FFFFCC" w:fill="F2F2F2"/>
                  <w:vAlign w:val="center"/>
                  <w:hideMark/>
                </w:tcPr>
                <w:p w:rsidR="00AE3C4E" w:rsidRPr="0081082A" w:rsidRDefault="00AE3C4E" w:rsidP="00310BEC">
                  <w:pPr>
                    <w:spacing w:after="0" w:line="240" w:lineRule="auto"/>
                    <w:jc w:val="center"/>
                    <w:rPr>
                      <w:rFonts w:eastAsia="Times New Roman"/>
                      <w:b/>
                      <w:color w:val="000000"/>
                      <w:sz w:val="16"/>
                      <w:szCs w:val="16"/>
                      <w:lang w:val="sr-Cyrl-RS" w:eastAsia="en-GB"/>
                    </w:rPr>
                  </w:pPr>
                  <w:r w:rsidRPr="0081082A">
                    <w:rPr>
                      <w:rFonts w:eastAsia="Times New Roman"/>
                      <w:b/>
                      <w:color w:val="000000"/>
                      <w:sz w:val="16"/>
                      <w:szCs w:val="16"/>
                      <w:lang w:val="sr-Cyrl-RS" w:eastAsia="en-GB"/>
                    </w:rPr>
                    <w:t>2021</w:t>
                  </w:r>
                </w:p>
              </w:tc>
              <w:tc>
                <w:tcPr>
                  <w:tcW w:w="1701"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134" w:type="dxa"/>
                  <w:gridSpan w:val="4"/>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992"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29"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787EFE">
              <w:trPr>
                <w:gridAfter w:val="3"/>
                <w:wAfter w:w="465" w:type="dxa"/>
                <w:trHeight w:val="1305"/>
                <w:jc w:val="center"/>
              </w:trPr>
              <w:tc>
                <w:tcPr>
                  <w:tcW w:w="1838" w:type="dxa"/>
                  <w:shd w:val="clear" w:color="auto" w:fill="auto"/>
                  <w:hideMark/>
                </w:tcPr>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4.3.1 Пуна примена електронског извештавања путем апликације  (функционална апликација, обуке, обавезност кроз прописе, веза са 4.1.5 )</w:t>
                  </w:r>
                </w:p>
              </w:tc>
              <w:tc>
                <w:tcPr>
                  <w:tcW w:w="671" w:type="dxa"/>
                  <w:gridSpan w:val="2"/>
                  <w:shd w:val="clear" w:color="auto" w:fill="auto"/>
                  <w:vAlign w:val="center"/>
                  <w:hideMark/>
                </w:tcPr>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Q4 2025</w:t>
                  </w:r>
                </w:p>
              </w:tc>
              <w:tc>
                <w:tcPr>
                  <w:tcW w:w="1597" w:type="dxa"/>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2410" w:type="dxa"/>
                  <w:gridSpan w:val="5"/>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Министарства финансија</w:t>
                  </w:r>
                </w:p>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НАЈУ</w:t>
                  </w:r>
                </w:p>
              </w:tc>
              <w:tc>
                <w:tcPr>
                  <w:tcW w:w="1559" w:type="dxa"/>
                  <w:gridSpan w:val="8"/>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tc>
              <w:tc>
                <w:tcPr>
                  <w:tcW w:w="1134" w:type="dxa"/>
                  <w:gridSpan w:val="2"/>
                  <w:shd w:val="clear" w:color="auto" w:fill="auto"/>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2301-0004 </w:t>
                  </w:r>
                </w:p>
              </w:tc>
              <w:tc>
                <w:tcPr>
                  <w:tcW w:w="1843" w:type="dxa"/>
                  <w:gridSpan w:val="6"/>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w:t>
                  </w:r>
                </w:p>
              </w:tc>
              <w:tc>
                <w:tcPr>
                  <w:tcW w:w="1701"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w:t>
                  </w:r>
                </w:p>
              </w:tc>
              <w:tc>
                <w:tcPr>
                  <w:tcW w:w="1134" w:type="dxa"/>
                  <w:gridSpan w:val="4"/>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w:t>
                  </w:r>
                </w:p>
              </w:tc>
              <w:tc>
                <w:tcPr>
                  <w:tcW w:w="992"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w:t>
                  </w:r>
                </w:p>
              </w:tc>
              <w:tc>
                <w:tcPr>
                  <w:tcW w:w="1129"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600</w:t>
                  </w:r>
                </w:p>
              </w:tc>
            </w:tr>
            <w:tr w:rsidR="00AE3C4E" w:rsidRPr="0081082A" w:rsidTr="00787EFE">
              <w:trPr>
                <w:gridAfter w:val="3"/>
                <w:wAfter w:w="465" w:type="dxa"/>
                <w:trHeight w:val="1095"/>
                <w:jc w:val="center"/>
              </w:trPr>
              <w:tc>
                <w:tcPr>
                  <w:tcW w:w="1838" w:type="dxa"/>
                  <w:shd w:val="clear" w:color="auto" w:fill="auto"/>
                  <w:hideMark/>
                </w:tcPr>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4.3.2 Успостављање јединственог информационог система за интерну контролу у јавном сектору (Набавка и примена софтвера за вођење и документовање ангажмана интерне ревизије и евидентирање и </w:t>
                  </w:r>
                  <w:r w:rsidRPr="0081082A">
                    <w:rPr>
                      <w:rFonts w:eastAsia="Times New Roman"/>
                      <w:color w:val="000000"/>
                      <w:sz w:val="16"/>
                      <w:szCs w:val="16"/>
                      <w:lang w:val="sr-Cyrl-RS" w:eastAsia="en-GB"/>
                    </w:rPr>
                    <w:lastRenderedPageBreak/>
                    <w:t>праћење статуса налаза и датих препорука интерне ревизије, препорука из екстерне оцене квалитета интерне ревизије, препорука из сагледавања квалитета система ФУК-а код КЈС и препорука из КГИ, база интерних ревизора, аутоматизација рада ЦЈХ,  повезивање са регистрима других институција, база полазника обука, база Аналитичких јединица и контакт особа за Ф</w:t>
                  </w:r>
                  <w:r w:rsidR="00180F42">
                    <w:rPr>
                      <w:rFonts w:eastAsia="Times New Roman"/>
                      <w:color w:val="000000"/>
                      <w:sz w:val="16"/>
                      <w:szCs w:val="16"/>
                      <w:lang w:val="sr-Cyrl-RS" w:eastAsia="en-GB"/>
                    </w:rPr>
                    <w:t>УК и сл уз могућност дефинисања</w:t>
                  </w:r>
                  <w:r w:rsidRPr="0081082A">
                    <w:rPr>
                      <w:rFonts w:eastAsia="Times New Roman"/>
                      <w:color w:val="000000"/>
                      <w:sz w:val="16"/>
                      <w:szCs w:val="16"/>
                      <w:lang w:val="sr-Cyrl-RS" w:eastAsia="en-GB"/>
                    </w:rPr>
                    <w:t xml:space="preserve"> додатних модула после обављене анализе система)</w:t>
                  </w:r>
                </w:p>
              </w:tc>
              <w:tc>
                <w:tcPr>
                  <w:tcW w:w="671" w:type="dxa"/>
                  <w:gridSpan w:val="2"/>
                  <w:shd w:val="clear" w:color="auto" w:fill="auto"/>
                  <w:vAlign w:val="center"/>
                  <w:hideMark/>
                </w:tcPr>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Q4 2025</w:t>
                  </w:r>
                </w:p>
              </w:tc>
              <w:tc>
                <w:tcPr>
                  <w:tcW w:w="1597" w:type="dxa"/>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2410" w:type="dxa"/>
                  <w:gridSpan w:val="5"/>
                  <w:shd w:val="clear" w:color="auto" w:fill="auto"/>
                  <w:hideMark/>
                </w:tcPr>
                <w:p w:rsidR="00AE3C4E" w:rsidRPr="0081082A" w:rsidRDefault="00AE3C4E" w:rsidP="00310BEC">
                  <w:pPr>
                    <w:spacing w:after="0" w:line="240" w:lineRule="auto"/>
                    <w:jc w:val="center"/>
                    <w:rPr>
                      <w:rFonts w:eastAsia="Times New Roman"/>
                      <w:sz w:val="16"/>
                      <w:szCs w:val="16"/>
                      <w:lang w:val="sr-Cyrl-RS" w:eastAsia="en-GB"/>
                    </w:rPr>
                  </w:pPr>
                </w:p>
                <w:p w:rsidR="00AE3C4E" w:rsidRPr="0081082A" w:rsidRDefault="00AE3C4E" w:rsidP="00310BEC">
                  <w:pPr>
                    <w:spacing w:after="0" w:line="240" w:lineRule="auto"/>
                    <w:jc w:val="center"/>
                    <w:rPr>
                      <w:rFonts w:eastAsia="Times New Roman"/>
                      <w:sz w:val="16"/>
                      <w:szCs w:val="16"/>
                      <w:lang w:val="sr-Cyrl-RS" w:eastAsia="en-GB"/>
                    </w:rPr>
                  </w:pPr>
                </w:p>
                <w:p w:rsidR="00AE3C4E" w:rsidRPr="0081082A" w:rsidRDefault="00AE3C4E" w:rsidP="00310BEC">
                  <w:pPr>
                    <w:spacing w:after="0" w:line="240" w:lineRule="auto"/>
                    <w:jc w:val="center"/>
                    <w:rPr>
                      <w:rFonts w:eastAsia="Times New Roman"/>
                      <w:sz w:val="16"/>
                      <w:szCs w:val="16"/>
                      <w:lang w:val="sr-Cyrl-RS" w:eastAsia="en-GB"/>
                    </w:rPr>
                  </w:pPr>
                </w:p>
                <w:p w:rsidR="00AE3C4E" w:rsidRPr="0081082A" w:rsidRDefault="00AE3C4E" w:rsidP="00310BEC">
                  <w:pPr>
                    <w:spacing w:after="0" w:line="240" w:lineRule="auto"/>
                    <w:jc w:val="center"/>
                    <w:rPr>
                      <w:rFonts w:eastAsia="Times New Roman"/>
                      <w:sz w:val="16"/>
                      <w:szCs w:val="16"/>
                      <w:lang w:val="sr-Cyrl-RS" w:eastAsia="en-GB"/>
                    </w:rPr>
                  </w:pPr>
                </w:p>
                <w:p w:rsidR="001E262A" w:rsidRPr="0081082A" w:rsidRDefault="001E262A" w:rsidP="00310BEC">
                  <w:pPr>
                    <w:spacing w:after="0" w:line="240" w:lineRule="auto"/>
                    <w:jc w:val="center"/>
                    <w:rPr>
                      <w:rFonts w:eastAsia="Times New Roman"/>
                      <w:sz w:val="16"/>
                      <w:szCs w:val="16"/>
                      <w:lang w:val="sr-Cyrl-RS" w:eastAsia="en-GB"/>
                    </w:rPr>
                  </w:pPr>
                </w:p>
                <w:p w:rsidR="001E262A" w:rsidRPr="0081082A" w:rsidRDefault="001E262A" w:rsidP="00310BEC">
                  <w:pPr>
                    <w:spacing w:after="0" w:line="240" w:lineRule="auto"/>
                    <w:jc w:val="center"/>
                    <w:rPr>
                      <w:rFonts w:eastAsia="Times New Roman"/>
                      <w:sz w:val="16"/>
                      <w:szCs w:val="16"/>
                      <w:lang w:val="sr-Cyrl-RS" w:eastAsia="en-GB"/>
                    </w:rPr>
                  </w:pPr>
                </w:p>
                <w:p w:rsidR="001E262A" w:rsidRPr="0081082A" w:rsidRDefault="001E262A" w:rsidP="00310BEC">
                  <w:pPr>
                    <w:spacing w:after="0" w:line="240" w:lineRule="auto"/>
                    <w:jc w:val="center"/>
                    <w:rPr>
                      <w:rFonts w:eastAsia="Times New Roman"/>
                      <w:sz w:val="16"/>
                      <w:szCs w:val="16"/>
                      <w:lang w:val="sr-Cyrl-RS" w:eastAsia="en-GB"/>
                    </w:rPr>
                  </w:pPr>
                </w:p>
                <w:p w:rsidR="001E262A" w:rsidRPr="0081082A" w:rsidRDefault="001E262A" w:rsidP="00310BEC">
                  <w:pPr>
                    <w:spacing w:after="0" w:line="240" w:lineRule="auto"/>
                    <w:jc w:val="center"/>
                    <w:rPr>
                      <w:rFonts w:eastAsia="Times New Roman"/>
                      <w:sz w:val="16"/>
                      <w:szCs w:val="16"/>
                      <w:lang w:val="sr-Cyrl-RS" w:eastAsia="en-GB"/>
                    </w:rPr>
                  </w:pPr>
                </w:p>
                <w:p w:rsidR="001E262A" w:rsidRPr="0081082A" w:rsidRDefault="001E262A" w:rsidP="00310BEC">
                  <w:pPr>
                    <w:spacing w:after="0" w:line="240" w:lineRule="auto"/>
                    <w:jc w:val="center"/>
                    <w:rPr>
                      <w:rFonts w:eastAsia="Times New Roman"/>
                      <w:sz w:val="16"/>
                      <w:szCs w:val="16"/>
                      <w:lang w:val="sr-Cyrl-RS" w:eastAsia="en-GB"/>
                    </w:rPr>
                  </w:pPr>
                </w:p>
                <w:p w:rsidR="00AE3C4E" w:rsidRPr="0081082A" w:rsidRDefault="00A1343F" w:rsidP="001E262A">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Mинистарство финансија</w:t>
                  </w:r>
                </w:p>
              </w:tc>
              <w:tc>
                <w:tcPr>
                  <w:tcW w:w="1559" w:type="dxa"/>
                  <w:gridSpan w:val="8"/>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 xml:space="preserve">Донаторска средства </w:t>
                  </w:r>
                </w:p>
              </w:tc>
              <w:tc>
                <w:tcPr>
                  <w:tcW w:w="1134" w:type="dxa"/>
                  <w:gridSpan w:val="2"/>
                  <w:shd w:val="clear" w:color="auto" w:fill="auto"/>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 </w:t>
                  </w:r>
                </w:p>
              </w:tc>
              <w:tc>
                <w:tcPr>
                  <w:tcW w:w="1843" w:type="dxa"/>
                  <w:gridSpan w:val="6"/>
                  <w:shd w:val="clear" w:color="auto" w:fill="auto"/>
                  <w:noWrap/>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 </w:t>
                  </w:r>
                </w:p>
              </w:tc>
              <w:tc>
                <w:tcPr>
                  <w:tcW w:w="1701" w:type="dxa"/>
                  <w:gridSpan w:val="3"/>
                  <w:shd w:val="clear" w:color="auto" w:fill="auto"/>
                  <w:noWrap/>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72.000*</w:t>
                  </w:r>
                </w:p>
              </w:tc>
              <w:tc>
                <w:tcPr>
                  <w:tcW w:w="1134" w:type="dxa"/>
                  <w:gridSpan w:val="4"/>
                  <w:shd w:val="clear" w:color="auto" w:fill="auto"/>
                  <w:noWrap/>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36.000*</w:t>
                  </w:r>
                </w:p>
              </w:tc>
              <w:tc>
                <w:tcPr>
                  <w:tcW w:w="992" w:type="dxa"/>
                  <w:gridSpan w:val="3"/>
                  <w:shd w:val="clear" w:color="auto" w:fill="auto"/>
                  <w:noWrap/>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12.000*</w:t>
                  </w:r>
                </w:p>
              </w:tc>
              <w:tc>
                <w:tcPr>
                  <w:tcW w:w="1129" w:type="dxa"/>
                  <w:gridSpan w:val="3"/>
                  <w:shd w:val="clear" w:color="auto" w:fill="auto"/>
                  <w:noWrap/>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1.200* </w:t>
                  </w:r>
                </w:p>
              </w:tc>
            </w:tr>
            <w:tr w:rsidR="00AE3C4E" w:rsidRPr="0081082A" w:rsidTr="00310BEC">
              <w:trPr>
                <w:gridAfter w:val="5"/>
                <w:wAfter w:w="564" w:type="dxa"/>
                <w:trHeight w:val="289"/>
                <w:jc w:val="center"/>
              </w:trPr>
              <w:tc>
                <w:tcPr>
                  <w:tcW w:w="15909" w:type="dxa"/>
                  <w:gridSpan w:val="36"/>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22" w:name="_Toc69726997"/>
                  <w:r w:rsidRPr="0081082A">
                    <w:rPr>
                      <w:rFonts w:eastAsia="Times New Roman"/>
                      <w:b/>
                      <w:i/>
                      <w:color w:val="365F91"/>
                      <w:sz w:val="18"/>
                      <w:szCs w:val="18"/>
                      <w:lang w:val="sr-Cyrl-RS" w:eastAsia="en-GB"/>
                    </w:rPr>
                    <w:lastRenderedPageBreak/>
                    <w:t>Мера 4.4: Модернизација система обучавања из области ИФКЈ</w:t>
                  </w:r>
                  <w:bookmarkEnd w:id="122"/>
                </w:p>
              </w:tc>
            </w:tr>
            <w:tr w:rsidR="00AE3C4E" w:rsidRPr="0081082A" w:rsidTr="00310BEC">
              <w:trPr>
                <w:gridAfter w:val="5"/>
                <w:wAfter w:w="564" w:type="dxa"/>
                <w:trHeight w:val="289"/>
                <w:jc w:val="center"/>
              </w:trPr>
              <w:tc>
                <w:tcPr>
                  <w:tcW w:w="15909" w:type="dxa"/>
                  <w:gridSpan w:val="36"/>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23" w:name="_Toc69726998"/>
                  <w:r w:rsidRPr="0081082A">
                    <w:rPr>
                      <w:rFonts w:eastAsia="Times New Roman"/>
                      <w:b/>
                      <w:i/>
                      <w:color w:val="365F91"/>
                      <w:sz w:val="18"/>
                      <w:szCs w:val="18"/>
                      <w:lang w:val="sr-Cyrl-RS" w:eastAsia="en-GB"/>
                    </w:rPr>
                    <w:t>Институција одговорна за спровођење (координацију спровођења) мере:</w:t>
                  </w:r>
                  <w:r w:rsidR="00A60FC2">
                    <w:rPr>
                      <w:rFonts w:eastAsia="Times New Roman"/>
                      <w:b/>
                      <w:i/>
                      <w:color w:val="365F91"/>
                      <w:sz w:val="18"/>
                      <w:szCs w:val="18"/>
                      <w:lang w:val="sr-Cyrl-RS" w:eastAsia="en-GB"/>
                    </w:rPr>
                    <w:t xml:space="preserve"> </w:t>
                  </w:r>
                  <w:r w:rsidRPr="0081082A">
                    <w:rPr>
                      <w:rFonts w:eastAsia="Times New Roman"/>
                      <w:b/>
                      <w:i/>
                      <w:color w:val="365F91"/>
                      <w:sz w:val="18"/>
                      <w:szCs w:val="18"/>
                      <w:lang w:val="sr-Cyrl-RS" w:eastAsia="en-GB"/>
                    </w:rPr>
                    <w:t>Министарство финансија- Сектор- Централна јединица за хармонизацију</w:t>
                  </w:r>
                  <w:bookmarkEnd w:id="123"/>
                </w:p>
              </w:tc>
            </w:tr>
            <w:tr w:rsidR="00AE3C4E" w:rsidRPr="0081082A" w:rsidTr="00310BEC">
              <w:trPr>
                <w:gridAfter w:val="5"/>
                <w:wAfter w:w="564" w:type="dxa"/>
                <w:trHeight w:val="289"/>
                <w:jc w:val="center"/>
              </w:trPr>
              <w:tc>
                <w:tcPr>
                  <w:tcW w:w="10201" w:type="dxa"/>
                  <w:gridSpan w:val="22"/>
                  <w:shd w:val="clear" w:color="auto" w:fill="F2F2F2" w:themeFill="background1" w:themeFillShade="F2"/>
                </w:tcPr>
                <w:p w:rsidR="00AE3C4E" w:rsidRPr="0081082A" w:rsidRDefault="00AE3C4E" w:rsidP="00310BEC">
                  <w:pPr>
                    <w:spacing w:after="0" w:line="240" w:lineRule="auto"/>
                    <w:rPr>
                      <w:rFonts w:eastAsia="Times New Roman"/>
                      <w:b/>
                      <w:i/>
                      <w:color w:val="365F91"/>
                      <w:sz w:val="18"/>
                      <w:szCs w:val="18"/>
                      <w:lang w:val="sr-Cyrl-RS" w:eastAsia="en-GB"/>
                    </w:rPr>
                  </w:pPr>
                  <w:r w:rsidRPr="0081082A">
                    <w:rPr>
                      <w:rFonts w:eastAsia="Times New Roman"/>
                      <w:b/>
                      <w:i/>
                      <w:color w:val="365F91"/>
                      <w:sz w:val="18"/>
                      <w:szCs w:val="18"/>
                      <w:lang w:val="sr-Cyrl-RS" w:eastAsia="en-GB"/>
                    </w:rPr>
                    <w:t>Период спровођења: 2021-2022</w:t>
                  </w:r>
                </w:p>
              </w:tc>
              <w:tc>
                <w:tcPr>
                  <w:tcW w:w="5708" w:type="dxa"/>
                  <w:gridSpan w:val="14"/>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24" w:name="_Toc69726999"/>
                  <w:r w:rsidRPr="0081082A">
                    <w:rPr>
                      <w:rFonts w:eastAsia="Times New Roman"/>
                      <w:b/>
                      <w:i/>
                      <w:color w:val="365F91"/>
                      <w:sz w:val="18"/>
                      <w:szCs w:val="18"/>
                      <w:lang w:val="sr-Cyrl-RS" w:eastAsia="en-GB"/>
                    </w:rPr>
                    <w:t>Тип мере: Институционално управљачко организациона</w:t>
                  </w:r>
                  <w:bookmarkEnd w:id="124"/>
                </w:p>
              </w:tc>
            </w:tr>
            <w:tr w:rsidR="00AE3C4E" w:rsidRPr="0081082A" w:rsidTr="00787EFE">
              <w:trPr>
                <w:gridAfter w:val="3"/>
                <w:wAfter w:w="465" w:type="dxa"/>
                <w:trHeight w:val="450"/>
                <w:jc w:val="center"/>
              </w:trPr>
              <w:tc>
                <w:tcPr>
                  <w:tcW w:w="2122" w:type="dxa"/>
                  <w:gridSpan w:val="2"/>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мере (показатељ резултата)</w:t>
                  </w:r>
                </w:p>
              </w:tc>
              <w:tc>
                <w:tcPr>
                  <w:tcW w:w="1984" w:type="dxa"/>
                  <w:gridSpan w:val="2"/>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2410" w:type="dxa"/>
                  <w:gridSpan w:val="5"/>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559" w:type="dxa"/>
                  <w:gridSpan w:val="8"/>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34" w:type="dxa"/>
                  <w:gridSpan w:val="2"/>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843" w:type="dxa"/>
                  <w:gridSpan w:val="6"/>
                  <w:shd w:val="clear" w:color="D7E3EE" w:fill="F2F2F2"/>
                  <w:vAlign w:val="center"/>
                  <w:hideMark/>
                </w:tcPr>
                <w:p w:rsidR="00AE3C4E" w:rsidRPr="0081082A" w:rsidRDefault="00AE3C4E" w:rsidP="00310BEC">
                  <w:pPr>
                    <w:spacing w:after="0" w:line="240" w:lineRule="auto"/>
                    <w:jc w:val="center"/>
                    <w:rPr>
                      <w:rFonts w:eastAsia="Times New Roman"/>
                      <w:b/>
                      <w:color w:val="000000"/>
                      <w:sz w:val="16"/>
                      <w:szCs w:val="16"/>
                      <w:lang w:val="sr-Cyrl-RS" w:eastAsia="en-GB"/>
                    </w:rPr>
                  </w:pPr>
                  <w:r w:rsidRPr="0081082A">
                    <w:rPr>
                      <w:rFonts w:eastAsia="Times New Roman"/>
                      <w:b/>
                      <w:color w:val="000000"/>
                      <w:sz w:val="16"/>
                      <w:szCs w:val="16"/>
                      <w:lang w:val="sr-Cyrl-RS" w:eastAsia="en-GB"/>
                    </w:rPr>
                    <w:t>Циљана вредност 2021</w:t>
                  </w:r>
                </w:p>
              </w:tc>
              <w:tc>
                <w:tcPr>
                  <w:tcW w:w="1701" w:type="dxa"/>
                  <w:gridSpan w:val="3"/>
                  <w:shd w:val="clear" w:color="D7E3EE" w:fill="F2F2F2"/>
                  <w:vAlign w:val="center"/>
                  <w:hideMark/>
                </w:tcPr>
                <w:p w:rsidR="00AE3C4E" w:rsidRPr="0081082A" w:rsidRDefault="00AE3C4E" w:rsidP="00310BEC">
                  <w:pPr>
                    <w:spacing w:after="0" w:line="240" w:lineRule="auto"/>
                    <w:jc w:val="center"/>
                    <w:rPr>
                      <w:rFonts w:eastAsia="Times New Roman"/>
                      <w:b/>
                      <w:color w:val="000000"/>
                      <w:sz w:val="16"/>
                      <w:szCs w:val="16"/>
                      <w:lang w:val="sr-Cyrl-RS" w:eastAsia="en-GB"/>
                    </w:rPr>
                  </w:pPr>
                  <w:r w:rsidRPr="0081082A">
                    <w:rPr>
                      <w:rFonts w:eastAsia="Times New Roman"/>
                      <w:b/>
                      <w:color w:val="000000"/>
                      <w:sz w:val="16"/>
                      <w:szCs w:val="16"/>
                      <w:lang w:val="sr-Cyrl-RS" w:eastAsia="en-GB"/>
                    </w:rPr>
                    <w:t>Циљана вредност 2022</w:t>
                  </w:r>
                </w:p>
              </w:tc>
              <w:tc>
                <w:tcPr>
                  <w:tcW w:w="1134" w:type="dxa"/>
                  <w:gridSpan w:val="4"/>
                  <w:shd w:val="clear" w:color="D7E3EE" w:fill="F2F2F2"/>
                  <w:vAlign w:val="center"/>
                  <w:hideMark/>
                </w:tcPr>
                <w:p w:rsidR="00AE3C4E" w:rsidRPr="0081082A" w:rsidRDefault="00AE3C4E" w:rsidP="00310BEC">
                  <w:pPr>
                    <w:spacing w:after="0" w:line="240" w:lineRule="auto"/>
                    <w:jc w:val="center"/>
                    <w:rPr>
                      <w:rFonts w:eastAsia="Times New Roman"/>
                      <w:b/>
                      <w:color w:val="000000"/>
                      <w:sz w:val="16"/>
                      <w:szCs w:val="16"/>
                      <w:lang w:val="sr-Cyrl-RS" w:eastAsia="en-GB"/>
                    </w:rPr>
                  </w:pPr>
                  <w:r w:rsidRPr="0081082A">
                    <w:rPr>
                      <w:rFonts w:eastAsia="Times New Roman"/>
                      <w:b/>
                      <w:color w:val="000000"/>
                      <w:sz w:val="16"/>
                      <w:szCs w:val="16"/>
                      <w:lang w:val="sr-Cyrl-RS" w:eastAsia="en-GB"/>
                    </w:rPr>
                    <w:t>Циљана вредност 2023</w:t>
                  </w:r>
                </w:p>
              </w:tc>
              <w:tc>
                <w:tcPr>
                  <w:tcW w:w="992" w:type="dxa"/>
                  <w:gridSpan w:val="3"/>
                  <w:shd w:val="clear" w:color="D7E3EE" w:fill="F2F2F2"/>
                  <w:vAlign w:val="center"/>
                  <w:hideMark/>
                </w:tcPr>
                <w:p w:rsidR="00AE3C4E" w:rsidRPr="0081082A" w:rsidRDefault="00AE3C4E" w:rsidP="00310BEC">
                  <w:pPr>
                    <w:spacing w:after="0" w:line="240" w:lineRule="auto"/>
                    <w:jc w:val="center"/>
                    <w:rPr>
                      <w:rFonts w:eastAsia="Times New Roman"/>
                      <w:b/>
                      <w:color w:val="000000"/>
                      <w:sz w:val="16"/>
                      <w:szCs w:val="16"/>
                      <w:lang w:val="sr-Cyrl-RS" w:eastAsia="en-GB"/>
                    </w:rPr>
                  </w:pPr>
                  <w:r w:rsidRPr="0081082A">
                    <w:rPr>
                      <w:rFonts w:eastAsia="Times New Roman"/>
                      <w:b/>
                      <w:color w:val="000000"/>
                      <w:sz w:val="16"/>
                      <w:szCs w:val="16"/>
                      <w:lang w:val="sr-Cyrl-RS" w:eastAsia="en-GB"/>
                    </w:rPr>
                    <w:t>Циљана вредност 2024</w:t>
                  </w:r>
                </w:p>
              </w:tc>
              <w:tc>
                <w:tcPr>
                  <w:tcW w:w="1129" w:type="dxa"/>
                  <w:gridSpan w:val="3"/>
                  <w:shd w:val="clear" w:color="D7E3EE" w:fill="F2F2F2"/>
                  <w:vAlign w:val="center"/>
                  <w:hideMark/>
                </w:tcPr>
                <w:p w:rsidR="00AE3C4E" w:rsidRPr="0081082A" w:rsidRDefault="00AE3C4E" w:rsidP="00310BEC">
                  <w:pPr>
                    <w:spacing w:after="0" w:line="240" w:lineRule="auto"/>
                    <w:jc w:val="center"/>
                    <w:rPr>
                      <w:rFonts w:eastAsia="Times New Roman"/>
                      <w:b/>
                      <w:color w:val="000000"/>
                      <w:sz w:val="16"/>
                      <w:szCs w:val="16"/>
                      <w:lang w:val="sr-Cyrl-RS" w:eastAsia="en-GB"/>
                    </w:rPr>
                  </w:pPr>
                  <w:r w:rsidRPr="0081082A">
                    <w:rPr>
                      <w:rFonts w:eastAsia="Times New Roman"/>
                      <w:b/>
                      <w:color w:val="000000"/>
                      <w:sz w:val="16"/>
                      <w:szCs w:val="16"/>
                      <w:lang w:val="sr-Cyrl-RS" w:eastAsia="en-GB"/>
                    </w:rPr>
                    <w:t>Циљана вредност 2025</w:t>
                  </w:r>
                </w:p>
              </w:tc>
            </w:tr>
            <w:tr w:rsidR="00AE3C4E" w:rsidRPr="0081082A" w:rsidTr="00787EFE">
              <w:trPr>
                <w:gridAfter w:val="3"/>
                <w:wAfter w:w="465" w:type="dxa"/>
                <w:trHeight w:val="1230"/>
                <w:jc w:val="center"/>
              </w:trPr>
              <w:tc>
                <w:tcPr>
                  <w:tcW w:w="2122" w:type="dxa"/>
                  <w:gridSpan w:val="2"/>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 учесника обука из области интерних контрола које је НАЈУ организовала</w:t>
                  </w:r>
                </w:p>
              </w:tc>
              <w:tc>
                <w:tcPr>
                  <w:tcW w:w="1984" w:type="dxa"/>
                  <w:gridSpan w:val="2"/>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 учесника</w:t>
                  </w:r>
                </w:p>
              </w:tc>
              <w:tc>
                <w:tcPr>
                  <w:tcW w:w="2410" w:type="dxa"/>
                  <w:gridSpan w:val="5"/>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Извештаји НАЈУ о спроведеним обукама</w:t>
                  </w:r>
                </w:p>
              </w:tc>
              <w:tc>
                <w:tcPr>
                  <w:tcW w:w="1559" w:type="dxa"/>
                  <w:gridSpan w:val="8"/>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34"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2019</w:t>
                  </w:r>
                </w:p>
              </w:tc>
              <w:tc>
                <w:tcPr>
                  <w:tcW w:w="1843" w:type="dxa"/>
                  <w:gridSpan w:val="6"/>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0</w:t>
                  </w:r>
                </w:p>
              </w:tc>
              <w:tc>
                <w:tcPr>
                  <w:tcW w:w="1701"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200</w:t>
                  </w:r>
                </w:p>
              </w:tc>
              <w:tc>
                <w:tcPr>
                  <w:tcW w:w="1134" w:type="dxa"/>
                  <w:gridSpan w:val="4"/>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200</w:t>
                  </w:r>
                </w:p>
              </w:tc>
              <w:tc>
                <w:tcPr>
                  <w:tcW w:w="992"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200</w:t>
                  </w:r>
                </w:p>
              </w:tc>
              <w:tc>
                <w:tcPr>
                  <w:tcW w:w="1129"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200</w:t>
                  </w:r>
                </w:p>
              </w:tc>
            </w:tr>
            <w:tr w:rsidR="00AE3C4E" w:rsidRPr="0081082A" w:rsidTr="00787EFE">
              <w:trPr>
                <w:gridAfter w:val="3"/>
                <w:wAfter w:w="465" w:type="dxa"/>
                <w:trHeight w:val="1230"/>
                <w:jc w:val="center"/>
              </w:trPr>
              <w:tc>
                <w:tcPr>
                  <w:tcW w:w="2122" w:type="dxa"/>
                  <w:gridSpan w:val="2"/>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Проценат овлашћених интерних ревизора који је прикупио прописан број бодова у оквиру континуираног стручног усавршавања</w:t>
                  </w:r>
                </w:p>
              </w:tc>
              <w:tc>
                <w:tcPr>
                  <w:tcW w:w="1984" w:type="dxa"/>
                  <w:gridSpan w:val="2"/>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2410" w:type="dxa"/>
                  <w:gridSpan w:val="5"/>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bCs/>
                      <w:sz w:val="16"/>
                      <w:szCs w:val="16"/>
                      <w:lang w:val="sr-Cyrl-RS" w:eastAsia="en-GB"/>
                    </w:rPr>
                    <w:t>Консолидовани годишњи извештај</w:t>
                  </w:r>
                </w:p>
              </w:tc>
              <w:tc>
                <w:tcPr>
                  <w:tcW w:w="1559" w:type="dxa"/>
                  <w:gridSpan w:val="8"/>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58.1%</w:t>
                  </w:r>
                </w:p>
              </w:tc>
              <w:tc>
                <w:tcPr>
                  <w:tcW w:w="1134"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843" w:type="dxa"/>
                  <w:gridSpan w:val="6"/>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701" w:type="dxa"/>
                  <w:gridSpan w:val="3"/>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134" w:type="dxa"/>
                  <w:gridSpan w:val="4"/>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992" w:type="dxa"/>
                  <w:gridSpan w:val="3"/>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129" w:type="dxa"/>
                  <w:gridSpan w:val="3"/>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85%</w:t>
                  </w:r>
                </w:p>
              </w:tc>
            </w:tr>
            <w:tr w:rsidR="00AE3C4E" w:rsidRPr="0081082A" w:rsidTr="00787EFE">
              <w:trPr>
                <w:gridAfter w:val="3"/>
                <w:wAfter w:w="465" w:type="dxa"/>
                <w:trHeight w:val="1230"/>
                <w:jc w:val="center"/>
              </w:trPr>
              <w:tc>
                <w:tcPr>
                  <w:tcW w:w="2122" w:type="dxa"/>
                  <w:gridSpan w:val="2"/>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сертификованих интерних ревизора у приоритетним КЈС</w:t>
                  </w:r>
                  <w:r w:rsidRPr="0081082A">
                    <w:rPr>
                      <w:rStyle w:val="FootnoteReference"/>
                      <w:rFonts w:eastAsia="Times New Roman"/>
                      <w:color w:val="000000"/>
                      <w:sz w:val="16"/>
                      <w:szCs w:val="16"/>
                      <w:lang w:val="sr-Cyrl-RS" w:eastAsia="en-GB"/>
                    </w:rPr>
                    <w:footnoteReference w:id="176"/>
                  </w:r>
                </w:p>
              </w:tc>
              <w:tc>
                <w:tcPr>
                  <w:tcW w:w="1984" w:type="dxa"/>
                  <w:gridSpan w:val="2"/>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jc w:val="center"/>
                    <w:rPr>
                      <w:rFonts w:eastAsia="Times New Roman"/>
                      <w:sz w:val="16"/>
                      <w:szCs w:val="16"/>
                      <w:lang w:val="sr-Cyrl-RS" w:eastAsia="en-GB"/>
                    </w:rPr>
                  </w:pPr>
                  <w:r w:rsidRPr="0081082A">
                    <w:rPr>
                      <w:rFonts w:eastAsia="Times New Roman"/>
                      <w:color w:val="000000"/>
                      <w:sz w:val="16"/>
                      <w:szCs w:val="16"/>
                      <w:lang w:val="sr-Cyrl-RS" w:eastAsia="en-GB"/>
                    </w:rPr>
                    <w:t>Проценат (%)</w:t>
                  </w:r>
                </w:p>
              </w:tc>
              <w:tc>
                <w:tcPr>
                  <w:tcW w:w="2410" w:type="dxa"/>
                  <w:gridSpan w:val="5"/>
                  <w:shd w:val="clear" w:color="auto" w:fill="auto"/>
                  <w:vAlign w:val="center"/>
                </w:tcPr>
                <w:p w:rsidR="006100F8" w:rsidRPr="0081082A" w:rsidRDefault="006100F8" w:rsidP="00310BEC">
                  <w:pPr>
                    <w:spacing w:after="0" w:line="240" w:lineRule="auto"/>
                    <w:jc w:val="center"/>
                    <w:rPr>
                      <w:rFonts w:eastAsia="Times New Roman"/>
                      <w:bCs/>
                      <w:sz w:val="16"/>
                      <w:szCs w:val="16"/>
                      <w:lang w:val="sr-Cyrl-RS" w:eastAsia="en-GB"/>
                    </w:rPr>
                  </w:pPr>
                </w:p>
                <w:p w:rsidR="006100F8" w:rsidRPr="0081082A" w:rsidRDefault="006100F8" w:rsidP="00310BEC">
                  <w:pPr>
                    <w:spacing w:after="0" w:line="240" w:lineRule="auto"/>
                    <w:jc w:val="center"/>
                    <w:rPr>
                      <w:rFonts w:eastAsia="Times New Roman"/>
                      <w:bCs/>
                      <w:sz w:val="16"/>
                      <w:szCs w:val="16"/>
                      <w:lang w:val="sr-Cyrl-RS" w:eastAsia="en-GB"/>
                    </w:rPr>
                  </w:pPr>
                </w:p>
                <w:p w:rsidR="006100F8" w:rsidRPr="0081082A" w:rsidRDefault="006100F8" w:rsidP="006100F8">
                  <w:pPr>
                    <w:spacing w:after="0" w:line="240" w:lineRule="auto"/>
                    <w:jc w:val="center"/>
                    <w:rPr>
                      <w:rFonts w:eastAsia="Times New Roman"/>
                      <w:bCs/>
                      <w:sz w:val="16"/>
                      <w:szCs w:val="16"/>
                      <w:lang w:val="sr-Cyrl-RS" w:eastAsia="en-GB"/>
                    </w:rPr>
                  </w:pPr>
                  <w:r w:rsidRPr="0081082A">
                    <w:rPr>
                      <w:rFonts w:eastAsia="Times New Roman"/>
                      <w:bCs/>
                      <w:sz w:val="16"/>
                      <w:szCs w:val="16"/>
                      <w:lang w:val="sr-Cyrl-RS" w:eastAsia="en-GB"/>
                    </w:rPr>
                    <w:t>Консолидовани годишњи извештај</w:t>
                  </w:r>
                </w:p>
                <w:p w:rsidR="006100F8" w:rsidRPr="0081082A" w:rsidRDefault="006100F8" w:rsidP="00310BEC">
                  <w:pPr>
                    <w:spacing w:after="0" w:line="240" w:lineRule="auto"/>
                    <w:jc w:val="center"/>
                    <w:rPr>
                      <w:rFonts w:eastAsia="Times New Roman"/>
                      <w:bCs/>
                      <w:sz w:val="16"/>
                      <w:szCs w:val="16"/>
                      <w:lang w:val="sr-Cyrl-RS" w:eastAsia="en-GB"/>
                    </w:rPr>
                  </w:pPr>
                </w:p>
                <w:p w:rsidR="006100F8" w:rsidRPr="0081082A" w:rsidRDefault="006100F8" w:rsidP="006100F8">
                  <w:pPr>
                    <w:spacing w:after="0" w:line="240" w:lineRule="auto"/>
                    <w:rPr>
                      <w:rFonts w:eastAsia="Times New Roman"/>
                      <w:bCs/>
                      <w:sz w:val="16"/>
                      <w:szCs w:val="16"/>
                      <w:lang w:val="sr-Cyrl-RS" w:eastAsia="en-GB"/>
                    </w:rPr>
                  </w:pPr>
                </w:p>
                <w:p w:rsidR="006100F8" w:rsidRPr="0081082A" w:rsidRDefault="006100F8" w:rsidP="006100F8">
                  <w:pPr>
                    <w:spacing w:after="0" w:line="240" w:lineRule="auto"/>
                    <w:rPr>
                      <w:rFonts w:eastAsia="Times New Roman"/>
                      <w:sz w:val="16"/>
                      <w:szCs w:val="16"/>
                      <w:lang w:val="sr-Cyrl-RS" w:eastAsia="en-GB"/>
                    </w:rPr>
                  </w:pPr>
                </w:p>
              </w:tc>
              <w:tc>
                <w:tcPr>
                  <w:tcW w:w="1559" w:type="dxa"/>
                  <w:gridSpan w:val="8"/>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80 %</w:t>
                  </w:r>
                </w:p>
                <w:p w:rsidR="00AE3C4E" w:rsidRPr="0081082A" w:rsidRDefault="00AE3C4E" w:rsidP="00310BEC">
                  <w:pPr>
                    <w:spacing w:after="0" w:line="240" w:lineRule="auto"/>
                    <w:jc w:val="center"/>
                    <w:rPr>
                      <w:rFonts w:eastAsia="Times New Roman"/>
                      <w:sz w:val="16"/>
                      <w:szCs w:val="16"/>
                      <w:lang w:val="sr-Cyrl-RS" w:eastAsia="en-GB"/>
                    </w:rPr>
                  </w:pPr>
                </w:p>
              </w:tc>
              <w:tc>
                <w:tcPr>
                  <w:tcW w:w="1134"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2019</w:t>
                  </w:r>
                </w:p>
              </w:tc>
              <w:tc>
                <w:tcPr>
                  <w:tcW w:w="1843" w:type="dxa"/>
                  <w:gridSpan w:val="6"/>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701" w:type="dxa"/>
                  <w:gridSpan w:val="3"/>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134" w:type="dxa"/>
                  <w:gridSpan w:val="4"/>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992" w:type="dxa"/>
                  <w:gridSpan w:val="3"/>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129" w:type="dxa"/>
                  <w:gridSpan w:val="3"/>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85%</w:t>
                  </w:r>
                </w:p>
              </w:tc>
            </w:tr>
            <w:tr w:rsidR="00AE3C4E" w:rsidRPr="0081082A" w:rsidTr="00787EFE">
              <w:trPr>
                <w:gridAfter w:val="3"/>
                <w:wAfter w:w="465" w:type="dxa"/>
                <w:trHeight w:val="300"/>
                <w:jc w:val="center"/>
              </w:trPr>
              <w:tc>
                <w:tcPr>
                  <w:tcW w:w="1838" w:type="dxa"/>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671" w:type="dxa"/>
                  <w:gridSpan w:val="2"/>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597" w:type="dxa"/>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Институција одговорна за спровођење </w:t>
                  </w:r>
                </w:p>
              </w:tc>
              <w:tc>
                <w:tcPr>
                  <w:tcW w:w="2410" w:type="dxa"/>
                  <w:gridSpan w:val="5"/>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Партнери у спровођењу </w:t>
                  </w:r>
                </w:p>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активности</w:t>
                  </w:r>
                </w:p>
              </w:tc>
              <w:tc>
                <w:tcPr>
                  <w:tcW w:w="9492" w:type="dxa"/>
                  <w:gridSpan w:val="29"/>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по изворима у 000 дин.</w:t>
                  </w:r>
                </w:p>
              </w:tc>
            </w:tr>
            <w:tr w:rsidR="00AE3C4E" w:rsidRPr="0081082A" w:rsidTr="00787EFE">
              <w:trPr>
                <w:gridAfter w:val="3"/>
                <w:wAfter w:w="465" w:type="dxa"/>
                <w:trHeight w:val="510"/>
                <w:jc w:val="center"/>
              </w:trPr>
              <w:tc>
                <w:tcPr>
                  <w:tcW w:w="1838" w:type="dxa"/>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671" w:type="dxa"/>
                  <w:gridSpan w:val="2"/>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597" w:type="dxa"/>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2410" w:type="dxa"/>
                  <w:gridSpan w:val="5"/>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559" w:type="dxa"/>
                  <w:gridSpan w:val="8"/>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34" w:type="dxa"/>
                  <w:gridSpan w:val="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843" w:type="dxa"/>
                  <w:gridSpan w:val="6"/>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701" w:type="dxa"/>
                  <w:gridSpan w:val="3"/>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134" w:type="dxa"/>
                  <w:gridSpan w:val="4"/>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992" w:type="dxa"/>
                  <w:gridSpan w:val="3"/>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129" w:type="dxa"/>
                  <w:gridSpan w:val="3"/>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787EFE">
              <w:trPr>
                <w:gridAfter w:val="3"/>
                <w:wAfter w:w="465" w:type="dxa"/>
                <w:trHeight w:val="1485"/>
                <w:jc w:val="center"/>
              </w:trPr>
              <w:tc>
                <w:tcPr>
                  <w:tcW w:w="1838" w:type="dxa"/>
                  <w:shd w:val="clear" w:color="auto" w:fill="auto"/>
                  <w:hideMark/>
                </w:tcPr>
                <w:p w:rsidR="00AE3C4E" w:rsidRPr="0081082A" w:rsidRDefault="00AE3C4E" w:rsidP="00310BEC">
                  <w:pPr>
                    <w:spacing w:after="0" w:line="240" w:lineRule="auto"/>
                    <w:rPr>
                      <w:rFonts w:eastAsia="Times New Roman"/>
                      <w:color w:val="FF0000"/>
                      <w:sz w:val="16"/>
                      <w:szCs w:val="16"/>
                      <w:lang w:val="sr-Cyrl-RS" w:eastAsia="en-GB"/>
                    </w:rPr>
                  </w:pPr>
                  <w:r w:rsidRPr="0081082A">
                    <w:rPr>
                      <w:rFonts w:eastAsia="Times New Roman"/>
                      <w:sz w:val="16"/>
                      <w:szCs w:val="16"/>
                      <w:lang w:val="sr-Cyrl-RS" w:eastAsia="en-GB"/>
                    </w:rPr>
                    <w:t>4.4.1 Израда детаљног заједничког плана спровођења, са предложеним изменама прописа, релевантних материјала и процедуре који ће да подрже пребацивање обука</w:t>
                  </w:r>
                </w:p>
              </w:tc>
              <w:tc>
                <w:tcPr>
                  <w:tcW w:w="671"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2022</w:t>
                  </w:r>
                </w:p>
              </w:tc>
              <w:tc>
                <w:tcPr>
                  <w:tcW w:w="1597" w:type="dxa"/>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2410" w:type="dxa"/>
                  <w:gridSpan w:val="5"/>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НАЈУ</w:t>
                  </w:r>
                </w:p>
              </w:tc>
              <w:tc>
                <w:tcPr>
                  <w:tcW w:w="1559" w:type="dxa"/>
                  <w:gridSpan w:val="8"/>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Донаторска средства (ИПА 2)</w:t>
                  </w:r>
                </w:p>
              </w:tc>
              <w:tc>
                <w:tcPr>
                  <w:tcW w:w="1134" w:type="dxa"/>
                  <w:gridSpan w:val="2"/>
                  <w:shd w:val="clear" w:color="auto" w:fill="auto"/>
                  <w:vAlign w:val="bottom"/>
                  <w:hideMark/>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843" w:type="dxa"/>
                  <w:gridSpan w:val="6"/>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4.200*</w:t>
                  </w:r>
                </w:p>
              </w:tc>
              <w:tc>
                <w:tcPr>
                  <w:tcW w:w="1701"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4.200*</w:t>
                  </w:r>
                </w:p>
              </w:tc>
              <w:tc>
                <w:tcPr>
                  <w:tcW w:w="1134" w:type="dxa"/>
                  <w:gridSpan w:val="4"/>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992"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29"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787EFE">
              <w:trPr>
                <w:gridAfter w:val="3"/>
                <w:wAfter w:w="465" w:type="dxa"/>
                <w:trHeight w:val="1275"/>
                <w:jc w:val="center"/>
              </w:trPr>
              <w:tc>
                <w:tcPr>
                  <w:tcW w:w="1838" w:type="dxa"/>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4.4.2 Припрема, израда и спровођење побољшаног/процеса сертификације интерних ревизора</w:t>
                  </w:r>
                </w:p>
              </w:tc>
              <w:tc>
                <w:tcPr>
                  <w:tcW w:w="671"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597" w:type="dxa"/>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2410" w:type="dxa"/>
                  <w:gridSpan w:val="5"/>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НАЈУ</w:t>
                  </w:r>
                </w:p>
              </w:tc>
              <w:tc>
                <w:tcPr>
                  <w:tcW w:w="1559" w:type="dxa"/>
                  <w:gridSpan w:val="8"/>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Донаторска средства</w:t>
                  </w:r>
                </w:p>
              </w:tc>
              <w:tc>
                <w:tcPr>
                  <w:tcW w:w="1134" w:type="dxa"/>
                  <w:gridSpan w:val="2"/>
                  <w:shd w:val="clear" w:color="auto" w:fill="auto"/>
                  <w:vAlign w:val="bottom"/>
                  <w:hideMark/>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843" w:type="dxa"/>
                  <w:gridSpan w:val="6"/>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701"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1134" w:type="dxa"/>
                  <w:gridSpan w:val="4"/>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992"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c>
                <w:tcPr>
                  <w:tcW w:w="1129"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3.600*</w:t>
                  </w:r>
                </w:p>
              </w:tc>
            </w:tr>
            <w:tr w:rsidR="00AE3C4E" w:rsidRPr="0081082A" w:rsidTr="00787EFE">
              <w:trPr>
                <w:gridAfter w:val="3"/>
                <w:wAfter w:w="465" w:type="dxa"/>
                <w:trHeight w:val="397"/>
                <w:jc w:val="center"/>
              </w:trPr>
              <w:tc>
                <w:tcPr>
                  <w:tcW w:w="1838" w:type="dxa"/>
                  <w:vMerge w:val="restart"/>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4.4.3 Mодернизација обука и тренинг материјала из области ИФКЈ (проширење модула е-учења)</w:t>
                  </w:r>
                </w:p>
              </w:tc>
              <w:tc>
                <w:tcPr>
                  <w:tcW w:w="671" w:type="dxa"/>
                  <w:gridSpan w:val="2"/>
                  <w:vMerge w:val="restart"/>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597" w:type="dxa"/>
                  <w:vMerge w:val="restart"/>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2410" w:type="dxa"/>
                  <w:gridSpan w:val="5"/>
                  <w:vMerge w:val="restart"/>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НАЈУ</w:t>
                  </w:r>
                </w:p>
              </w:tc>
              <w:tc>
                <w:tcPr>
                  <w:tcW w:w="1559" w:type="dxa"/>
                  <w:gridSpan w:val="8"/>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 xml:space="preserve">ИПА 2- Пројекат комплементарне техничке помоћи „Подршка Министарству финансија у </w:t>
                  </w:r>
                  <w:r w:rsidR="00CE0AA9">
                    <w:rPr>
                      <w:rFonts w:eastAsia="Times New Roman"/>
                      <w:color w:val="000000"/>
                      <w:sz w:val="16"/>
                      <w:szCs w:val="16"/>
                      <w:lang w:val="sr-Cyrl-RS" w:eastAsia="en-GB"/>
                    </w:rPr>
                    <w:t>оквиру секторског реформског уг</w:t>
                  </w:r>
                  <w:r w:rsidRPr="0081082A">
                    <w:rPr>
                      <w:rFonts w:eastAsia="Times New Roman"/>
                      <w:color w:val="000000"/>
                      <w:sz w:val="16"/>
                      <w:szCs w:val="16"/>
                      <w:lang w:val="sr-Cyrl-RS" w:eastAsia="en-GB"/>
                    </w:rPr>
                    <w:t>овора за сектор реформе јавне управе</w:t>
                  </w:r>
                  <w:r w:rsidR="00221D1E" w:rsidRPr="0081082A">
                    <w:rPr>
                      <w:rFonts w:eastAsia="Times New Roman"/>
                      <w:sz w:val="16"/>
                      <w:szCs w:val="16"/>
                      <w:lang w:val="sr-Cyrl-RS" w:eastAsia="en-GB"/>
                    </w:rPr>
                    <w:t>”</w:t>
                  </w:r>
                </w:p>
              </w:tc>
              <w:tc>
                <w:tcPr>
                  <w:tcW w:w="1134" w:type="dxa"/>
                  <w:gridSpan w:val="2"/>
                  <w:shd w:val="clear" w:color="auto" w:fill="auto"/>
                  <w:vAlign w:val="bottom"/>
                  <w:hideMark/>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843" w:type="dxa"/>
                  <w:gridSpan w:val="6"/>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12.000</w:t>
                  </w:r>
                </w:p>
              </w:tc>
              <w:tc>
                <w:tcPr>
                  <w:tcW w:w="1701"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w:t>
                  </w:r>
                </w:p>
              </w:tc>
              <w:tc>
                <w:tcPr>
                  <w:tcW w:w="1134" w:type="dxa"/>
                  <w:gridSpan w:val="4"/>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1.800</w:t>
                  </w:r>
                </w:p>
              </w:tc>
              <w:tc>
                <w:tcPr>
                  <w:tcW w:w="992"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129"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787EFE">
              <w:trPr>
                <w:gridAfter w:val="3"/>
                <w:wAfter w:w="465" w:type="dxa"/>
                <w:trHeight w:val="396"/>
                <w:jc w:val="center"/>
              </w:trPr>
              <w:tc>
                <w:tcPr>
                  <w:tcW w:w="1838" w:type="dxa"/>
                  <w:vMerge/>
                  <w:shd w:val="clear" w:color="auto" w:fill="auto"/>
                </w:tcPr>
                <w:p w:rsidR="00AE3C4E" w:rsidRPr="0081082A" w:rsidRDefault="00AE3C4E" w:rsidP="00310BEC">
                  <w:pPr>
                    <w:spacing w:after="0" w:line="240" w:lineRule="auto"/>
                    <w:rPr>
                      <w:rFonts w:eastAsia="Times New Roman"/>
                      <w:sz w:val="16"/>
                      <w:szCs w:val="16"/>
                      <w:lang w:val="sr-Cyrl-RS" w:eastAsia="en-GB"/>
                    </w:rPr>
                  </w:pPr>
                </w:p>
              </w:tc>
              <w:tc>
                <w:tcPr>
                  <w:tcW w:w="671" w:type="dxa"/>
                  <w:gridSpan w:val="2"/>
                  <w:vMerge/>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597" w:type="dxa"/>
                  <w:vMerge/>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2410" w:type="dxa"/>
                  <w:gridSpan w:val="5"/>
                  <w:vMerge/>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559" w:type="dxa"/>
                  <w:gridSpan w:val="8"/>
                  <w:shd w:val="clear" w:color="auto" w:fill="auto"/>
                  <w:vAlign w:val="center"/>
                </w:tcPr>
                <w:p w:rsidR="00AE3C4E" w:rsidRPr="0081082A" w:rsidRDefault="00A9795C" w:rsidP="00310BEC">
                  <w:pPr>
                    <w:spacing w:after="0" w:line="240" w:lineRule="auto"/>
                    <w:jc w:val="center"/>
                    <w:rPr>
                      <w:rFonts w:eastAsia="Times New Roman"/>
                      <w:color w:val="000000"/>
                      <w:sz w:val="16"/>
                      <w:szCs w:val="16"/>
                      <w:lang w:val="sr-Cyrl-RS" w:eastAsia="en-GB"/>
                    </w:rPr>
                  </w:pPr>
                  <w:r>
                    <w:rPr>
                      <w:rFonts w:eastAsia="Times New Roman"/>
                      <w:color w:val="000000"/>
                      <w:sz w:val="16"/>
                      <w:szCs w:val="16"/>
                      <w:lang w:val="sr-Cyrl-RS" w:eastAsia="en-GB"/>
                    </w:rPr>
                    <w:t>Редовна буџет</w:t>
                  </w:r>
                  <w:r w:rsidR="00AE3C4E" w:rsidRPr="0081082A">
                    <w:rPr>
                      <w:rFonts w:eastAsia="Times New Roman"/>
                      <w:color w:val="000000"/>
                      <w:sz w:val="16"/>
                      <w:szCs w:val="16"/>
                      <w:lang w:val="sr-Cyrl-RS" w:eastAsia="en-GB"/>
                    </w:rPr>
                    <w:t>с</w:t>
                  </w:r>
                  <w:r>
                    <w:rPr>
                      <w:rFonts w:eastAsia="Times New Roman"/>
                      <w:color w:val="000000"/>
                      <w:sz w:val="16"/>
                      <w:szCs w:val="16"/>
                      <w:lang w:val="sr-Cyrl-RS" w:eastAsia="en-GB"/>
                    </w:rPr>
                    <w:t>к</w:t>
                  </w:r>
                  <w:r w:rsidR="00AE3C4E" w:rsidRPr="0081082A">
                    <w:rPr>
                      <w:rFonts w:eastAsia="Times New Roman"/>
                      <w:color w:val="000000"/>
                      <w:sz w:val="16"/>
                      <w:szCs w:val="16"/>
                      <w:lang w:val="sr-Cyrl-RS" w:eastAsia="en-GB"/>
                    </w:rPr>
                    <w:t>а средства (НАЈУ)</w:t>
                  </w:r>
                </w:p>
              </w:tc>
              <w:tc>
                <w:tcPr>
                  <w:tcW w:w="1134" w:type="dxa"/>
                  <w:gridSpan w:val="2"/>
                  <w:shd w:val="clear" w:color="auto" w:fill="auto"/>
                  <w:vAlign w:val="bottom"/>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843" w:type="dxa"/>
                  <w:gridSpan w:val="6"/>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701" w:type="dxa"/>
                  <w:gridSpan w:val="3"/>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134" w:type="dxa"/>
                  <w:gridSpan w:val="4"/>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992" w:type="dxa"/>
                  <w:gridSpan w:val="3"/>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129" w:type="dxa"/>
                  <w:gridSpan w:val="3"/>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r>
            <w:tr w:rsidR="00AE3C4E" w:rsidRPr="0081082A" w:rsidTr="00787EFE">
              <w:trPr>
                <w:gridAfter w:val="3"/>
                <w:wAfter w:w="465" w:type="dxa"/>
                <w:trHeight w:val="396"/>
                <w:jc w:val="center"/>
              </w:trPr>
              <w:tc>
                <w:tcPr>
                  <w:tcW w:w="1838" w:type="dxa"/>
                  <w:vMerge/>
                  <w:shd w:val="clear" w:color="auto" w:fill="auto"/>
                </w:tcPr>
                <w:p w:rsidR="00AE3C4E" w:rsidRPr="0081082A" w:rsidRDefault="00AE3C4E" w:rsidP="00310BEC">
                  <w:pPr>
                    <w:spacing w:after="0" w:line="240" w:lineRule="auto"/>
                    <w:rPr>
                      <w:rFonts w:eastAsia="Times New Roman"/>
                      <w:sz w:val="16"/>
                      <w:szCs w:val="16"/>
                      <w:lang w:val="sr-Cyrl-RS" w:eastAsia="en-GB"/>
                    </w:rPr>
                  </w:pPr>
                </w:p>
              </w:tc>
              <w:tc>
                <w:tcPr>
                  <w:tcW w:w="671" w:type="dxa"/>
                  <w:gridSpan w:val="2"/>
                  <w:vMerge/>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597" w:type="dxa"/>
                  <w:vMerge/>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2410" w:type="dxa"/>
                  <w:gridSpan w:val="5"/>
                  <w:vMerge/>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559" w:type="dxa"/>
                  <w:gridSpan w:val="8"/>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Донаторска средства</w:t>
                  </w:r>
                </w:p>
              </w:tc>
              <w:tc>
                <w:tcPr>
                  <w:tcW w:w="1134" w:type="dxa"/>
                  <w:gridSpan w:val="2"/>
                  <w:shd w:val="clear" w:color="auto" w:fill="auto"/>
                  <w:vAlign w:val="bottom"/>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843" w:type="dxa"/>
                  <w:gridSpan w:val="6"/>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701" w:type="dxa"/>
                  <w:gridSpan w:val="3"/>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4.200*</w:t>
                  </w:r>
                </w:p>
              </w:tc>
              <w:tc>
                <w:tcPr>
                  <w:tcW w:w="1134" w:type="dxa"/>
                  <w:gridSpan w:val="4"/>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4.200*</w:t>
                  </w:r>
                </w:p>
              </w:tc>
              <w:tc>
                <w:tcPr>
                  <w:tcW w:w="992" w:type="dxa"/>
                  <w:gridSpan w:val="3"/>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4.200*</w:t>
                  </w:r>
                </w:p>
              </w:tc>
              <w:tc>
                <w:tcPr>
                  <w:tcW w:w="1129" w:type="dxa"/>
                  <w:gridSpan w:val="3"/>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4.200*</w:t>
                  </w:r>
                </w:p>
              </w:tc>
            </w:tr>
            <w:tr w:rsidR="00AE3C4E" w:rsidRPr="0081082A" w:rsidTr="00787EFE">
              <w:trPr>
                <w:gridAfter w:val="3"/>
                <w:wAfter w:w="465" w:type="dxa"/>
                <w:trHeight w:val="1970"/>
                <w:jc w:val="center"/>
              </w:trPr>
              <w:tc>
                <w:tcPr>
                  <w:tcW w:w="1838" w:type="dxa"/>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4.4.4 Припрема и спровођење обука за интерне ревизоре кроз Програм за континуирано </w:t>
                  </w:r>
                  <w:r w:rsidR="00AA75EF" w:rsidRPr="0081082A">
                    <w:rPr>
                      <w:rFonts w:eastAsia="Times New Roman"/>
                      <w:sz w:val="16"/>
                      <w:szCs w:val="16"/>
                      <w:lang w:val="sr-Cyrl-RS" w:eastAsia="en-GB"/>
                    </w:rPr>
                    <w:t>стручно усавршавање</w:t>
                  </w:r>
                  <w:r w:rsidRPr="0081082A">
                    <w:rPr>
                      <w:rFonts w:eastAsia="Times New Roman"/>
                      <w:sz w:val="16"/>
                      <w:szCs w:val="16"/>
                      <w:lang w:val="sr-Cyrl-RS" w:eastAsia="en-GB"/>
                    </w:rPr>
                    <w:t xml:space="preserve"> интерних ревизора у јавном сектору</w:t>
                  </w:r>
                </w:p>
                <w:p w:rsidR="00AE3C4E" w:rsidRPr="0081082A" w:rsidRDefault="00AE3C4E" w:rsidP="00310BEC">
                  <w:pPr>
                    <w:spacing w:after="0" w:line="240" w:lineRule="auto"/>
                    <w:rPr>
                      <w:rFonts w:eastAsia="Times New Roman"/>
                      <w:sz w:val="16"/>
                      <w:szCs w:val="16"/>
                      <w:lang w:val="sr-Cyrl-RS" w:eastAsia="en-GB"/>
                    </w:rPr>
                  </w:pPr>
                </w:p>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Веза са мером 4.2.2</w:t>
                  </w:r>
                </w:p>
              </w:tc>
              <w:tc>
                <w:tcPr>
                  <w:tcW w:w="671"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597" w:type="dxa"/>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финансија-ЦЈХ</w:t>
                  </w:r>
                </w:p>
              </w:tc>
              <w:tc>
                <w:tcPr>
                  <w:tcW w:w="2410" w:type="dxa"/>
                  <w:gridSpan w:val="5"/>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НАЈУ</w:t>
                  </w:r>
                </w:p>
              </w:tc>
              <w:tc>
                <w:tcPr>
                  <w:tcW w:w="1559" w:type="dxa"/>
                  <w:gridSpan w:val="8"/>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Донаторска средства</w:t>
                  </w:r>
                </w:p>
              </w:tc>
              <w:tc>
                <w:tcPr>
                  <w:tcW w:w="1134" w:type="dxa"/>
                  <w:gridSpan w:val="2"/>
                  <w:shd w:val="clear" w:color="000000" w:fill="FFFFFF"/>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843" w:type="dxa"/>
                  <w:gridSpan w:val="6"/>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4.800*</w:t>
                  </w:r>
                </w:p>
              </w:tc>
              <w:tc>
                <w:tcPr>
                  <w:tcW w:w="1701"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4.800*</w:t>
                  </w:r>
                </w:p>
              </w:tc>
              <w:tc>
                <w:tcPr>
                  <w:tcW w:w="1134" w:type="dxa"/>
                  <w:gridSpan w:val="4"/>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4.800*</w:t>
                  </w:r>
                </w:p>
              </w:tc>
              <w:tc>
                <w:tcPr>
                  <w:tcW w:w="992"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4.800*</w:t>
                  </w:r>
                </w:p>
              </w:tc>
              <w:tc>
                <w:tcPr>
                  <w:tcW w:w="1129"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4.800*</w:t>
                  </w:r>
                </w:p>
              </w:tc>
            </w:tr>
          </w:tbl>
          <w:p w:rsidR="00AE3C4E" w:rsidRPr="0081082A" w:rsidRDefault="00AE3C4E" w:rsidP="00310BEC">
            <w:pPr>
              <w:tabs>
                <w:tab w:val="left" w:pos="9923"/>
              </w:tabs>
              <w:spacing w:after="0" w:line="240" w:lineRule="auto"/>
              <w:jc w:val="right"/>
              <w:rPr>
                <w:rFonts w:eastAsia="Times New Roman"/>
                <w:color w:val="000000"/>
                <w:sz w:val="16"/>
                <w:szCs w:val="16"/>
                <w:lang w:val="sr-Cyrl-RS" w:eastAsia="en-GB"/>
              </w:rPr>
            </w:pPr>
          </w:p>
        </w:tc>
      </w:tr>
      <w:tr w:rsidR="00AE3C4E" w:rsidRPr="0081082A" w:rsidTr="00310BEC">
        <w:trPr>
          <w:trHeight w:val="289"/>
          <w:jc w:val="center"/>
        </w:trPr>
        <w:tc>
          <w:tcPr>
            <w:tcW w:w="16015" w:type="dxa"/>
            <w:gridSpan w:val="68"/>
            <w:shd w:val="clear" w:color="auto" w:fill="DEEAF6" w:themeFill="accent1" w:themeFillTint="33"/>
            <w:hideMark/>
          </w:tcPr>
          <w:p w:rsidR="00AE3C4E" w:rsidRPr="0081082A" w:rsidRDefault="00AE3C4E" w:rsidP="00310BEC">
            <w:pPr>
              <w:keepNext/>
              <w:keepLines/>
              <w:spacing w:after="0" w:line="240" w:lineRule="auto"/>
              <w:outlineLvl w:val="0"/>
              <w:rPr>
                <w:rFonts w:eastAsia="Times New Roman"/>
                <w:b/>
                <w:color w:val="365F91"/>
                <w:lang w:val="sr-Cyrl-RS" w:eastAsia="en-GB"/>
              </w:rPr>
            </w:pPr>
            <w:bookmarkStart w:id="125" w:name="_Toc73613700"/>
            <w:r w:rsidRPr="0081082A">
              <w:rPr>
                <w:rFonts w:eastAsia="Times New Roman"/>
                <w:b/>
                <w:color w:val="365F91"/>
                <w:lang w:val="sr-Cyrl-RS" w:eastAsia="en-GB"/>
              </w:rPr>
              <w:lastRenderedPageBreak/>
              <w:t xml:space="preserve">ПОСЕБНИ ЦИЉ V: УНАПРЕЂЕНО РАЧУНОВОДСТВО У ЈАВНОМ </w:t>
            </w:r>
            <w:r w:rsidR="00AA75EF" w:rsidRPr="0081082A">
              <w:rPr>
                <w:rFonts w:eastAsia="Times New Roman"/>
                <w:b/>
                <w:color w:val="365F91"/>
                <w:lang w:val="sr-Cyrl-RS" w:eastAsia="en-GB"/>
              </w:rPr>
              <w:t>СЕКТОРУ ПРИМЕНОМ</w:t>
            </w:r>
            <w:r w:rsidRPr="0081082A">
              <w:rPr>
                <w:rFonts w:eastAsia="Times New Roman"/>
                <w:b/>
                <w:color w:val="365F91"/>
                <w:lang w:val="sr-Cyrl-RS" w:eastAsia="en-GB"/>
              </w:rPr>
              <w:t xml:space="preserve"> МЕЂУНАРОДНИХ РАЧУНОВОДСТВЕНИХ СТАНДАРДА ЗА ЈАВНИ СЕКТОР (ИПСАС)</w:t>
            </w:r>
            <w:bookmarkEnd w:id="125"/>
            <w:r w:rsidRPr="0081082A">
              <w:rPr>
                <w:rFonts w:eastAsia="Times New Roman"/>
                <w:b/>
                <w:color w:val="365F91"/>
                <w:lang w:val="sr-Cyrl-RS" w:eastAsia="en-GB"/>
              </w:rPr>
              <w:t xml:space="preserve">  </w:t>
            </w:r>
          </w:p>
        </w:tc>
      </w:tr>
      <w:tr w:rsidR="00AE3C4E" w:rsidRPr="0081082A" w:rsidTr="00D013DF">
        <w:trPr>
          <w:gridAfter w:val="1"/>
          <w:wAfter w:w="6" w:type="dxa"/>
          <w:trHeight w:val="450"/>
          <w:jc w:val="center"/>
        </w:trPr>
        <w:tc>
          <w:tcPr>
            <w:tcW w:w="3134" w:type="dxa"/>
            <w:gridSpan w:val="4"/>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посебног циља (показатељ исхода)</w:t>
            </w:r>
          </w:p>
        </w:tc>
        <w:tc>
          <w:tcPr>
            <w:tcW w:w="1631" w:type="dxa"/>
            <w:gridSpan w:val="3"/>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2318" w:type="dxa"/>
            <w:gridSpan w:val="8"/>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343" w:type="dxa"/>
            <w:gridSpan w:val="10"/>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06" w:type="dxa"/>
            <w:gridSpan w:val="3"/>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283" w:type="dxa"/>
            <w:gridSpan w:val="5"/>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w:t>
            </w:r>
          </w:p>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286" w:type="dxa"/>
            <w:gridSpan w:val="7"/>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 2022</w:t>
            </w:r>
          </w:p>
        </w:tc>
        <w:tc>
          <w:tcPr>
            <w:tcW w:w="1290" w:type="dxa"/>
            <w:gridSpan w:val="8"/>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 2023</w:t>
            </w:r>
          </w:p>
        </w:tc>
        <w:tc>
          <w:tcPr>
            <w:tcW w:w="1287" w:type="dxa"/>
            <w:gridSpan w:val="10"/>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 2024</w:t>
            </w:r>
          </w:p>
        </w:tc>
        <w:tc>
          <w:tcPr>
            <w:tcW w:w="1331" w:type="dxa"/>
            <w:gridSpan w:val="9"/>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 2025</w:t>
            </w:r>
          </w:p>
        </w:tc>
      </w:tr>
      <w:tr w:rsidR="00AE3C4E" w:rsidRPr="0081082A" w:rsidTr="00D013DF">
        <w:trPr>
          <w:gridAfter w:val="1"/>
          <w:wAfter w:w="6" w:type="dxa"/>
          <w:trHeight w:val="926"/>
          <w:jc w:val="center"/>
        </w:trPr>
        <w:tc>
          <w:tcPr>
            <w:tcW w:w="3134" w:type="dxa"/>
            <w:gridSpan w:val="4"/>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Финансијски извештај припремљен и презентован  Министарству финансија Републике Србије у складу са захтевима  IPSAS за готовинску основу</w:t>
            </w:r>
          </w:p>
        </w:tc>
        <w:tc>
          <w:tcPr>
            <w:tcW w:w="1631"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2318" w:type="dxa"/>
            <w:gridSpan w:val="8"/>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Сајт Управе за трезор</w:t>
            </w:r>
          </w:p>
        </w:tc>
        <w:tc>
          <w:tcPr>
            <w:tcW w:w="1343" w:type="dxa"/>
            <w:gridSpan w:val="10"/>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106" w:type="dxa"/>
            <w:gridSpan w:val="3"/>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283" w:type="dxa"/>
            <w:gridSpan w:val="5"/>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286" w:type="dxa"/>
            <w:gridSpan w:val="7"/>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290" w:type="dxa"/>
            <w:gridSpan w:val="8"/>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0</w:t>
            </w:r>
          </w:p>
        </w:tc>
        <w:tc>
          <w:tcPr>
            <w:tcW w:w="1287" w:type="dxa"/>
            <w:gridSpan w:val="10"/>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tc>
        <w:tc>
          <w:tcPr>
            <w:tcW w:w="1331" w:type="dxa"/>
            <w:gridSpan w:val="9"/>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tc>
      </w:tr>
      <w:tr w:rsidR="00AE3C4E" w:rsidRPr="0081082A" w:rsidTr="00310BEC">
        <w:trPr>
          <w:gridAfter w:val="1"/>
          <w:wAfter w:w="6" w:type="dxa"/>
          <w:trHeight w:val="300"/>
          <w:jc w:val="center"/>
        </w:trPr>
        <w:tc>
          <w:tcPr>
            <w:tcW w:w="16009" w:type="dxa"/>
            <w:gridSpan w:val="67"/>
            <w:shd w:val="clear" w:color="auto" w:fill="F2F2F2" w:themeFill="background1" w:themeFillShade="F2"/>
            <w:vAlign w:val="center"/>
          </w:tcPr>
          <w:p w:rsidR="00AE3C4E" w:rsidRPr="0081082A" w:rsidRDefault="00AE3C4E" w:rsidP="00310BEC">
            <w:pPr>
              <w:spacing w:after="0" w:line="240" w:lineRule="auto"/>
              <w:rPr>
                <w:rFonts w:eastAsia="Times New Roman"/>
                <w:b/>
                <w:i/>
                <w:sz w:val="18"/>
                <w:szCs w:val="18"/>
                <w:lang w:val="sr-Cyrl-RS" w:eastAsia="en-GB"/>
              </w:rPr>
            </w:pPr>
            <w:r w:rsidRPr="0081082A">
              <w:rPr>
                <w:rFonts w:eastAsia="Times New Roman"/>
                <w:b/>
                <w:i/>
                <w:color w:val="1F4E79" w:themeColor="accent1" w:themeShade="80"/>
                <w:sz w:val="18"/>
                <w:szCs w:val="18"/>
                <w:lang w:val="sr-Cyrl-RS" w:eastAsia="en-GB"/>
              </w:rPr>
              <w:t xml:space="preserve">Мера 5.1: </w:t>
            </w:r>
            <w:r w:rsidRPr="0081082A">
              <w:rPr>
                <w:rFonts w:eastAsia="Times New Roman"/>
                <w:b/>
                <w:i/>
                <w:color w:val="365F91"/>
                <w:sz w:val="18"/>
                <w:szCs w:val="18"/>
                <w:lang w:val="sr-Cyrl-RS" w:eastAsia="en-GB"/>
              </w:rPr>
              <w:t>Анализа постојећег стања у рачуноводству у јавном сектору и развој и имплементација Плана унапређења рачуноводства у јавном сектору</w:t>
            </w:r>
          </w:p>
        </w:tc>
      </w:tr>
      <w:tr w:rsidR="00AE3C4E" w:rsidRPr="0081082A" w:rsidTr="00310BEC">
        <w:trPr>
          <w:gridAfter w:val="1"/>
          <w:wAfter w:w="6" w:type="dxa"/>
          <w:trHeight w:val="237"/>
          <w:jc w:val="center"/>
        </w:trPr>
        <w:tc>
          <w:tcPr>
            <w:tcW w:w="16009" w:type="dxa"/>
            <w:gridSpan w:val="67"/>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26" w:name="_Toc73613701"/>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AA75EF" w:rsidRPr="0081082A">
              <w:rPr>
                <w:rFonts w:eastAsia="Times New Roman"/>
                <w:b/>
                <w:i/>
                <w:color w:val="365F91"/>
                <w:sz w:val="18"/>
                <w:szCs w:val="18"/>
                <w:lang w:val="sr-Cyrl-RS" w:eastAsia="en-GB"/>
              </w:rPr>
              <w:t>мере: Министарство</w:t>
            </w:r>
            <w:r w:rsidRPr="0081082A">
              <w:rPr>
                <w:rFonts w:eastAsia="Times New Roman"/>
                <w:b/>
                <w:i/>
                <w:color w:val="365F91"/>
                <w:sz w:val="18"/>
                <w:szCs w:val="18"/>
                <w:lang w:val="sr-Cyrl-RS" w:eastAsia="en-GB"/>
              </w:rPr>
              <w:t xml:space="preserve"> финансија- Управа за трезор</w:t>
            </w:r>
            <w:bookmarkEnd w:id="126"/>
          </w:p>
        </w:tc>
      </w:tr>
      <w:tr w:rsidR="00AE3C4E" w:rsidRPr="0081082A" w:rsidTr="00310BEC">
        <w:trPr>
          <w:gridAfter w:val="1"/>
          <w:wAfter w:w="6" w:type="dxa"/>
          <w:trHeight w:val="282"/>
          <w:jc w:val="center"/>
        </w:trPr>
        <w:tc>
          <w:tcPr>
            <w:tcW w:w="7961" w:type="dxa"/>
            <w:gridSpan w:val="18"/>
            <w:shd w:val="clear" w:color="auto" w:fill="F2F2F2" w:themeFill="background1" w:themeFillShade="F2"/>
            <w:vAlign w:val="center"/>
          </w:tcPr>
          <w:p w:rsidR="00AE3C4E" w:rsidRPr="0081082A" w:rsidRDefault="00AE3C4E" w:rsidP="00310BEC">
            <w:pPr>
              <w:spacing w:after="0" w:line="240" w:lineRule="auto"/>
              <w:rPr>
                <w:rFonts w:eastAsia="Times New Roman"/>
                <w:b/>
                <w:i/>
                <w:color w:val="365F91"/>
                <w:sz w:val="18"/>
                <w:szCs w:val="18"/>
                <w:lang w:val="sr-Cyrl-RS" w:eastAsia="en-GB"/>
              </w:rPr>
            </w:pPr>
            <w:r w:rsidRPr="0081082A">
              <w:rPr>
                <w:rFonts w:eastAsia="Times New Roman"/>
                <w:b/>
                <w:i/>
                <w:color w:val="365F91"/>
                <w:sz w:val="18"/>
                <w:szCs w:val="18"/>
                <w:lang w:val="sr-Cyrl-RS" w:eastAsia="en-GB"/>
              </w:rPr>
              <w:t>Период спровођења: 2021-2022</w:t>
            </w:r>
          </w:p>
        </w:tc>
        <w:tc>
          <w:tcPr>
            <w:tcW w:w="8048" w:type="dxa"/>
            <w:gridSpan w:val="49"/>
            <w:shd w:val="clear" w:color="auto" w:fill="F2F2F2" w:themeFill="background1" w:themeFillShade="F2"/>
            <w:vAlign w:val="center"/>
          </w:tcPr>
          <w:p w:rsidR="00AE3C4E" w:rsidRPr="0081082A" w:rsidRDefault="00AE3C4E" w:rsidP="00310BEC">
            <w:pPr>
              <w:spacing w:after="0" w:line="240" w:lineRule="auto"/>
              <w:rPr>
                <w:rFonts w:eastAsia="Times New Roman"/>
                <w:b/>
                <w:i/>
                <w:color w:val="365F91"/>
                <w:sz w:val="18"/>
                <w:szCs w:val="18"/>
                <w:lang w:val="sr-Cyrl-RS" w:eastAsia="en-GB"/>
              </w:rPr>
            </w:pPr>
            <w:r w:rsidRPr="0081082A">
              <w:rPr>
                <w:rFonts w:eastAsia="Times New Roman"/>
                <w:b/>
                <w:i/>
                <w:color w:val="365F91"/>
                <w:sz w:val="18"/>
                <w:szCs w:val="18"/>
                <w:lang w:val="sr-Cyrl-RS" w:eastAsia="en-GB"/>
              </w:rPr>
              <w:t>Тип мере: Институционално управљачко организациона</w:t>
            </w:r>
          </w:p>
        </w:tc>
      </w:tr>
      <w:tr w:rsidR="00AE3C4E" w:rsidRPr="0081082A" w:rsidTr="00310BEC">
        <w:trPr>
          <w:gridAfter w:val="1"/>
          <w:wAfter w:w="6" w:type="dxa"/>
          <w:trHeight w:val="982"/>
          <w:jc w:val="center"/>
        </w:trPr>
        <w:tc>
          <w:tcPr>
            <w:tcW w:w="1411" w:type="dxa"/>
            <w:shd w:val="clear" w:color="auto" w:fill="F2F2F2" w:themeFill="background1" w:themeFillShade="F2"/>
            <w:vAlign w:val="center"/>
          </w:tcPr>
          <w:p w:rsidR="00AE3C4E" w:rsidRPr="0081082A" w:rsidRDefault="00AE3C4E" w:rsidP="00310BEC">
            <w:pPr>
              <w:spacing w:after="160" w:line="259" w:lineRule="auto"/>
              <w:rPr>
                <w:rFonts w:cstheme="minorHAnsi"/>
                <w:b/>
                <w:sz w:val="16"/>
                <w:szCs w:val="16"/>
                <w:lang w:val="sr-Cyrl-RS"/>
              </w:rPr>
            </w:pPr>
            <w:r w:rsidRPr="0081082A">
              <w:rPr>
                <w:rFonts w:cstheme="minorHAnsi"/>
                <w:b/>
                <w:sz w:val="16"/>
                <w:szCs w:val="16"/>
                <w:lang w:val="sr-Cyrl-RS"/>
              </w:rPr>
              <w:t>Показатељ(</w:t>
            </w:r>
            <w:r w:rsidR="00AA75EF" w:rsidRPr="0081082A">
              <w:rPr>
                <w:rFonts w:cstheme="minorHAnsi"/>
                <w:b/>
                <w:sz w:val="16"/>
                <w:szCs w:val="16"/>
                <w:lang w:val="sr-Cyrl-RS"/>
              </w:rPr>
              <w:t>и) на</w:t>
            </w:r>
            <w:r w:rsidRPr="0081082A">
              <w:rPr>
                <w:rFonts w:cstheme="minorHAnsi"/>
                <w:b/>
                <w:sz w:val="16"/>
                <w:szCs w:val="16"/>
                <w:lang w:val="sr-Cyrl-RS"/>
              </w:rPr>
              <w:t xml:space="preserve"> нивоу мере (показатељ резултата)</w:t>
            </w:r>
          </w:p>
        </w:tc>
        <w:tc>
          <w:tcPr>
            <w:tcW w:w="1754" w:type="dxa"/>
            <w:gridSpan w:val="5"/>
            <w:shd w:val="clear" w:color="auto" w:fill="F2F2F2" w:themeFill="background1" w:themeFillShade="F2"/>
            <w:vAlign w:val="center"/>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Jединица мере</w:t>
            </w:r>
          </w:p>
        </w:tc>
        <w:tc>
          <w:tcPr>
            <w:tcW w:w="1600" w:type="dxa"/>
            <w:shd w:val="clear" w:color="auto" w:fill="F2F2F2" w:themeFill="background1" w:themeFillShade="F2"/>
            <w:vAlign w:val="center"/>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Извор провере</w:t>
            </w:r>
          </w:p>
        </w:tc>
        <w:tc>
          <w:tcPr>
            <w:tcW w:w="1596" w:type="dxa"/>
            <w:gridSpan w:val="7"/>
            <w:shd w:val="clear" w:color="auto" w:fill="F2F2F2" w:themeFill="background1" w:themeFillShade="F2"/>
            <w:vAlign w:val="center"/>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Почетна вредност</w:t>
            </w:r>
          </w:p>
        </w:tc>
        <w:tc>
          <w:tcPr>
            <w:tcW w:w="1600" w:type="dxa"/>
            <w:gridSpan w:val="4"/>
            <w:shd w:val="clear" w:color="auto" w:fill="F2F2F2" w:themeFill="background1" w:themeFillShade="F2"/>
            <w:vAlign w:val="center"/>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Базна година</w:t>
            </w:r>
          </w:p>
        </w:tc>
        <w:tc>
          <w:tcPr>
            <w:tcW w:w="1597" w:type="dxa"/>
            <w:gridSpan w:val="12"/>
            <w:shd w:val="clear" w:color="auto" w:fill="F2F2F2" w:themeFill="background1" w:themeFillShade="F2"/>
            <w:vAlign w:val="center"/>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 xml:space="preserve">Циљана вредност </w:t>
            </w:r>
          </w:p>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2021</w:t>
            </w:r>
          </w:p>
        </w:tc>
        <w:tc>
          <w:tcPr>
            <w:tcW w:w="1596" w:type="dxa"/>
            <w:gridSpan w:val="5"/>
            <w:shd w:val="clear" w:color="auto" w:fill="F2F2F2" w:themeFill="background1" w:themeFillShade="F2"/>
            <w:vAlign w:val="center"/>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Циљана вредност</w:t>
            </w:r>
          </w:p>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2022</w:t>
            </w:r>
          </w:p>
        </w:tc>
        <w:tc>
          <w:tcPr>
            <w:tcW w:w="1631" w:type="dxa"/>
            <w:gridSpan w:val="11"/>
            <w:shd w:val="clear" w:color="auto" w:fill="F2F2F2" w:themeFill="background1" w:themeFillShade="F2"/>
            <w:vAlign w:val="center"/>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 xml:space="preserve">Циљана вредност </w:t>
            </w:r>
          </w:p>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2023</w:t>
            </w:r>
          </w:p>
        </w:tc>
        <w:tc>
          <w:tcPr>
            <w:tcW w:w="1599" w:type="dxa"/>
            <w:gridSpan w:val="10"/>
            <w:shd w:val="clear" w:color="auto" w:fill="F2F2F2" w:themeFill="background1" w:themeFillShade="F2"/>
            <w:vAlign w:val="center"/>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 xml:space="preserve">Циљана вредност </w:t>
            </w:r>
          </w:p>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2024</w:t>
            </w:r>
          </w:p>
        </w:tc>
        <w:tc>
          <w:tcPr>
            <w:tcW w:w="1625" w:type="dxa"/>
            <w:gridSpan w:val="11"/>
            <w:shd w:val="clear" w:color="auto" w:fill="F2F2F2" w:themeFill="background1" w:themeFillShade="F2"/>
            <w:vAlign w:val="center"/>
          </w:tcPr>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 xml:space="preserve">Циљана вредност </w:t>
            </w:r>
          </w:p>
          <w:p w:rsidR="00AE3C4E" w:rsidRPr="0081082A" w:rsidRDefault="00AE3C4E" w:rsidP="00310BEC">
            <w:pPr>
              <w:spacing w:after="0" w:line="240" w:lineRule="auto"/>
              <w:rPr>
                <w:rFonts w:cstheme="minorHAnsi"/>
                <w:b/>
                <w:sz w:val="16"/>
                <w:szCs w:val="16"/>
                <w:lang w:val="sr-Cyrl-RS"/>
              </w:rPr>
            </w:pPr>
            <w:r w:rsidRPr="0081082A">
              <w:rPr>
                <w:rFonts w:cstheme="minorHAnsi"/>
                <w:b/>
                <w:sz w:val="16"/>
                <w:szCs w:val="16"/>
                <w:lang w:val="sr-Cyrl-RS"/>
              </w:rPr>
              <w:t>2025</w:t>
            </w:r>
          </w:p>
        </w:tc>
      </w:tr>
      <w:tr w:rsidR="00AE3C4E" w:rsidRPr="0081082A" w:rsidTr="00310BEC">
        <w:trPr>
          <w:gridAfter w:val="1"/>
          <w:wAfter w:w="6" w:type="dxa"/>
          <w:trHeight w:val="697"/>
          <w:jc w:val="center"/>
        </w:trPr>
        <w:tc>
          <w:tcPr>
            <w:tcW w:w="1411" w:type="dxa"/>
            <w:shd w:val="clear" w:color="auto" w:fill="auto"/>
            <w:vAlign w:val="center"/>
          </w:tcPr>
          <w:p w:rsidR="00AE3C4E" w:rsidRPr="0081082A" w:rsidRDefault="00AE3C4E" w:rsidP="00310BEC">
            <w:pPr>
              <w:spacing w:after="0" w:line="240" w:lineRule="auto"/>
              <w:rPr>
                <w:rFonts w:cstheme="minorHAnsi"/>
                <w:sz w:val="16"/>
                <w:szCs w:val="16"/>
                <w:lang w:val="sr-Cyrl-RS"/>
              </w:rPr>
            </w:pPr>
            <w:r w:rsidRPr="0081082A">
              <w:rPr>
                <w:rFonts w:cstheme="minorHAnsi"/>
                <w:sz w:val="16"/>
                <w:szCs w:val="16"/>
                <w:lang w:val="sr-Cyrl-RS"/>
              </w:rPr>
              <w:t xml:space="preserve">Усвојен План унапређења </w:t>
            </w:r>
            <w:r w:rsidR="00AA75EF" w:rsidRPr="0081082A">
              <w:rPr>
                <w:rFonts w:cstheme="minorHAnsi"/>
                <w:sz w:val="16"/>
                <w:szCs w:val="16"/>
                <w:lang w:val="sr-Cyrl-RS"/>
              </w:rPr>
              <w:t>рачуноводства у</w:t>
            </w:r>
            <w:r w:rsidRPr="0081082A">
              <w:rPr>
                <w:rFonts w:cstheme="minorHAnsi"/>
                <w:sz w:val="16"/>
                <w:szCs w:val="16"/>
                <w:lang w:val="sr-Cyrl-RS"/>
              </w:rPr>
              <w:t xml:space="preserve"> јавном сектору</w:t>
            </w:r>
          </w:p>
        </w:tc>
        <w:tc>
          <w:tcPr>
            <w:tcW w:w="1754" w:type="dxa"/>
            <w:gridSpan w:val="5"/>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Број</w:t>
            </w:r>
          </w:p>
        </w:tc>
        <w:tc>
          <w:tcPr>
            <w:tcW w:w="1600" w:type="dxa"/>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Сајт Управе за трезор</w:t>
            </w:r>
          </w:p>
        </w:tc>
        <w:tc>
          <w:tcPr>
            <w:tcW w:w="1596" w:type="dxa"/>
            <w:gridSpan w:val="7"/>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0</w:t>
            </w:r>
          </w:p>
        </w:tc>
        <w:tc>
          <w:tcPr>
            <w:tcW w:w="1600" w:type="dxa"/>
            <w:gridSpan w:val="4"/>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2020</w:t>
            </w:r>
          </w:p>
        </w:tc>
        <w:tc>
          <w:tcPr>
            <w:tcW w:w="1597" w:type="dxa"/>
            <w:gridSpan w:val="12"/>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0</w:t>
            </w:r>
          </w:p>
        </w:tc>
        <w:tc>
          <w:tcPr>
            <w:tcW w:w="1596" w:type="dxa"/>
            <w:gridSpan w:val="5"/>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1</w:t>
            </w:r>
          </w:p>
        </w:tc>
        <w:tc>
          <w:tcPr>
            <w:tcW w:w="1631" w:type="dxa"/>
            <w:gridSpan w:val="11"/>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1</w:t>
            </w:r>
          </w:p>
        </w:tc>
        <w:tc>
          <w:tcPr>
            <w:tcW w:w="1599" w:type="dxa"/>
            <w:gridSpan w:val="10"/>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1</w:t>
            </w:r>
          </w:p>
        </w:tc>
        <w:tc>
          <w:tcPr>
            <w:tcW w:w="1625" w:type="dxa"/>
            <w:gridSpan w:val="11"/>
            <w:shd w:val="clear" w:color="auto" w:fill="auto"/>
            <w:vAlign w:val="center"/>
          </w:tcPr>
          <w:p w:rsidR="00AE3C4E" w:rsidRPr="0081082A" w:rsidRDefault="00AE3C4E" w:rsidP="00310BEC">
            <w:pPr>
              <w:spacing w:after="0" w:line="240" w:lineRule="auto"/>
              <w:jc w:val="center"/>
              <w:rPr>
                <w:rFonts w:cstheme="minorHAnsi"/>
                <w:sz w:val="16"/>
                <w:szCs w:val="16"/>
                <w:lang w:val="sr-Cyrl-RS"/>
              </w:rPr>
            </w:pPr>
            <w:r w:rsidRPr="0081082A">
              <w:rPr>
                <w:rFonts w:cstheme="minorHAnsi"/>
                <w:sz w:val="16"/>
                <w:szCs w:val="16"/>
                <w:lang w:val="sr-Cyrl-RS"/>
              </w:rPr>
              <w:t>1</w:t>
            </w:r>
          </w:p>
        </w:tc>
      </w:tr>
      <w:tr w:rsidR="00AE3C4E" w:rsidRPr="0081082A" w:rsidTr="00D013DF">
        <w:trPr>
          <w:gridAfter w:val="1"/>
          <w:wAfter w:w="6" w:type="dxa"/>
          <w:trHeight w:val="300"/>
          <w:jc w:val="center"/>
        </w:trPr>
        <w:tc>
          <w:tcPr>
            <w:tcW w:w="2266" w:type="dxa"/>
            <w:gridSpan w:val="3"/>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868" w:type="dxa"/>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631" w:type="dxa"/>
            <w:gridSpan w:val="3"/>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Институција одговорна за спровођење </w:t>
            </w:r>
          </w:p>
        </w:tc>
        <w:tc>
          <w:tcPr>
            <w:tcW w:w="2318" w:type="dxa"/>
            <w:gridSpan w:val="8"/>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926" w:type="dxa"/>
            <w:gridSpan w:val="5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по изворима у 000 дин.</w:t>
            </w:r>
          </w:p>
        </w:tc>
      </w:tr>
      <w:tr w:rsidR="00AE3C4E" w:rsidRPr="0081082A" w:rsidTr="00D013DF">
        <w:trPr>
          <w:gridAfter w:val="1"/>
          <w:wAfter w:w="6" w:type="dxa"/>
          <w:trHeight w:val="510"/>
          <w:jc w:val="center"/>
        </w:trPr>
        <w:tc>
          <w:tcPr>
            <w:tcW w:w="2266" w:type="dxa"/>
            <w:gridSpan w:val="3"/>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868" w:type="dxa"/>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631" w:type="dxa"/>
            <w:gridSpan w:val="3"/>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2318" w:type="dxa"/>
            <w:gridSpan w:val="8"/>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343" w:type="dxa"/>
            <w:gridSpan w:val="10"/>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06"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283" w:type="dxa"/>
            <w:gridSpan w:val="5"/>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286" w:type="dxa"/>
            <w:gridSpan w:val="7"/>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290" w:type="dxa"/>
            <w:gridSpan w:val="8"/>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287" w:type="dxa"/>
            <w:gridSpan w:val="10"/>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331" w:type="dxa"/>
            <w:gridSpan w:val="9"/>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D013DF">
        <w:trPr>
          <w:gridAfter w:val="1"/>
          <w:wAfter w:w="6" w:type="dxa"/>
          <w:trHeight w:val="20"/>
          <w:jc w:val="center"/>
        </w:trPr>
        <w:tc>
          <w:tcPr>
            <w:tcW w:w="2266" w:type="dxa"/>
            <w:gridSpan w:val="3"/>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5.1.1 Израда </w:t>
            </w:r>
            <w:r w:rsidR="00AA75EF" w:rsidRPr="0081082A">
              <w:rPr>
                <w:rFonts w:eastAsia="Times New Roman"/>
                <w:sz w:val="16"/>
                <w:szCs w:val="16"/>
                <w:lang w:val="sr-Cyrl-RS" w:eastAsia="en-GB"/>
              </w:rPr>
              <w:t>нацрта Плана</w:t>
            </w:r>
            <w:r w:rsidRPr="0081082A">
              <w:rPr>
                <w:rFonts w:eastAsia="Times New Roman"/>
                <w:sz w:val="16"/>
                <w:szCs w:val="16"/>
                <w:lang w:val="sr-Cyrl-RS" w:eastAsia="en-GB"/>
              </w:rPr>
              <w:t xml:space="preserve"> унапређења  рачуноводства у јавном сектору, у фазама</w:t>
            </w:r>
          </w:p>
        </w:tc>
        <w:tc>
          <w:tcPr>
            <w:tcW w:w="868" w:type="dxa"/>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Q4 2021</w:t>
            </w:r>
          </w:p>
        </w:tc>
        <w:tc>
          <w:tcPr>
            <w:tcW w:w="1631"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трезор</w:t>
            </w:r>
          </w:p>
        </w:tc>
        <w:tc>
          <w:tcPr>
            <w:tcW w:w="2318" w:type="dxa"/>
            <w:gridSpan w:val="8"/>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343"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Донаторска средства (GIZ)  - (Пројекат Реформа јавних финансиja – финансирање Агенде 2030)</w:t>
            </w:r>
          </w:p>
        </w:tc>
        <w:tc>
          <w:tcPr>
            <w:tcW w:w="1106" w:type="dxa"/>
            <w:gridSpan w:val="3"/>
            <w:shd w:val="clear" w:color="000000" w:fill="FFFFFF"/>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2301-5007</w:t>
            </w:r>
          </w:p>
        </w:tc>
        <w:tc>
          <w:tcPr>
            <w:tcW w:w="1283" w:type="dxa"/>
            <w:gridSpan w:val="5"/>
            <w:shd w:val="clear" w:color="auto" w:fill="auto"/>
            <w:noWrap/>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800</w:t>
            </w: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450</w:t>
            </w:r>
          </w:p>
        </w:tc>
        <w:tc>
          <w:tcPr>
            <w:tcW w:w="1286" w:type="dxa"/>
            <w:gridSpan w:val="7"/>
            <w:shd w:val="clear" w:color="auto" w:fill="auto"/>
            <w:noWrap/>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1.200</w:t>
            </w: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90" w:type="dxa"/>
            <w:gridSpan w:val="8"/>
            <w:shd w:val="clear" w:color="auto" w:fill="auto"/>
            <w:noWrap/>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10"/>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w:t>
            </w:r>
          </w:p>
        </w:tc>
        <w:tc>
          <w:tcPr>
            <w:tcW w:w="1331" w:type="dxa"/>
            <w:gridSpan w:val="9"/>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w:t>
            </w:r>
          </w:p>
        </w:tc>
      </w:tr>
      <w:tr w:rsidR="00AE3C4E" w:rsidRPr="0081082A" w:rsidTr="00D013DF">
        <w:trPr>
          <w:gridAfter w:val="1"/>
          <w:wAfter w:w="6" w:type="dxa"/>
          <w:trHeight w:val="1965"/>
          <w:jc w:val="center"/>
        </w:trPr>
        <w:tc>
          <w:tcPr>
            <w:tcW w:w="2266" w:type="dxa"/>
            <w:gridSpan w:val="3"/>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5.1.2 Припремне активности за формирање Комисије за примену међународних рачуноводствених стандарда за јавни сектор</w:t>
            </w:r>
          </w:p>
        </w:tc>
        <w:tc>
          <w:tcPr>
            <w:tcW w:w="868" w:type="dxa"/>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Q4 2021</w:t>
            </w:r>
          </w:p>
        </w:tc>
        <w:tc>
          <w:tcPr>
            <w:tcW w:w="1631"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трезор</w:t>
            </w:r>
          </w:p>
        </w:tc>
        <w:tc>
          <w:tcPr>
            <w:tcW w:w="2318" w:type="dxa"/>
            <w:gridSpan w:val="8"/>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343"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Буџетска средства</w:t>
            </w:r>
          </w:p>
        </w:tc>
        <w:tc>
          <w:tcPr>
            <w:tcW w:w="1106" w:type="dxa"/>
            <w:gridSpan w:val="3"/>
            <w:shd w:val="clear" w:color="000000" w:fill="FFFFFF"/>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2301-5007</w:t>
            </w:r>
          </w:p>
        </w:tc>
        <w:tc>
          <w:tcPr>
            <w:tcW w:w="1283" w:type="dxa"/>
            <w:gridSpan w:val="5"/>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800</w:t>
            </w:r>
          </w:p>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86" w:type="dxa"/>
            <w:gridSpan w:val="7"/>
            <w:shd w:val="clear" w:color="auto" w:fill="auto"/>
            <w:noWrap/>
            <w:vAlign w:val="center"/>
            <w:hideMark/>
          </w:tcPr>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10.000</w:t>
            </w:r>
          </w:p>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90" w:type="dxa"/>
            <w:gridSpan w:val="8"/>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10.000</w:t>
            </w:r>
          </w:p>
        </w:tc>
        <w:tc>
          <w:tcPr>
            <w:tcW w:w="1287" w:type="dxa"/>
            <w:gridSpan w:val="10"/>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10.000*</w:t>
            </w:r>
          </w:p>
        </w:tc>
        <w:tc>
          <w:tcPr>
            <w:tcW w:w="1331" w:type="dxa"/>
            <w:gridSpan w:val="9"/>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10.000*</w:t>
            </w:r>
          </w:p>
        </w:tc>
      </w:tr>
      <w:tr w:rsidR="00AE3C4E" w:rsidRPr="0081082A" w:rsidTr="00D013DF">
        <w:trPr>
          <w:gridAfter w:val="1"/>
          <w:wAfter w:w="6" w:type="dxa"/>
          <w:trHeight w:val="1110"/>
          <w:jc w:val="center"/>
        </w:trPr>
        <w:tc>
          <w:tcPr>
            <w:tcW w:w="2266" w:type="dxa"/>
            <w:gridSpan w:val="3"/>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5.1.3 </w:t>
            </w:r>
            <w:r w:rsidR="00AA75EF" w:rsidRPr="0081082A">
              <w:rPr>
                <w:rFonts w:eastAsia="Times New Roman"/>
                <w:sz w:val="16"/>
                <w:szCs w:val="16"/>
                <w:lang w:val="sr-Cyrl-RS" w:eastAsia="en-GB"/>
              </w:rPr>
              <w:t>Активности у</w:t>
            </w:r>
            <w:r w:rsidRPr="0081082A">
              <w:rPr>
                <w:rFonts w:eastAsia="Times New Roman"/>
                <w:sz w:val="16"/>
                <w:szCs w:val="16"/>
                <w:lang w:val="sr-Cyrl-RS" w:eastAsia="en-GB"/>
              </w:rPr>
              <w:t xml:space="preserve"> циљу </w:t>
            </w:r>
            <w:r w:rsidR="00AA75EF" w:rsidRPr="0081082A">
              <w:rPr>
                <w:rFonts w:eastAsia="Times New Roman"/>
                <w:sz w:val="16"/>
                <w:szCs w:val="16"/>
                <w:lang w:val="sr-Cyrl-RS" w:eastAsia="en-GB"/>
              </w:rPr>
              <w:t>закључивања Уговора</w:t>
            </w:r>
            <w:r w:rsidRPr="0081082A">
              <w:rPr>
                <w:rFonts w:eastAsia="Times New Roman"/>
                <w:sz w:val="16"/>
                <w:szCs w:val="16"/>
                <w:lang w:val="sr-Cyrl-RS" w:eastAsia="en-GB"/>
              </w:rPr>
              <w:t xml:space="preserve"> за превод  и примену МРС ЈС са Савезом рачуновођа и ревизора Србије (чланица  IFAC)</w:t>
            </w:r>
          </w:p>
        </w:tc>
        <w:tc>
          <w:tcPr>
            <w:tcW w:w="868" w:type="dxa"/>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Q4 2021</w:t>
            </w:r>
          </w:p>
        </w:tc>
        <w:tc>
          <w:tcPr>
            <w:tcW w:w="1631"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трезор</w:t>
            </w:r>
          </w:p>
        </w:tc>
        <w:tc>
          <w:tcPr>
            <w:tcW w:w="2318" w:type="dxa"/>
            <w:gridSpan w:val="8"/>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343"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highlight w:val="yellow"/>
                <w:lang w:val="sr-Cyrl-RS" w:eastAsia="en-GB"/>
              </w:rPr>
            </w:pPr>
            <w:r w:rsidRPr="0081082A">
              <w:rPr>
                <w:rFonts w:eastAsia="Times New Roman"/>
                <w:color w:val="000000"/>
                <w:sz w:val="16"/>
                <w:szCs w:val="16"/>
                <w:lang w:val="sr-Cyrl-RS" w:eastAsia="en-GB"/>
              </w:rPr>
              <w:t>Буџетска средства</w:t>
            </w:r>
          </w:p>
        </w:tc>
        <w:tc>
          <w:tcPr>
            <w:tcW w:w="1106" w:type="dxa"/>
            <w:gridSpan w:val="3"/>
            <w:shd w:val="clear" w:color="000000" w:fill="FFFFFF"/>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2301-5007</w:t>
            </w:r>
          </w:p>
        </w:tc>
        <w:tc>
          <w:tcPr>
            <w:tcW w:w="1283" w:type="dxa"/>
            <w:gridSpan w:val="5"/>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6" w:type="dxa"/>
            <w:gridSpan w:val="7"/>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90" w:type="dxa"/>
            <w:gridSpan w:val="8"/>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10"/>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31" w:type="dxa"/>
            <w:gridSpan w:val="9"/>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D013DF">
        <w:trPr>
          <w:gridAfter w:val="1"/>
          <w:wAfter w:w="6" w:type="dxa"/>
          <w:trHeight w:val="1110"/>
          <w:jc w:val="center"/>
        </w:trPr>
        <w:tc>
          <w:tcPr>
            <w:tcW w:w="2266" w:type="dxa"/>
            <w:gridSpan w:val="3"/>
            <w:shd w:val="clear" w:color="auto" w:fill="auto"/>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5.1.4 Реализација Уговора из активности 5.1.3  у циљу омогућавања  имплементације Уредбе о примени међународних рачуноводствених стандарда за јавни сектор</w:t>
            </w:r>
          </w:p>
        </w:tc>
        <w:tc>
          <w:tcPr>
            <w:tcW w:w="868" w:type="dxa"/>
            <w:shd w:val="clear" w:color="auto" w:fill="auto"/>
            <w:vAlign w:val="center"/>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Q4 2022</w:t>
            </w:r>
          </w:p>
        </w:tc>
        <w:tc>
          <w:tcPr>
            <w:tcW w:w="1631" w:type="dxa"/>
            <w:gridSpan w:val="3"/>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трезор</w:t>
            </w:r>
          </w:p>
        </w:tc>
        <w:tc>
          <w:tcPr>
            <w:tcW w:w="2318" w:type="dxa"/>
            <w:gridSpan w:val="8"/>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p w:rsidR="00AE3C4E" w:rsidRPr="0081082A" w:rsidRDefault="00AE3C4E" w:rsidP="005555AC">
            <w:pPr>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1343" w:type="dxa"/>
            <w:gridSpan w:val="10"/>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tc>
        <w:tc>
          <w:tcPr>
            <w:tcW w:w="1106" w:type="dxa"/>
            <w:gridSpan w:val="3"/>
            <w:shd w:val="clear" w:color="000000" w:fill="FFFFFF"/>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2301-5007</w:t>
            </w:r>
          </w:p>
        </w:tc>
        <w:tc>
          <w:tcPr>
            <w:tcW w:w="1283" w:type="dxa"/>
            <w:gridSpan w:val="5"/>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6" w:type="dxa"/>
            <w:gridSpan w:val="7"/>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15.000</w:t>
            </w:r>
          </w:p>
        </w:tc>
        <w:tc>
          <w:tcPr>
            <w:tcW w:w="1290" w:type="dxa"/>
            <w:gridSpan w:val="8"/>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10"/>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31" w:type="dxa"/>
            <w:gridSpan w:val="9"/>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trHeight w:val="289"/>
          <w:jc w:val="center"/>
        </w:trPr>
        <w:tc>
          <w:tcPr>
            <w:tcW w:w="16015" w:type="dxa"/>
            <w:gridSpan w:val="68"/>
            <w:shd w:val="clear" w:color="auto" w:fill="F2F2F2" w:themeFill="background1" w:themeFillShade="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27" w:name="_Toc73613702"/>
            <w:r w:rsidRPr="0081082A">
              <w:rPr>
                <w:rFonts w:eastAsia="Times New Roman"/>
                <w:b/>
                <w:i/>
                <w:color w:val="365F91"/>
                <w:sz w:val="18"/>
                <w:szCs w:val="18"/>
                <w:lang w:val="sr-Cyrl-RS" w:eastAsia="en-GB"/>
              </w:rPr>
              <w:t xml:space="preserve">Мера 5.2: </w:t>
            </w:r>
            <w:r w:rsidR="00AA75EF" w:rsidRPr="0081082A">
              <w:rPr>
                <w:rFonts w:eastAsia="Times New Roman"/>
                <w:b/>
                <w:i/>
                <w:color w:val="365F91"/>
                <w:sz w:val="18"/>
                <w:szCs w:val="18"/>
                <w:lang w:val="sr-Cyrl-RS" w:eastAsia="en-GB"/>
              </w:rPr>
              <w:t>Унапређење професионалне компетентности</w:t>
            </w:r>
            <w:r w:rsidRPr="0081082A">
              <w:rPr>
                <w:rFonts w:eastAsia="Times New Roman"/>
                <w:b/>
                <w:i/>
                <w:color w:val="365F91"/>
                <w:sz w:val="18"/>
                <w:szCs w:val="18"/>
                <w:lang w:val="sr-Cyrl-RS" w:eastAsia="en-GB"/>
              </w:rPr>
              <w:t xml:space="preserve">  рачуновођа  у  јавном  сектору  спровођењем  адекватних  обука</w:t>
            </w:r>
            <w:bookmarkEnd w:id="127"/>
          </w:p>
        </w:tc>
      </w:tr>
      <w:tr w:rsidR="00AE3C4E" w:rsidRPr="0081082A" w:rsidTr="00310BEC">
        <w:trPr>
          <w:trHeight w:val="289"/>
          <w:jc w:val="center"/>
        </w:trPr>
        <w:tc>
          <w:tcPr>
            <w:tcW w:w="16015" w:type="dxa"/>
            <w:gridSpan w:val="68"/>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28" w:name="_Toc73613703"/>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AA75EF" w:rsidRPr="0081082A">
              <w:rPr>
                <w:rFonts w:eastAsia="Times New Roman"/>
                <w:b/>
                <w:i/>
                <w:color w:val="365F91"/>
                <w:sz w:val="18"/>
                <w:szCs w:val="18"/>
                <w:lang w:val="sr-Cyrl-RS" w:eastAsia="en-GB"/>
              </w:rPr>
              <w:t>мере: Министарство</w:t>
            </w:r>
            <w:r w:rsidRPr="0081082A">
              <w:rPr>
                <w:rFonts w:eastAsia="Times New Roman"/>
                <w:b/>
                <w:i/>
                <w:color w:val="365F91"/>
                <w:sz w:val="18"/>
                <w:szCs w:val="18"/>
                <w:lang w:val="sr-Cyrl-RS" w:eastAsia="en-GB"/>
              </w:rPr>
              <w:t xml:space="preserve"> финансија- Управа за трезор</w:t>
            </w:r>
            <w:bookmarkEnd w:id="128"/>
          </w:p>
        </w:tc>
      </w:tr>
      <w:tr w:rsidR="00AE3C4E" w:rsidRPr="0081082A" w:rsidTr="00310BEC">
        <w:trPr>
          <w:trHeight w:val="289"/>
          <w:jc w:val="center"/>
        </w:trPr>
        <w:tc>
          <w:tcPr>
            <w:tcW w:w="7983" w:type="dxa"/>
            <w:gridSpan w:val="19"/>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29" w:name="_Toc73613704"/>
            <w:r w:rsidRPr="0081082A">
              <w:rPr>
                <w:rFonts w:eastAsia="Times New Roman"/>
                <w:b/>
                <w:i/>
                <w:color w:val="365F91"/>
                <w:sz w:val="18"/>
                <w:szCs w:val="18"/>
                <w:lang w:val="sr-Cyrl-RS" w:eastAsia="en-GB"/>
              </w:rPr>
              <w:t>Период спровођења: 2021-2025</w:t>
            </w:r>
            <w:bookmarkEnd w:id="129"/>
          </w:p>
        </w:tc>
        <w:tc>
          <w:tcPr>
            <w:tcW w:w="8032" w:type="dxa"/>
            <w:gridSpan w:val="49"/>
            <w:shd w:val="clear" w:color="auto" w:fill="F2F2F2" w:themeFill="background1" w:themeFillShade="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30" w:name="_Toc73613705"/>
            <w:r w:rsidRPr="0081082A">
              <w:rPr>
                <w:rFonts w:eastAsia="Times New Roman"/>
                <w:b/>
                <w:i/>
                <w:color w:val="365F91"/>
                <w:sz w:val="18"/>
                <w:szCs w:val="18"/>
                <w:lang w:val="sr-Cyrl-RS" w:eastAsia="en-GB"/>
              </w:rPr>
              <w:t>Тип мере: Институционално управљачко организациона</w:t>
            </w:r>
            <w:bookmarkEnd w:id="130"/>
          </w:p>
        </w:tc>
      </w:tr>
      <w:tr w:rsidR="00AE3C4E" w:rsidRPr="0081082A" w:rsidTr="00D013DF">
        <w:trPr>
          <w:gridAfter w:val="1"/>
          <w:wAfter w:w="6" w:type="dxa"/>
          <w:trHeight w:val="450"/>
          <w:jc w:val="center"/>
        </w:trPr>
        <w:tc>
          <w:tcPr>
            <w:tcW w:w="3134" w:type="dxa"/>
            <w:gridSpan w:val="4"/>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мере (показатељ резултата)</w:t>
            </w:r>
          </w:p>
        </w:tc>
        <w:tc>
          <w:tcPr>
            <w:tcW w:w="1631" w:type="dxa"/>
            <w:gridSpan w:val="3"/>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2318" w:type="dxa"/>
            <w:gridSpan w:val="8"/>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1343" w:type="dxa"/>
            <w:gridSpan w:val="10"/>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Почетна вредност</w:t>
            </w:r>
          </w:p>
        </w:tc>
        <w:tc>
          <w:tcPr>
            <w:tcW w:w="1106" w:type="dxa"/>
            <w:gridSpan w:val="3"/>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283" w:type="dxa"/>
            <w:gridSpan w:val="5"/>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286" w:type="dxa"/>
            <w:gridSpan w:val="7"/>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2022</w:t>
            </w:r>
          </w:p>
        </w:tc>
        <w:tc>
          <w:tcPr>
            <w:tcW w:w="1290" w:type="dxa"/>
            <w:gridSpan w:val="8"/>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287" w:type="dxa"/>
            <w:gridSpan w:val="10"/>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331" w:type="dxa"/>
            <w:gridSpan w:val="9"/>
            <w:shd w:val="clear" w:color="D7E3EE"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D013DF">
        <w:trPr>
          <w:gridAfter w:val="1"/>
          <w:wAfter w:w="6" w:type="dxa"/>
          <w:trHeight w:val="975"/>
          <w:jc w:val="center"/>
        </w:trPr>
        <w:tc>
          <w:tcPr>
            <w:tcW w:w="3134" w:type="dxa"/>
            <w:gridSpan w:val="4"/>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Удео </w:t>
            </w:r>
            <w:r w:rsidR="00AA75EF" w:rsidRPr="0081082A">
              <w:rPr>
                <w:rFonts w:eastAsia="Times New Roman"/>
                <w:color w:val="000000"/>
                <w:sz w:val="16"/>
                <w:szCs w:val="16"/>
                <w:lang w:val="sr-Cyrl-RS" w:eastAsia="en-GB"/>
              </w:rPr>
              <w:t>запослених рачуновођа</w:t>
            </w:r>
            <w:r w:rsidRPr="0081082A">
              <w:rPr>
                <w:rFonts w:eastAsia="Times New Roman"/>
                <w:color w:val="000000"/>
                <w:sz w:val="16"/>
                <w:szCs w:val="16"/>
                <w:lang w:val="sr-Cyrl-RS" w:eastAsia="en-GB"/>
              </w:rPr>
              <w:t xml:space="preserve"> у јавном сектору који је прошао обуку „Унапређење рачуноводства у јавном сектору</w:t>
            </w:r>
            <w:r w:rsidR="007E728E" w:rsidRPr="0081082A">
              <w:rPr>
                <w:rFonts w:eastAsia="Times New Roman"/>
                <w:color w:val="000000"/>
                <w:sz w:val="16"/>
                <w:szCs w:val="16"/>
                <w:lang w:val="sr-Cyrl-RS" w:eastAsia="en-GB"/>
              </w:rPr>
              <w:t>”</w:t>
            </w:r>
          </w:p>
        </w:tc>
        <w:tc>
          <w:tcPr>
            <w:tcW w:w="1631"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2318" w:type="dxa"/>
            <w:gridSpan w:val="8"/>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Извештај о реализацији програма обуке</w:t>
            </w:r>
          </w:p>
        </w:tc>
        <w:tc>
          <w:tcPr>
            <w:tcW w:w="1343" w:type="dxa"/>
            <w:gridSpan w:val="10"/>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69</w:t>
            </w:r>
            <w:r w:rsidRPr="0081082A">
              <w:rPr>
                <w:rFonts w:eastAsia="Times New Roman"/>
                <w:color w:val="000000"/>
                <w:sz w:val="16"/>
                <w:szCs w:val="16"/>
                <w:lang w:val="sr-Cyrl-RS" w:eastAsia="en-GB"/>
              </w:rPr>
              <w:t>%</w:t>
            </w:r>
          </w:p>
        </w:tc>
        <w:tc>
          <w:tcPr>
            <w:tcW w:w="1106" w:type="dxa"/>
            <w:gridSpan w:val="3"/>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283" w:type="dxa"/>
            <w:gridSpan w:val="5"/>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80</w:t>
            </w:r>
            <w:r w:rsidRPr="0081082A">
              <w:rPr>
                <w:rFonts w:eastAsia="Times New Roman"/>
                <w:color w:val="000000"/>
                <w:sz w:val="16"/>
                <w:szCs w:val="16"/>
                <w:lang w:val="sr-Cyrl-RS" w:eastAsia="en-GB"/>
              </w:rPr>
              <w:t>%</w:t>
            </w:r>
          </w:p>
        </w:tc>
        <w:tc>
          <w:tcPr>
            <w:tcW w:w="1286" w:type="dxa"/>
            <w:gridSpan w:val="7"/>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100</w:t>
            </w:r>
            <w:r w:rsidRPr="0081082A">
              <w:rPr>
                <w:rFonts w:eastAsia="Times New Roman"/>
                <w:color w:val="000000"/>
                <w:sz w:val="16"/>
                <w:szCs w:val="16"/>
                <w:lang w:val="sr-Cyrl-RS" w:eastAsia="en-GB"/>
              </w:rPr>
              <w:t>%</w:t>
            </w:r>
          </w:p>
        </w:tc>
        <w:tc>
          <w:tcPr>
            <w:tcW w:w="1290" w:type="dxa"/>
            <w:gridSpan w:val="8"/>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287" w:type="dxa"/>
            <w:gridSpan w:val="10"/>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331" w:type="dxa"/>
            <w:gridSpan w:val="9"/>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r>
      <w:tr w:rsidR="00AE3C4E" w:rsidRPr="0081082A" w:rsidTr="00D013DF">
        <w:trPr>
          <w:gridAfter w:val="1"/>
          <w:wAfter w:w="6" w:type="dxa"/>
          <w:trHeight w:val="300"/>
          <w:jc w:val="center"/>
        </w:trPr>
        <w:tc>
          <w:tcPr>
            <w:tcW w:w="1855" w:type="dxa"/>
            <w:gridSpan w:val="2"/>
            <w:vMerge w:val="restart"/>
            <w:shd w:val="clear" w:color="FFFFCC"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279" w:type="dxa"/>
            <w:gridSpan w:val="2"/>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639" w:type="dxa"/>
            <w:gridSpan w:val="4"/>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Институција одговорна за спровођење </w:t>
            </w:r>
          </w:p>
        </w:tc>
        <w:tc>
          <w:tcPr>
            <w:tcW w:w="2310" w:type="dxa"/>
            <w:gridSpan w:val="7"/>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926" w:type="dxa"/>
            <w:gridSpan w:val="5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по изворима у 000 дин.</w:t>
            </w:r>
          </w:p>
        </w:tc>
      </w:tr>
      <w:tr w:rsidR="00AE3C4E" w:rsidRPr="0081082A" w:rsidTr="00D013DF">
        <w:trPr>
          <w:gridAfter w:val="1"/>
          <w:wAfter w:w="6" w:type="dxa"/>
          <w:trHeight w:val="450"/>
          <w:jc w:val="center"/>
        </w:trPr>
        <w:tc>
          <w:tcPr>
            <w:tcW w:w="1855" w:type="dxa"/>
            <w:gridSpan w:val="2"/>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279" w:type="dxa"/>
            <w:gridSpan w:val="2"/>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2310" w:type="dxa"/>
            <w:gridSpan w:val="7"/>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343" w:type="dxa"/>
            <w:gridSpan w:val="10"/>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106"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Веза са програмским буџетом </w:t>
            </w:r>
            <w:r w:rsidRPr="0081082A">
              <w:rPr>
                <w:rFonts w:eastAsia="Times New Roman"/>
                <w:b/>
                <w:bCs/>
                <w:color w:val="000000"/>
                <w:sz w:val="16"/>
                <w:szCs w:val="16"/>
                <w:lang w:val="sr-Cyrl-RS" w:eastAsia="en-GB"/>
              </w:rPr>
              <w:lastRenderedPageBreak/>
              <w:t>(ПР-ПА/ПЈ)</w:t>
            </w:r>
          </w:p>
        </w:tc>
        <w:tc>
          <w:tcPr>
            <w:tcW w:w="1283" w:type="dxa"/>
            <w:gridSpan w:val="5"/>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2021</w:t>
            </w:r>
          </w:p>
        </w:tc>
        <w:tc>
          <w:tcPr>
            <w:tcW w:w="1286" w:type="dxa"/>
            <w:gridSpan w:val="7"/>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290" w:type="dxa"/>
            <w:gridSpan w:val="8"/>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287" w:type="dxa"/>
            <w:gridSpan w:val="10"/>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331" w:type="dxa"/>
            <w:gridSpan w:val="9"/>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D013DF">
        <w:trPr>
          <w:gridAfter w:val="1"/>
          <w:wAfter w:w="6" w:type="dxa"/>
          <w:trHeight w:val="1369"/>
          <w:jc w:val="center"/>
        </w:trPr>
        <w:tc>
          <w:tcPr>
            <w:tcW w:w="1855" w:type="dxa"/>
            <w:gridSpan w:val="2"/>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 xml:space="preserve">5.2.1 Спровођење обука у циљу </w:t>
            </w:r>
            <w:r w:rsidR="00AA75EF" w:rsidRPr="0081082A">
              <w:rPr>
                <w:rFonts w:eastAsia="Times New Roman"/>
                <w:sz w:val="16"/>
                <w:szCs w:val="16"/>
                <w:lang w:val="sr-Cyrl-RS" w:eastAsia="en-GB"/>
              </w:rPr>
              <w:t>унапређења професионалне</w:t>
            </w:r>
            <w:r w:rsidRPr="0081082A">
              <w:rPr>
                <w:rFonts w:eastAsia="Times New Roman"/>
                <w:sz w:val="16"/>
                <w:szCs w:val="16"/>
                <w:lang w:val="sr-Cyrl-RS" w:eastAsia="en-GB"/>
              </w:rPr>
              <w:t xml:space="preserve"> компетентности рачуновођа у јавном сектору</w:t>
            </w:r>
          </w:p>
        </w:tc>
        <w:tc>
          <w:tcPr>
            <w:tcW w:w="1279"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2022</w:t>
            </w:r>
          </w:p>
        </w:tc>
        <w:tc>
          <w:tcPr>
            <w:tcW w:w="1639" w:type="dxa"/>
            <w:gridSpan w:val="4"/>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Управа за трезор</w:t>
            </w:r>
          </w:p>
        </w:tc>
        <w:tc>
          <w:tcPr>
            <w:tcW w:w="2310" w:type="dxa"/>
            <w:gridSpan w:val="7"/>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НАЈУ</w:t>
            </w:r>
          </w:p>
        </w:tc>
        <w:tc>
          <w:tcPr>
            <w:tcW w:w="1343"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tc>
        <w:tc>
          <w:tcPr>
            <w:tcW w:w="1106" w:type="dxa"/>
            <w:gridSpan w:val="3"/>
            <w:shd w:val="clear" w:color="000000" w:fill="FFFFFF"/>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2301-5007</w:t>
            </w:r>
          </w:p>
        </w:tc>
        <w:tc>
          <w:tcPr>
            <w:tcW w:w="1283" w:type="dxa"/>
            <w:gridSpan w:val="5"/>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1.000</w:t>
            </w:r>
          </w:p>
        </w:tc>
        <w:tc>
          <w:tcPr>
            <w:tcW w:w="1286" w:type="dxa"/>
            <w:gridSpan w:val="7"/>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2.000</w:t>
            </w:r>
          </w:p>
        </w:tc>
        <w:tc>
          <w:tcPr>
            <w:tcW w:w="1290" w:type="dxa"/>
            <w:gridSpan w:val="8"/>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10"/>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31" w:type="dxa"/>
            <w:gridSpan w:val="9"/>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D013DF">
        <w:trPr>
          <w:gridAfter w:val="1"/>
          <w:wAfter w:w="6" w:type="dxa"/>
          <w:trHeight w:val="945"/>
          <w:jc w:val="center"/>
        </w:trPr>
        <w:tc>
          <w:tcPr>
            <w:tcW w:w="1855" w:type="dxa"/>
            <w:gridSpan w:val="2"/>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 xml:space="preserve">5.2.2 Припремне активности за </w:t>
            </w:r>
            <w:r w:rsidR="00AA75EF" w:rsidRPr="0081082A">
              <w:rPr>
                <w:rFonts w:eastAsia="Times New Roman"/>
                <w:sz w:val="16"/>
                <w:szCs w:val="16"/>
                <w:lang w:val="sr-Cyrl-RS" w:eastAsia="en-GB"/>
              </w:rPr>
              <w:t>увођење сертификације</w:t>
            </w:r>
            <w:r w:rsidRPr="0081082A">
              <w:rPr>
                <w:rFonts w:eastAsia="Times New Roman"/>
                <w:sz w:val="16"/>
                <w:szCs w:val="16"/>
                <w:lang w:val="sr-Cyrl-RS" w:eastAsia="en-GB"/>
              </w:rPr>
              <w:t xml:space="preserve"> за професију рачуновођа у јавном сектору</w:t>
            </w:r>
          </w:p>
        </w:tc>
        <w:tc>
          <w:tcPr>
            <w:tcW w:w="1279"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2024</w:t>
            </w:r>
          </w:p>
        </w:tc>
        <w:tc>
          <w:tcPr>
            <w:tcW w:w="1639" w:type="dxa"/>
            <w:gridSpan w:val="4"/>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Управа за трезор</w:t>
            </w:r>
          </w:p>
        </w:tc>
        <w:tc>
          <w:tcPr>
            <w:tcW w:w="2310" w:type="dxa"/>
            <w:gridSpan w:val="7"/>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НАЈУ</w:t>
            </w:r>
          </w:p>
          <w:p w:rsidR="00AE3C4E" w:rsidRPr="0081082A" w:rsidRDefault="00AE3C4E" w:rsidP="00310BEC">
            <w:pPr>
              <w:spacing w:after="0" w:line="240" w:lineRule="auto"/>
              <w:jc w:val="center"/>
              <w:rPr>
                <w:rFonts w:eastAsia="Times New Roman"/>
                <w:sz w:val="16"/>
                <w:szCs w:val="16"/>
                <w:lang w:val="sr-Cyrl-RS" w:eastAsia="en-GB"/>
              </w:rPr>
            </w:pPr>
          </w:p>
        </w:tc>
        <w:tc>
          <w:tcPr>
            <w:tcW w:w="1343"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highlight w:val="yellow"/>
                <w:lang w:val="sr-Cyrl-RS" w:eastAsia="en-GB"/>
              </w:rPr>
            </w:pPr>
          </w:p>
        </w:tc>
        <w:tc>
          <w:tcPr>
            <w:tcW w:w="1106" w:type="dxa"/>
            <w:gridSpan w:val="3"/>
            <w:shd w:val="clear" w:color="000000" w:fill="FFFFFF"/>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2301-5007</w:t>
            </w:r>
          </w:p>
        </w:tc>
        <w:tc>
          <w:tcPr>
            <w:tcW w:w="1283" w:type="dxa"/>
            <w:gridSpan w:val="5"/>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1.000</w:t>
            </w:r>
          </w:p>
        </w:tc>
        <w:tc>
          <w:tcPr>
            <w:tcW w:w="1286" w:type="dxa"/>
            <w:gridSpan w:val="7"/>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8.500</w:t>
            </w:r>
          </w:p>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90" w:type="dxa"/>
            <w:gridSpan w:val="8"/>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10"/>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31" w:type="dxa"/>
            <w:gridSpan w:val="9"/>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D013DF">
        <w:trPr>
          <w:gridAfter w:val="1"/>
          <w:wAfter w:w="6" w:type="dxa"/>
          <w:trHeight w:val="1073"/>
          <w:jc w:val="center"/>
        </w:trPr>
        <w:tc>
          <w:tcPr>
            <w:tcW w:w="1855" w:type="dxa"/>
            <w:gridSpan w:val="2"/>
            <w:vMerge w:val="restart"/>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5.2.3 Сертификовање 200 рачуновођа у јавном сектору</w:t>
            </w:r>
          </w:p>
        </w:tc>
        <w:tc>
          <w:tcPr>
            <w:tcW w:w="1279" w:type="dxa"/>
            <w:gridSpan w:val="2"/>
            <w:vMerge w:val="restart"/>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639" w:type="dxa"/>
            <w:gridSpan w:val="4"/>
            <w:vMerge w:val="restart"/>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tc>
        <w:tc>
          <w:tcPr>
            <w:tcW w:w="2310" w:type="dxa"/>
            <w:gridSpan w:val="7"/>
            <w:vMerge w:val="restart"/>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Министарство финансија</w:t>
            </w:r>
          </w:p>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НАЈУ</w:t>
            </w:r>
          </w:p>
          <w:p w:rsidR="00AE3C4E" w:rsidRPr="0081082A" w:rsidRDefault="00AE3C4E" w:rsidP="00310BEC">
            <w:pPr>
              <w:spacing w:after="0" w:line="240" w:lineRule="auto"/>
              <w:jc w:val="center"/>
              <w:rPr>
                <w:rFonts w:eastAsia="Times New Roman"/>
                <w:sz w:val="16"/>
                <w:szCs w:val="16"/>
                <w:lang w:val="sr-Cyrl-RS" w:eastAsia="en-GB"/>
              </w:rPr>
            </w:pPr>
          </w:p>
        </w:tc>
        <w:tc>
          <w:tcPr>
            <w:tcW w:w="1343"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tc>
        <w:tc>
          <w:tcPr>
            <w:tcW w:w="1106" w:type="dxa"/>
            <w:gridSpan w:val="3"/>
            <w:vMerge w:val="restart"/>
            <w:shd w:val="clear" w:color="000000" w:fill="FFFFFF"/>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2301-5007</w:t>
            </w:r>
          </w:p>
        </w:tc>
        <w:tc>
          <w:tcPr>
            <w:tcW w:w="1283" w:type="dxa"/>
            <w:gridSpan w:val="5"/>
            <w:vMerge w:val="restart"/>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6" w:type="dxa"/>
            <w:gridSpan w:val="7"/>
            <w:vMerge w:val="restart"/>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90" w:type="dxa"/>
            <w:gridSpan w:val="8"/>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5.000</w:t>
            </w:r>
          </w:p>
        </w:tc>
        <w:tc>
          <w:tcPr>
            <w:tcW w:w="1287" w:type="dxa"/>
            <w:gridSpan w:val="10"/>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19.000*</w:t>
            </w: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331" w:type="dxa"/>
            <w:gridSpan w:val="9"/>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tc>
      </w:tr>
      <w:tr w:rsidR="00AE3C4E" w:rsidRPr="0081082A" w:rsidTr="00D013DF">
        <w:trPr>
          <w:gridAfter w:val="1"/>
          <w:wAfter w:w="6" w:type="dxa"/>
          <w:trHeight w:val="1072"/>
          <w:jc w:val="center"/>
        </w:trPr>
        <w:tc>
          <w:tcPr>
            <w:tcW w:w="1855" w:type="dxa"/>
            <w:gridSpan w:val="2"/>
            <w:vMerge/>
            <w:shd w:val="clear" w:color="auto" w:fill="auto"/>
            <w:vAlign w:val="center"/>
          </w:tcPr>
          <w:p w:rsidR="00AE3C4E" w:rsidRPr="0081082A" w:rsidRDefault="00AE3C4E" w:rsidP="00310BEC">
            <w:pPr>
              <w:spacing w:after="0" w:line="240" w:lineRule="auto"/>
              <w:rPr>
                <w:rFonts w:eastAsia="Times New Roman"/>
                <w:sz w:val="16"/>
                <w:szCs w:val="16"/>
                <w:lang w:val="sr-Cyrl-RS" w:eastAsia="en-GB"/>
              </w:rPr>
            </w:pPr>
          </w:p>
        </w:tc>
        <w:tc>
          <w:tcPr>
            <w:tcW w:w="1279" w:type="dxa"/>
            <w:gridSpan w:val="2"/>
            <w:vMerge/>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639" w:type="dxa"/>
            <w:gridSpan w:val="4"/>
            <w:vMerge/>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2310" w:type="dxa"/>
            <w:gridSpan w:val="7"/>
            <w:vMerge/>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p>
        </w:tc>
        <w:tc>
          <w:tcPr>
            <w:tcW w:w="1343" w:type="dxa"/>
            <w:gridSpan w:val="10"/>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Донаторска средства</w:t>
            </w:r>
          </w:p>
        </w:tc>
        <w:tc>
          <w:tcPr>
            <w:tcW w:w="1106" w:type="dxa"/>
            <w:gridSpan w:val="3"/>
            <w:vMerge/>
            <w:shd w:val="clear" w:color="000000" w:fill="FFFFFF"/>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83" w:type="dxa"/>
            <w:gridSpan w:val="5"/>
            <w:vMerge/>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86" w:type="dxa"/>
            <w:gridSpan w:val="7"/>
            <w:vMerge/>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90" w:type="dxa"/>
            <w:gridSpan w:val="8"/>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87" w:type="dxa"/>
            <w:gridSpan w:val="10"/>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331" w:type="dxa"/>
            <w:gridSpan w:val="9"/>
            <w:shd w:val="clear" w:color="auto" w:fill="auto"/>
            <w:noWrap/>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19.000*</w:t>
            </w:r>
          </w:p>
          <w:p w:rsidR="00AE3C4E" w:rsidRPr="0081082A" w:rsidRDefault="00AE3C4E" w:rsidP="00310BEC">
            <w:pPr>
              <w:spacing w:after="0" w:line="240" w:lineRule="auto"/>
              <w:jc w:val="center"/>
              <w:rPr>
                <w:rFonts w:eastAsia="Times New Roman"/>
                <w:color w:val="000000"/>
                <w:sz w:val="16"/>
                <w:szCs w:val="16"/>
                <w:lang w:val="sr-Cyrl-RS" w:eastAsia="en-GB"/>
              </w:rPr>
            </w:pPr>
          </w:p>
        </w:tc>
      </w:tr>
      <w:tr w:rsidR="00AE3C4E" w:rsidRPr="0081082A" w:rsidTr="00310BEC">
        <w:trPr>
          <w:trHeight w:val="300"/>
          <w:jc w:val="center"/>
        </w:trPr>
        <w:tc>
          <w:tcPr>
            <w:tcW w:w="16015" w:type="dxa"/>
            <w:gridSpan w:val="68"/>
            <w:shd w:val="clear" w:color="F7C3AA" w:fill="F2F2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31" w:name="_Toc73613706"/>
            <w:r w:rsidRPr="0081082A">
              <w:rPr>
                <w:rFonts w:eastAsia="Times New Roman"/>
                <w:b/>
                <w:i/>
                <w:color w:val="365F91"/>
                <w:sz w:val="18"/>
                <w:szCs w:val="18"/>
                <w:lang w:val="sr-Cyrl-RS" w:eastAsia="en-GB"/>
              </w:rPr>
              <w:t xml:space="preserve">Мера 5.3: Унапређење обухвата рачуноводствених података кроз примену </w:t>
            </w:r>
            <w:r w:rsidR="00AA75EF" w:rsidRPr="0081082A">
              <w:rPr>
                <w:rFonts w:eastAsia="Times New Roman"/>
                <w:b/>
                <w:i/>
                <w:color w:val="365F91"/>
                <w:sz w:val="18"/>
                <w:szCs w:val="18"/>
                <w:lang w:val="sr-Cyrl-RS" w:eastAsia="en-GB"/>
              </w:rPr>
              <w:t>међународних рачуноводствених</w:t>
            </w:r>
            <w:r w:rsidRPr="0081082A">
              <w:rPr>
                <w:rFonts w:eastAsia="Times New Roman"/>
                <w:b/>
                <w:i/>
                <w:color w:val="365F91"/>
                <w:sz w:val="18"/>
                <w:szCs w:val="18"/>
                <w:lang w:val="sr-Cyrl-RS" w:eastAsia="en-GB"/>
              </w:rPr>
              <w:t xml:space="preserve"> стандарда за јавни сектор</w:t>
            </w:r>
            <w:bookmarkEnd w:id="131"/>
          </w:p>
        </w:tc>
      </w:tr>
      <w:tr w:rsidR="00AE3C4E" w:rsidRPr="0081082A" w:rsidTr="00310BEC">
        <w:trPr>
          <w:trHeight w:val="237"/>
          <w:jc w:val="center"/>
        </w:trPr>
        <w:tc>
          <w:tcPr>
            <w:tcW w:w="16015" w:type="dxa"/>
            <w:gridSpan w:val="68"/>
            <w:shd w:val="clear" w:color="F7C3AA" w:fill="F2F2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32" w:name="_Toc73613707"/>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AA75EF" w:rsidRPr="0081082A">
              <w:rPr>
                <w:rFonts w:eastAsia="Times New Roman"/>
                <w:b/>
                <w:i/>
                <w:color w:val="365F91"/>
                <w:sz w:val="18"/>
                <w:szCs w:val="18"/>
                <w:lang w:val="sr-Cyrl-RS" w:eastAsia="en-GB"/>
              </w:rPr>
              <w:t>мере: Министарство</w:t>
            </w:r>
            <w:r w:rsidRPr="0081082A">
              <w:rPr>
                <w:rFonts w:eastAsia="Times New Roman"/>
                <w:b/>
                <w:i/>
                <w:color w:val="365F91"/>
                <w:sz w:val="18"/>
                <w:szCs w:val="18"/>
                <w:lang w:val="sr-Cyrl-RS" w:eastAsia="en-GB"/>
              </w:rPr>
              <w:t xml:space="preserve"> финансија- Управа за трезор</w:t>
            </w:r>
            <w:bookmarkEnd w:id="132"/>
          </w:p>
        </w:tc>
      </w:tr>
      <w:tr w:rsidR="00AE3C4E" w:rsidRPr="0081082A" w:rsidTr="00310BEC">
        <w:trPr>
          <w:trHeight w:val="282"/>
          <w:jc w:val="center"/>
        </w:trPr>
        <w:tc>
          <w:tcPr>
            <w:tcW w:w="8005" w:type="dxa"/>
            <w:gridSpan w:val="21"/>
            <w:shd w:val="clear" w:color="F7C3AA" w:fill="F2F2F2"/>
          </w:tcPr>
          <w:p w:rsidR="00AE3C4E" w:rsidRPr="0081082A" w:rsidRDefault="00AE3C4E" w:rsidP="00310BEC">
            <w:pPr>
              <w:rPr>
                <w:rFonts w:eastAsia="Times New Roman"/>
                <w:b/>
                <w:i/>
                <w:color w:val="365F91"/>
                <w:sz w:val="18"/>
                <w:szCs w:val="18"/>
                <w:lang w:val="sr-Cyrl-RS" w:eastAsia="en-GB"/>
              </w:rPr>
            </w:pPr>
            <w:r w:rsidRPr="0081082A">
              <w:rPr>
                <w:rFonts w:eastAsia="Times New Roman"/>
                <w:b/>
                <w:i/>
                <w:color w:val="365F91"/>
                <w:sz w:val="18"/>
                <w:szCs w:val="18"/>
                <w:lang w:val="sr-Cyrl-RS" w:eastAsia="en-GB"/>
              </w:rPr>
              <w:t>Период спровођења: 2021-2024</w:t>
            </w:r>
          </w:p>
        </w:tc>
        <w:tc>
          <w:tcPr>
            <w:tcW w:w="8010" w:type="dxa"/>
            <w:gridSpan w:val="47"/>
            <w:shd w:val="clear" w:color="F7C3AA" w:fill="F2F2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33" w:name="_Toc73613708"/>
            <w:r w:rsidRPr="0081082A">
              <w:rPr>
                <w:rFonts w:eastAsia="Times New Roman"/>
                <w:b/>
                <w:i/>
                <w:color w:val="365F91"/>
                <w:sz w:val="18"/>
                <w:szCs w:val="18"/>
                <w:lang w:val="sr-Cyrl-RS" w:eastAsia="en-GB"/>
              </w:rPr>
              <w:t>Тип мере: Институционално управљачко организациона</w:t>
            </w:r>
            <w:bookmarkEnd w:id="133"/>
          </w:p>
        </w:tc>
      </w:tr>
      <w:tr w:rsidR="00AE3C4E" w:rsidRPr="0081082A" w:rsidTr="00310BEC">
        <w:trPr>
          <w:gridAfter w:val="1"/>
          <w:wAfter w:w="6" w:type="dxa"/>
          <w:trHeight w:val="450"/>
          <w:jc w:val="center"/>
        </w:trPr>
        <w:tc>
          <w:tcPr>
            <w:tcW w:w="3134" w:type="dxa"/>
            <w:gridSpan w:val="4"/>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AA75EF"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2895" w:type="dxa"/>
            <w:gridSpan w:val="7"/>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424" w:type="dxa"/>
            <w:gridSpan w:val="5"/>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973" w:type="dxa"/>
            <w:gridSpan w:val="9"/>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Почетна вредност </w:t>
            </w:r>
          </w:p>
        </w:tc>
        <w:tc>
          <w:tcPr>
            <w:tcW w:w="1106" w:type="dxa"/>
            <w:gridSpan w:val="3"/>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283" w:type="dxa"/>
            <w:gridSpan w:val="5"/>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2021</w:t>
            </w:r>
          </w:p>
        </w:tc>
        <w:tc>
          <w:tcPr>
            <w:tcW w:w="1286" w:type="dxa"/>
            <w:gridSpan w:val="7"/>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290" w:type="dxa"/>
            <w:gridSpan w:val="8"/>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287" w:type="dxa"/>
            <w:gridSpan w:val="10"/>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331" w:type="dxa"/>
            <w:gridSpan w:val="9"/>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2025</w:t>
            </w:r>
          </w:p>
        </w:tc>
      </w:tr>
      <w:tr w:rsidR="00AE3C4E" w:rsidRPr="0081082A" w:rsidTr="00310BEC">
        <w:trPr>
          <w:gridAfter w:val="1"/>
          <w:wAfter w:w="6" w:type="dxa"/>
          <w:trHeight w:val="584"/>
          <w:jc w:val="center"/>
        </w:trPr>
        <w:tc>
          <w:tcPr>
            <w:tcW w:w="3134" w:type="dxa"/>
            <w:gridSpan w:val="4"/>
            <w:shd w:val="clear" w:color="000000" w:fill="FFFFFF"/>
            <w:vAlign w:val="center"/>
            <w:hideMark/>
          </w:tcPr>
          <w:p w:rsidR="00AE3C4E" w:rsidRPr="0081082A" w:rsidRDefault="00AE3C4E" w:rsidP="000C16B8">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Нацрт </w:t>
            </w:r>
            <w:r w:rsidR="00AA75EF" w:rsidRPr="0081082A">
              <w:rPr>
                <w:rFonts w:eastAsia="Times New Roman"/>
                <w:color w:val="000000"/>
                <w:sz w:val="16"/>
                <w:szCs w:val="16"/>
                <w:lang w:val="sr-Cyrl-RS" w:eastAsia="en-GB"/>
              </w:rPr>
              <w:t>Финансијског извештаја</w:t>
            </w:r>
            <w:r w:rsidRPr="0081082A">
              <w:rPr>
                <w:rFonts w:eastAsia="Times New Roman"/>
                <w:color w:val="000000"/>
                <w:sz w:val="16"/>
                <w:szCs w:val="16"/>
                <w:lang w:val="sr-Cyrl-RS" w:eastAsia="en-GB"/>
              </w:rPr>
              <w:t xml:space="preserve"> припремљен у складу са IPSAS за готовинску основу достављен Влади РС</w:t>
            </w:r>
          </w:p>
        </w:tc>
        <w:tc>
          <w:tcPr>
            <w:tcW w:w="2895" w:type="dxa"/>
            <w:gridSpan w:val="7"/>
            <w:shd w:val="clear" w:color="000000" w:fill="FFFFFF"/>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424" w:type="dxa"/>
            <w:gridSpan w:val="5"/>
            <w:shd w:val="clear" w:color="000000" w:fill="FFFFFF"/>
            <w:vAlign w:val="center"/>
            <w:hideMark/>
          </w:tcPr>
          <w:p w:rsidR="00AE3C4E" w:rsidRPr="0081082A" w:rsidRDefault="00AE3C4E" w:rsidP="00310BEC">
            <w:pPr>
              <w:spacing w:after="0" w:line="240" w:lineRule="auto"/>
              <w:jc w:val="center"/>
              <w:rPr>
                <w:rFonts w:eastAsia="Times New Roman"/>
                <w:color w:val="0563C1"/>
                <w:sz w:val="16"/>
                <w:szCs w:val="16"/>
                <w:lang w:val="sr-Cyrl-RS" w:eastAsia="en-GB"/>
              </w:rPr>
            </w:pPr>
            <w:r w:rsidRPr="0081082A">
              <w:rPr>
                <w:rFonts w:eastAsia="Times New Roman"/>
                <w:sz w:val="16"/>
                <w:szCs w:val="16"/>
                <w:lang w:val="sr-Cyrl-RS" w:eastAsia="en-GB"/>
              </w:rPr>
              <w:t>Министарство финансија</w:t>
            </w:r>
          </w:p>
        </w:tc>
        <w:tc>
          <w:tcPr>
            <w:tcW w:w="973" w:type="dxa"/>
            <w:gridSpan w:val="9"/>
            <w:shd w:val="clear" w:color="000000" w:fill="FFFFFF"/>
            <w:vAlign w:val="center"/>
            <w:hideMark/>
          </w:tcPr>
          <w:p w:rsidR="00AE3C4E" w:rsidRPr="0081082A" w:rsidRDefault="00AE3C4E" w:rsidP="00310BEC">
            <w:pPr>
              <w:spacing w:after="0" w:line="240" w:lineRule="auto"/>
              <w:jc w:val="center"/>
              <w:rPr>
                <w:rFonts w:eastAsia="Times New Roman"/>
                <w:sz w:val="16"/>
                <w:szCs w:val="16"/>
                <w:lang w:val="sr-Cyrl-RS" w:eastAsia="en-GB"/>
              </w:rPr>
            </w:pPr>
          </w:p>
        </w:tc>
        <w:tc>
          <w:tcPr>
            <w:tcW w:w="1106" w:type="dxa"/>
            <w:gridSpan w:val="3"/>
            <w:shd w:val="clear" w:color="000000" w:fill="FFFFFF"/>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283" w:type="dxa"/>
            <w:gridSpan w:val="5"/>
            <w:shd w:val="clear" w:color="000000" w:fill="FFFFFF"/>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286" w:type="dxa"/>
            <w:gridSpan w:val="7"/>
            <w:shd w:val="clear" w:color="000000" w:fill="FFFFFF"/>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290" w:type="dxa"/>
            <w:gridSpan w:val="8"/>
            <w:shd w:val="clear" w:color="000000" w:fill="FFFFFF"/>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w:t>
            </w:r>
          </w:p>
        </w:tc>
        <w:tc>
          <w:tcPr>
            <w:tcW w:w="1287" w:type="dxa"/>
            <w:gridSpan w:val="10"/>
            <w:shd w:val="clear" w:color="000000" w:fill="FFFFFF"/>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tc>
        <w:tc>
          <w:tcPr>
            <w:tcW w:w="1331" w:type="dxa"/>
            <w:gridSpan w:val="9"/>
            <w:shd w:val="clear" w:color="000000" w:fill="FFFFFF"/>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1</w:t>
            </w:r>
          </w:p>
          <w:p w:rsidR="00AE3C4E" w:rsidRPr="0081082A" w:rsidRDefault="00AE3C4E" w:rsidP="00310BEC">
            <w:pPr>
              <w:spacing w:after="0" w:line="240" w:lineRule="auto"/>
              <w:jc w:val="center"/>
              <w:rPr>
                <w:rFonts w:eastAsia="Times New Roman"/>
                <w:sz w:val="16"/>
                <w:szCs w:val="16"/>
                <w:lang w:val="sr-Cyrl-RS" w:eastAsia="en-GB"/>
              </w:rPr>
            </w:pPr>
          </w:p>
        </w:tc>
      </w:tr>
      <w:tr w:rsidR="00AE3C4E" w:rsidRPr="0081082A" w:rsidTr="00D013DF">
        <w:trPr>
          <w:gridAfter w:val="1"/>
          <w:wAfter w:w="6" w:type="dxa"/>
          <w:trHeight w:val="300"/>
          <w:jc w:val="center"/>
        </w:trPr>
        <w:tc>
          <w:tcPr>
            <w:tcW w:w="3134" w:type="dxa"/>
            <w:gridSpan w:val="4"/>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639" w:type="dxa"/>
            <w:gridSpan w:val="4"/>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Рок за завршетак </w:t>
            </w:r>
            <w:r w:rsidRPr="0081082A">
              <w:rPr>
                <w:rFonts w:eastAsia="Times New Roman"/>
                <w:b/>
                <w:bCs/>
                <w:color w:val="000000"/>
                <w:sz w:val="16"/>
                <w:szCs w:val="16"/>
                <w:lang w:val="sr-Cyrl-RS" w:eastAsia="en-GB"/>
              </w:rPr>
              <w:lastRenderedPageBreak/>
              <w:t>активности</w:t>
            </w:r>
          </w:p>
        </w:tc>
        <w:tc>
          <w:tcPr>
            <w:tcW w:w="1256" w:type="dxa"/>
            <w:gridSpan w:val="3"/>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 xml:space="preserve">Институција </w:t>
            </w:r>
            <w:r w:rsidRPr="0081082A">
              <w:rPr>
                <w:rFonts w:eastAsia="Times New Roman"/>
                <w:b/>
                <w:bCs/>
                <w:color w:val="000000"/>
                <w:sz w:val="16"/>
                <w:szCs w:val="16"/>
                <w:lang w:val="sr-Cyrl-RS" w:eastAsia="en-GB"/>
              </w:rPr>
              <w:lastRenderedPageBreak/>
              <w:t xml:space="preserve">одговорна за спровођење </w:t>
            </w:r>
          </w:p>
        </w:tc>
        <w:tc>
          <w:tcPr>
            <w:tcW w:w="1054" w:type="dxa"/>
            <w:gridSpan w:val="4"/>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 xml:space="preserve">Партнери у </w:t>
            </w:r>
            <w:r w:rsidRPr="0081082A">
              <w:rPr>
                <w:rFonts w:eastAsia="Times New Roman"/>
                <w:b/>
                <w:bCs/>
                <w:color w:val="000000"/>
                <w:sz w:val="16"/>
                <w:szCs w:val="16"/>
                <w:lang w:val="sr-Cyrl-RS" w:eastAsia="en-GB"/>
              </w:rPr>
              <w:lastRenderedPageBreak/>
              <w:t>спровођењу активности</w:t>
            </w:r>
          </w:p>
        </w:tc>
        <w:tc>
          <w:tcPr>
            <w:tcW w:w="8926" w:type="dxa"/>
            <w:gridSpan w:val="5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Укупна процењена финансијска средства по изворима у 000 дин.</w:t>
            </w:r>
          </w:p>
        </w:tc>
      </w:tr>
      <w:tr w:rsidR="00AE3C4E" w:rsidRPr="0081082A" w:rsidTr="00D013DF">
        <w:trPr>
          <w:gridAfter w:val="1"/>
          <w:wAfter w:w="6" w:type="dxa"/>
          <w:trHeight w:val="735"/>
          <w:jc w:val="center"/>
        </w:trPr>
        <w:tc>
          <w:tcPr>
            <w:tcW w:w="3134" w:type="dxa"/>
            <w:gridSpan w:val="4"/>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639" w:type="dxa"/>
            <w:gridSpan w:val="4"/>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256" w:type="dxa"/>
            <w:gridSpan w:val="3"/>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054" w:type="dxa"/>
            <w:gridSpan w:val="4"/>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337" w:type="dxa"/>
            <w:gridSpan w:val="9"/>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084"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283" w:type="dxa"/>
            <w:gridSpan w:val="5"/>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286" w:type="dxa"/>
            <w:gridSpan w:val="7"/>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290" w:type="dxa"/>
            <w:gridSpan w:val="8"/>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287" w:type="dxa"/>
            <w:gridSpan w:val="10"/>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359" w:type="dxa"/>
            <w:gridSpan w:val="10"/>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D013DF">
        <w:trPr>
          <w:gridAfter w:val="1"/>
          <w:wAfter w:w="6" w:type="dxa"/>
          <w:trHeight w:val="424"/>
          <w:jc w:val="center"/>
        </w:trPr>
        <w:tc>
          <w:tcPr>
            <w:tcW w:w="3134" w:type="dxa"/>
            <w:gridSpan w:val="4"/>
            <w:shd w:val="clear" w:color="auto" w:fill="auto"/>
            <w:vAlign w:val="center"/>
            <w:hideMark/>
          </w:tcPr>
          <w:p w:rsidR="00AE3C4E" w:rsidRPr="0081082A" w:rsidRDefault="00AA75EF"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5.3.1 Измена</w:t>
            </w:r>
            <w:r w:rsidR="00AE3C4E" w:rsidRPr="0081082A">
              <w:rPr>
                <w:rFonts w:eastAsia="Times New Roman"/>
                <w:color w:val="000000"/>
                <w:sz w:val="16"/>
                <w:szCs w:val="16"/>
                <w:lang w:val="sr-Cyrl-RS" w:eastAsia="en-GB"/>
              </w:rPr>
              <w:t xml:space="preserve"> релевантне националне регулативе ради њеног међусобног усаглашавања и усаглашавања  са захтевима  IPSAS за готовинску основу и ЕSА 2010</w:t>
            </w:r>
          </w:p>
        </w:tc>
        <w:tc>
          <w:tcPr>
            <w:tcW w:w="1639" w:type="dxa"/>
            <w:gridSpan w:val="4"/>
            <w:shd w:val="clear" w:color="auto" w:fill="auto"/>
            <w:vAlign w:val="center"/>
            <w:hideMark/>
          </w:tcPr>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Q2 2022</w:t>
            </w:r>
          </w:p>
        </w:tc>
        <w:tc>
          <w:tcPr>
            <w:tcW w:w="1256"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трезор</w:t>
            </w:r>
          </w:p>
        </w:tc>
        <w:tc>
          <w:tcPr>
            <w:tcW w:w="1054" w:type="dxa"/>
            <w:gridSpan w:val="4"/>
            <w:shd w:val="clear" w:color="auto" w:fill="auto"/>
            <w:vAlign w:val="bottom"/>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w:t>
            </w:r>
            <w:r w:rsidR="008634A6" w:rsidRPr="0081082A">
              <w:rPr>
                <w:rFonts w:eastAsia="Times New Roman"/>
                <w:color w:val="000000"/>
                <w:sz w:val="16"/>
                <w:szCs w:val="16"/>
                <w:lang w:val="sr-Cyrl-RS" w:eastAsia="en-GB"/>
              </w:rPr>
              <w:t>-</w:t>
            </w:r>
            <w:r w:rsidRPr="0081082A">
              <w:rPr>
                <w:rFonts w:eastAsia="Times New Roman"/>
                <w:color w:val="000000"/>
                <w:sz w:val="16"/>
                <w:szCs w:val="16"/>
                <w:lang w:val="sr-Cyrl-RS" w:eastAsia="en-GB"/>
              </w:rPr>
              <w:t>ство финансија</w:t>
            </w:r>
          </w:p>
        </w:tc>
        <w:tc>
          <w:tcPr>
            <w:tcW w:w="1337" w:type="dxa"/>
            <w:gridSpan w:val="9"/>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Редовна активност</w:t>
            </w:r>
          </w:p>
        </w:tc>
        <w:tc>
          <w:tcPr>
            <w:tcW w:w="1084" w:type="dxa"/>
            <w:gridSpan w:val="3"/>
            <w:shd w:val="clear" w:color="000000" w:fill="FFFFFF"/>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2301-5007</w:t>
            </w:r>
          </w:p>
        </w:tc>
        <w:tc>
          <w:tcPr>
            <w:tcW w:w="1283" w:type="dxa"/>
            <w:gridSpan w:val="5"/>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6" w:type="dxa"/>
            <w:gridSpan w:val="7"/>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90" w:type="dxa"/>
            <w:gridSpan w:val="8"/>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59"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C9514B">
        <w:trPr>
          <w:gridAfter w:val="1"/>
          <w:wAfter w:w="6" w:type="dxa"/>
          <w:trHeight w:val="1928"/>
          <w:jc w:val="center"/>
        </w:trPr>
        <w:tc>
          <w:tcPr>
            <w:tcW w:w="3134" w:type="dxa"/>
            <w:gridSpan w:val="4"/>
            <w:shd w:val="clear" w:color="auto" w:fill="auto"/>
            <w:vAlign w:val="center"/>
            <w:hideMark/>
          </w:tcPr>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5.3.2 Доношење Рачуноводствене политике за финансијско </w:t>
            </w:r>
            <w:r w:rsidR="00AA75EF" w:rsidRPr="0081082A">
              <w:rPr>
                <w:rFonts w:eastAsia="Times New Roman"/>
                <w:color w:val="000000"/>
                <w:sz w:val="16"/>
                <w:szCs w:val="16"/>
                <w:lang w:val="sr-Cyrl-RS" w:eastAsia="en-GB"/>
              </w:rPr>
              <w:t>извештавање у</w:t>
            </w:r>
            <w:r w:rsidRPr="0081082A">
              <w:rPr>
                <w:rFonts w:eastAsia="Times New Roman"/>
                <w:color w:val="000000"/>
                <w:sz w:val="16"/>
                <w:szCs w:val="16"/>
                <w:lang w:val="sr-Cyrl-RS" w:eastAsia="en-GB"/>
              </w:rPr>
              <w:t xml:space="preserve"> складу са IPSAS за готовинску основу</w:t>
            </w:r>
          </w:p>
        </w:tc>
        <w:tc>
          <w:tcPr>
            <w:tcW w:w="1639" w:type="dxa"/>
            <w:gridSpan w:val="4"/>
            <w:shd w:val="clear" w:color="auto" w:fill="auto"/>
            <w:vAlign w:val="center"/>
            <w:hideMark/>
          </w:tcPr>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Q2 2022</w:t>
            </w:r>
          </w:p>
        </w:tc>
        <w:tc>
          <w:tcPr>
            <w:tcW w:w="1256"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трезор</w:t>
            </w:r>
          </w:p>
        </w:tc>
        <w:tc>
          <w:tcPr>
            <w:tcW w:w="1054" w:type="dxa"/>
            <w:gridSpan w:val="4"/>
            <w:shd w:val="clear" w:color="auto" w:fill="auto"/>
            <w:vAlign w:val="center"/>
            <w:hideMark/>
          </w:tcPr>
          <w:p w:rsidR="00AE3C4E" w:rsidRPr="0081082A" w:rsidRDefault="00C9514B"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37" w:type="dxa"/>
            <w:gridSpan w:val="9"/>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Буџетска средства</w:t>
            </w:r>
          </w:p>
        </w:tc>
        <w:tc>
          <w:tcPr>
            <w:tcW w:w="1084"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2301-5007</w:t>
            </w:r>
          </w:p>
        </w:tc>
        <w:tc>
          <w:tcPr>
            <w:tcW w:w="1283" w:type="dxa"/>
            <w:gridSpan w:val="5"/>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6" w:type="dxa"/>
            <w:gridSpan w:val="7"/>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5.000</w:t>
            </w:r>
          </w:p>
        </w:tc>
        <w:tc>
          <w:tcPr>
            <w:tcW w:w="1290" w:type="dxa"/>
            <w:gridSpan w:val="8"/>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59" w:type="dxa"/>
            <w:gridSpan w:val="10"/>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D013DF">
        <w:trPr>
          <w:gridAfter w:val="1"/>
          <w:wAfter w:w="6" w:type="dxa"/>
          <w:trHeight w:val="810"/>
          <w:jc w:val="center"/>
        </w:trPr>
        <w:tc>
          <w:tcPr>
            <w:tcW w:w="3134" w:type="dxa"/>
            <w:gridSpan w:val="4"/>
            <w:shd w:val="clear" w:color="auto" w:fill="auto"/>
            <w:vAlign w:val="center"/>
            <w:hideMark/>
          </w:tcPr>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5.3.3 Припрема Финансијског извештаја заснованог на готовинској основи у складу са IPSAS</w:t>
            </w:r>
          </w:p>
        </w:tc>
        <w:tc>
          <w:tcPr>
            <w:tcW w:w="1639" w:type="dxa"/>
            <w:gridSpan w:val="4"/>
            <w:shd w:val="clear" w:color="auto" w:fill="auto"/>
            <w:vAlign w:val="center"/>
            <w:hideMark/>
          </w:tcPr>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Q2 2024</w:t>
            </w:r>
          </w:p>
        </w:tc>
        <w:tc>
          <w:tcPr>
            <w:tcW w:w="1256"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Управа за трезор</w:t>
            </w:r>
          </w:p>
        </w:tc>
        <w:tc>
          <w:tcPr>
            <w:tcW w:w="1054" w:type="dxa"/>
            <w:gridSpan w:val="4"/>
            <w:shd w:val="clear" w:color="auto" w:fill="auto"/>
            <w:vAlign w:val="bottom"/>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Министар</w:t>
            </w:r>
            <w:r w:rsidR="008634A6" w:rsidRPr="0081082A">
              <w:rPr>
                <w:rFonts w:eastAsia="Times New Roman"/>
                <w:color w:val="000000"/>
                <w:sz w:val="16"/>
                <w:szCs w:val="16"/>
                <w:lang w:val="sr-Cyrl-RS" w:eastAsia="en-GB"/>
              </w:rPr>
              <w:t>-</w:t>
            </w:r>
            <w:r w:rsidRPr="0081082A">
              <w:rPr>
                <w:rFonts w:eastAsia="Times New Roman"/>
                <w:color w:val="000000"/>
                <w:sz w:val="16"/>
                <w:szCs w:val="16"/>
                <w:lang w:val="sr-Cyrl-RS" w:eastAsia="en-GB"/>
              </w:rPr>
              <w:t>ство финансија </w:t>
            </w:r>
          </w:p>
        </w:tc>
        <w:tc>
          <w:tcPr>
            <w:tcW w:w="1337" w:type="dxa"/>
            <w:gridSpan w:val="9"/>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Редовна активност</w:t>
            </w:r>
          </w:p>
        </w:tc>
        <w:tc>
          <w:tcPr>
            <w:tcW w:w="1084"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2301-5007 </w:t>
            </w:r>
          </w:p>
        </w:tc>
        <w:tc>
          <w:tcPr>
            <w:tcW w:w="1283" w:type="dxa"/>
            <w:gridSpan w:val="5"/>
            <w:shd w:val="clear" w:color="auto" w:fill="auto"/>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6" w:type="dxa"/>
            <w:gridSpan w:val="7"/>
            <w:shd w:val="clear" w:color="auto" w:fill="auto"/>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90" w:type="dxa"/>
            <w:gridSpan w:val="8"/>
            <w:shd w:val="clear" w:color="auto" w:fill="auto"/>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10"/>
            <w:shd w:val="clear" w:color="auto" w:fill="auto"/>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59" w:type="dxa"/>
            <w:gridSpan w:val="10"/>
            <w:shd w:val="clear" w:color="auto" w:fill="auto"/>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trHeight w:val="289"/>
          <w:jc w:val="center"/>
        </w:trPr>
        <w:tc>
          <w:tcPr>
            <w:tcW w:w="16015" w:type="dxa"/>
            <w:gridSpan w:val="68"/>
            <w:shd w:val="clear" w:color="auto" w:fill="DEEAF6" w:themeFill="accent1" w:themeFillTint="33"/>
            <w:hideMark/>
          </w:tcPr>
          <w:p w:rsidR="00AE3C4E" w:rsidRPr="0081082A" w:rsidRDefault="00AE3C4E" w:rsidP="00310BEC">
            <w:pPr>
              <w:keepNext/>
              <w:keepLines/>
              <w:spacing w:after="0" w:line="240" w:lineRule="auto"/>
              <w:outlineLvl w:val="0"/>
              <w:rPr>
                <w:rFonts w:eastAsia="Times New Roman"/>
                <w:b/>
                <w:color w:val="365F91"/>
                <w:sz w:val="18"/>
                <w:szCs w:val="18"/>
                <w:lang w:val="sr-Cyrl-RS" w:eastAsia="en-GB"/>
              </w:rPr>
            </w:pPr>
            <w:bookmarkStart w:id="134" w:name="_Toc73613709"/>
            <w:r w:rsidRPr="0081082A">
              <w:rPr>
                <w:rFonts w:eastAsia="Times New Roman"/>
                <w:b/>
                <w:color w:val="365F91"/>
                <w:sz w:val="18"/>
                <w:szCs w:val="18"/>
                <w:lang w:val="sr-Cyrl-RS" w:eastAsia="en-GB"/>
              </w:rPr>
              <w:t>ПОСЕБНИ ЦИЉ VI: ЈАЧАЊЕ СПОЉНОГ НАДЗОРА НАД ЈАВНИМ ФИНАНСИЈАМА</w:t>
            </w:r>
            <w:bookmarkEnd w:id="134"/>
            <w:r w:rsidRPr="0081082A">
              <w:rPr>
                <w:rFonts w:eastAsia="Times New Roman"/>
                <w:b/>
                <w:color w:val="365F91"/>
                <w:sz w:val="18"/>
                <w:szCs w:val="18"/>
                <w:lang w:val="sr-Cyrl-RS" w:eastAsia="en-GB"/>
              </w:rPr>
              <w:t xml:space="preserve">  </w:t>
            </w:r>
          </w:p>
        </w:tc>
      </w:tr>
      <w:tr w:rsidR="00AE3C4E" w:rsidRPr="0081082A" w:rsidTr="00310BEC">
        <w:trPr>
          <w:gridAfter w:val="1"/>
          <w:wAfter w:w="6" w:type="dxa"/>
          <w:trHeight w:val="450"/>
          <w:jc w:val="center"/>
        </w:trPr>
        <w:tc>
          <w:tcPr>
            <w:tcW w:w="3134" w:type="dxa"/>
            <w:gridSpan w:val="4"/>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Показатељ(и) на нивоу посебног циља (показатељ исхода)</w:t>
            </w:r>
          </w:p>
        </w:tc>
        <w:tc>
          <w:tcPr>
            <w:tcW w:w="2895" w:type="dxa"/>
            <w:gridSpan w:val="7"/>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424" w:type="dxa"/>
            <w:gridSpan w:val="5"/>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973" w:type="dxa"/>
            <w:gridSpan w:val="9"/>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Почетна вредност </w:t>
            </w:r>
          </w:p>
        </w:tc>
        <w:tc>
          <w:tcPr>
            <w:tcW w:w="1106" w:type="dxa"/>
            <w:gridSpan w:val="3"/>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283" w:type="dxa"/>
            <w:gridSpan w:val="5"/>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Циљaна вредност </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286" w:type="dxa"/>
            <w:gridSpan w:val="7"/>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Циљaна вредност 2022</w:t>
            </w:r>
          </w:p>
        </w:tc>
        <w:tc>
          <w:tcPr>
            <w:tcW w:w="1290" w:type="dxa"/>
            <w:gridSpan w:val="8"/>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Циљaна вредност </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287" w:type="dxa"/>
            <w:gridSpan w:val="10"/>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Циљaна вредност </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331" w:type="dxa"/>
            <w:gridSpan w:val="9"/>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Циљaна вредност </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1500"/>
          <w:jc w:val="center"/>
        </w:trPr>
        <w:tc>
          <w:tcPr>
            <w:tcW w:w="3134" w:type="dxa"/>
            <w:gridSpan w:val="4"/>
            <w:shd w:val="clear" w:color="000000" w:fill="FFFFFF"/>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 разматраних извештаја о ревизији</w:t>
            </w:r>
          </w:p>
        </w:tc>
        <w:tc>
          <w:tcPr>
            <w:tcW w:w="2895" w:type="dxa"/>
            <w:gridSpan w:val="7"/>
            <w:shd w:val="clear" w:color="000000" w:fill="FFFFFF"/>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424" w:type="dxa"/>
            <w:gridSpan w:val="5"/>
            <w:shd w:val="clear" w:color="000000" w:fill="FFFFFF"/>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color w:val="000000"/>
                <w:sz w:val="16"/>
                <w:szCs w:val="16"/>
                <w:lang w:val="sr-Cyrl-RS" w:eastAsia="en-GB"/>
              </w:rPr>
              <w:t>Извештаји Одбора/Записни</w:t>
            </w:r>
            <w:r w:rsidR="00221D1E">
              <w:rPr>
                <w:rFonts w:eastAsia="Times New Roman"/>
                <w:color w:val="000000"/>
                <w:sz w:val="16"/>
                <w:szCs w:val="16"/>
                <w:lang w:val="sr-Cyrl-RS" w:eastAsia="en-GB"/>
              </w:rPr>
              <w:t>-</w:t>
            </w:r>
            <w:r w:rsidRPr="0081082A">
              <w:rPr>
                <w:rFonts w:eastAsia="Times New Roman"/>
                <w:color w:val="000000"/>
                <w:sz w:val="16"/>
                <w:szCs w:val="16"/>
                <w:lang w:val="sr-Cyrl-RS" w:eastAsia="en-GB"/>
              </w:rPr>
              <w:t>ци са седница Одбора</w:t>
            </w:r>
          </w:p>
        </w:tc>
        <w:tc>
          <w:tcPr>
            <w:tcW w:w="973" w:type="dxa"/>
            <w:gridSpan w:val="9"/>
            <w:shd w:val="clear" w:color="000000" w:fill="FFFFFF"/>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194</w:t>
            </w:r>
          </w:p>
        </w:tc>
        <w:tc>
          <w:tcPr>
            <w:tcW w:w="1106" w:type="dxa"/>
            <w:gridSpan w:val="3"/>
            <w:shd w:val="clear" w:color="000000" w:fill="FFFFFF"/>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2020</w:t>
            </w:r>
          </w:p>
        </w:tc>
        <w:tc>
          <w:tcPr>
            <w:tcW w:w="1283" w:type="dxa"/>
            <w:gridSpan w:val="5"/>
            <w:shd w:val="clear" w:color="000000" w:fill="FFFFFF"/>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205</w:t>
            </w:r>
          </w:p>
        </w:tc>
        <w:tc>
          <w:tcPr>
            <w:tcW w:w="1286" w:type="dxa"/>
            <w:gridSpan w:val="7"/>
            <w:shd w:val="clear" w:color="000000" w:fill="FFFFFF"/>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215</w:t>
            </w:r>
          </w:p>
        </w:tc>
        <w:tc>
          <w:tcPr>
            <w:tcW w:w="1290" w:type="dxa"/>
            <w:gridSpan w:val="8"/>
            <w:shd w:val="clear" w:color="000000" w:fill="FFFFFF"/>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225</w:t>
            </w:r>
          </w:p>
        </w:tc>
        <w:tc>
          <w:tcPr>
            <w:tcW w:w="1287" w:type="dxa"/>
            <w:gridSpan w:val="10"/>
            <w:shd w:val="clear" w:color="000000" w:fill="FFFFFF"/>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235</w:t>
            </w:r>
          </w:p>
        </w:tc>
        <w:tc>
          <w:tcPr>
            <w:tcW w:w="1331" w:type="dxa"/>
            <w:gridSpan w:val="9"/>
            <w:shd w:val="clear" w:color="000000" w:fill="FFFFFF"/>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245</w:t>
            </w:r>
          </w:p>
        </w:tc>
      </w:tr>
      <w:tr w:rsidR="00AE3C4E" w:rsidRPr="0081082A" w:rsidTr="00310BEC">
        <w:trPr>
          <w:gridAfter w:val="1"/>
          <w:wAfter w:w="6" w:type="dxa"/>
          <w:trHeight w:val="1500"/>
          <w:jc w:val="center"/>
        </w:trPr>
        <w:tc>
          <w:tcPr>
            <w:tcW w:w="16009" w:type="dxa"/>
            <w:gridSpan w:val="67"/>
            <w:shd w:val="clear" w:color="000000" w:fill="FFFFFF"/>
            <w:vAlign w:val="center"/>
          </w:tcPr>
          <w:tbl>
            <w:tblPr>
              <w:tblW w:w="16009"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3145"/>
              <w:gridCol w:w="1636"/>
              <w:gridCol w:w="1248"/>
              <w:gridCol w:w="9"/>
              <w:gridCol w:w="898"/>
              <w:gridCol w:w="528"/>
              <w:gridCol w:w="560"/>
              <w:gridCol w:w="396"/>
              <w:gridCol w:w="17"/>
              <w:gridCol w:w="1069"/>
              <w:gridCol w:w="24"/>
              <w:gridCol w:w="1261"/>
              <w:gridCol w:w="24"/>
              <w:gridCol w:w="1263"/>
              <w:gridCol w:w="24"/>
              <w:gridCol w:w="1267"/>
              <w:gridCol w:w="24"/>
              <w:gridCol w:w="1263"/>
              <w:gridCol w:w="24"/>
              <w:gridCol w:w="1245"/>
              <w:gridCol w:w="84"/>
            </w:tblGrid>
            <w:tr w:rsidR="00AE3C4E" w:rsidRPr="0081082A" w:rsidTr="00310BEC">
              <w:trPr>
                <w:trHeight w:val="300"/>
                <w:jc w:val="center"/>
              </w:trPr>
              <w:tc>
                <w:tcPr>
                  <w:tcW w:w="16009" w:type="dxa"/>
                  <w:gridSpan w:val="21"/>
                  <w:shd w:val="clear" w:color="FFFFCC" w:fill="F2F2F2"/>
                  <w:vAlign w:val="center"/>
                </w:tcPr>
                <w:p w:rsidR="00AE3C4E" w:rsidRPr="0081082A" w:rsidRDefault="00AE3C4E" w:rsidP="00310BEC">
                  <w:pPr>
                    <w:spacing w:after="0" w:line="240" w:lineRule="auto"/>
                    <w:rPr>
                      <w:rFonts w:eastAsia="Times New Roman"/>
                      <w:b/>
                      <w:bCs/>
                      <w:i/>
                      <w:color w:val="000000"/>
                      <w:sz w:val="16"/>
                      <w:szCs w:val="16"/>
                      <w:lang w:val="sr-Cyrl-RS" w:eastAsia="en-GB"/>
                    </w:rPr>
                  </w:pPr>
                  <w:r w:rsidRPr="0081082A">
                    <w:rPr>
                      <w:rFonts w:eastAsia="Times New Roman"/>
                      <w:b/>
                      <w:bCs/>
                      <w:i/>
                      <w:color w:val="1F4E79" w:themeColor="accent1" w:themeShade="80"/>
                      <w:sz w:val="18"/>
                      <w:szCs w:val="16"/>
                      <w:lang w:val="sr-Cyrl-RS" w:eastAsia="en-GB"/>
                    </w:rPr>
                    <w:lastRenderedPageBreak/>
                    <w:t>Мера 6.1: Унапређење обухвата, квалитета и утицаја екстерних ревизија (у складу са Стратешким планом Државне ревизорске институције (ДРИ)</w:t>
                  </w:r>
                </w:p>
              </w:tc>
            </w:tr>
            <w:tr w:rsidR="00AE3C4E" w:rsidRPr="0081082A" w:rsidTr="00310BEC">
              <w:trPr>
                <w:trHeight w:val="273"/>
                <w:jc w:val="center"/>
              </w:trPr>
              <w:tc>
                <w:tcPr>
                  <w:tcW w:w="16009" w:type="dxa"/>
                  <w:gridSpan w:val="21"/>
                  <w:shd w:val="clear" w:color="FFFFCC" w:fill="F2F2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35" w:name="_Toc73613710"/>
                  <w:r w:rsidRPr="0081082A">
                    <w:rPr>
                      <w:rFonts w:eastAsia="Times New Roman"/>
                      <w:b/>
                      <w:i/>
                      <w:color w:val="365F91"/>
                      <w:sz w:val="18"/>
                      <w:szCs w:val="18"/>
                      <w:lang w:val="sr-Cyrl-RS" w:eastAsia="en-GB"/>
                    </w:rPr>
                    <w:t>Институција одговорна за спровођење (координацију спровођења) мере: Државна ревизорска институција</w:t>
                  </w:r>
                  <w:bookmarkEnd w:id="135"/>
                </w:p>
              </w:tc>
            </w:tr>
            <w:tr w:rsidR="00AE3C4E" w:rsidRPr="0081082A" w:rsidTr="00310BEC">
              <w:trPr>
                <w:gridAfter w:val="1"/>
                <w:wAfter w:w="84" w:type="dxa"/>
                <w:trHeight w:val="255"/>
                <w:jc w:val="center"/>
              </w:trPr>
              <w:tc>
                <w:tcPr>
                  <w:tcW w:w="8024" w:type="dxa"/>
                  <w:gridSpan w:val="7"/>
                  <w:shd w:val="clear" w:color="F7C3AA" w:fill="F2F2F2"/>
                  <w:hideMark/>
                </w:tcPr>
                <w:p w:rsidR="00AE3C4E" w:rsidRPr="0081082A" w:rsidRDefault="00AE3C4E" w:rsidP="00310BEC">
                  <w:pPr>
                    <w:rPr>
                      <w:rFonts w:eastAsia="Times New Roman"/>
                      <w:b/>
                      <w:i/>
                      <w:color w:val="365F91"/>
                      <w:sz w:val="18"/>
                      <w:szCs w:val="18"/>
                      <w:lang w:val="sr-Cyrl-RS" w:eastAsia="en-GB"/>
                    </w:rPr>
                  </w:pPr>
                  <w:r w:rsidRPr="0081082A">
                    <w:rPr>
                      <w:rFonts w:eastAsia="Times New Roman"/>
                      <w:b/>
                      <w:i/>
                      <w:color w:val="365F91"/>
                      <w:sz w:val="18"/>
                      <w:szCs w:val="18"/>
                      <w:lang w:val="sr-Cyrl-RS" w:eastAsia="en-GB"/>
                    </w:rPr>
                    <w:t>Период спровођења: 2021-2025</w:t>
                  </w:r>
                </w:p>
              </w:tc>
              <w:tc>
                <w:tcPr>
                  <w:tcW w:w="7901" w:type="dxa"/>
                  <w:gridSpan w:val="13"/>
                  <w:shd w:val="clear" w:color="F7C3AA" w:fill="F2F2F2"/>
                </w:tcPr>
                <w:p w:rsidR="00AE3C4E" w:rsidRPr="0081082A" w:rsidRDefault="00AE3C4E" w:rsidP="00310BEC">
                  <w:pPr>
                    <w:rPr>
                      <w:rFonts w:eastAsia="Times New Roman"/>
                      <w:b/>
                      <w:i/>
                      <w:color w:val="365F91"/>
                      <w:sz w:val="18"/>
                      <w:szCs w:val="18"/>
                      <w:lang w:val="sr-Cyrl-RS" w:eastAsia="en-GB"/>
                    </w:rPr>
                  </w:pPr>
                  <w:r w:rsidRPr="0081082A">
                    <w:rPr>
                      <w:rFonts w:eastAsia="Times New Roman"/>
                      <w:b/>
                      <w:i/>
                      <w:color w:val="365F91"/>
                      <w:sz w:val="18"/>
                      <w:szCs w:val="18"/>
                      <w:lang w:val="sr-Cyrl-RS" w:eastAsia="en-GB"/>
                    </w:rPr>
                    <w:t>Тип мере: Институционално управљачко организациона</w:t>
                  </w:r>
                </w:p>
              </w:tc>
            </w:tr>
            <w:tr w:rsidR="00AE3C4E" w:rsidRPr="0081082A" w:rsidTr="00310BEC">
              <w:trPr>
                <w:trHeight w:val="450"/>
                <w:jc w:val="center"/>
              </w:trPr>
              <w:tc>
                <w:tcPr>
                  <w:tcW w:w="3145" w:type="dxa"/>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AA75EF"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2893" w:type="dxa"/>
                  <w:gridSpan w:val="3"/>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426" w:type="dxa"/>
                  <w:gridSpan w:val="2"/>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973" w:type="dxa"/>
                  <w:gridSpan w:val="3"/>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Почетна вредност </w:t>
                  </w:r>
                </w:p>
              </w:tc>
              <w:tc>
                <w:tcPr>
                  <w:tcW w:w="1093" w:type="dxa"/>
                  <w:gridSpan w:val="2"/>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285" w:type="dxa"/>
                  <w:gridSpan w:val="2"/>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2021</w:t>
                  </w:r>
                </w:p>
              </w:tc>
              <w:tc>
                <w:tcPr>
                  <w:tcW w:w="1287" w:type="dxa"/>
                  <w:gridSpan w:val="2"/>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2022</w:t>
                  </w:r>
                </w:p>
              </w:tc>
              <w:tc>
                <w:tcPr>
                  <w:tcW w:w="1291" w:type="dxa"/>
                  <w:gridSpan w:val="2"/>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2023</w:t>
                  </w:r>
                </w:p>
              </w:tc>
              <w:tc>
                <w:tcPr>
                  <w:tcW w:w="1287" w:type="dxa"/>
                  <w:gridSpan w:val="2"/>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2024</w:t>
                  </w:r>
                </w:p>
              </w:tc>
              <w:tc>
                <w:tcPr>
                  <w:tcW w:w="1329" w:type="dxa"/>
                  <w:gridSpan w:val="2"/>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trHeight w:val="491"/>
                <w:jc w:val="center"/>
              </w:trPr>
              <w:tc>
                <w:tcPr>
                  <w:tcW w:w="3145" w:type="dxa"/>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 извештаја о ревизији</w:t>
                  </w:r>
                </w:p>
              </w:tc>
              <w:tc>
                <w:tcPr>
                  <w:tcW w:w="2893"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426"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Извештај о раду ДРИ</w:t>
                  </w:r>
                </w:p>
              </w:tc>
              <w:tc>
                <w:tcPr>
                  <w:tcW w:w="973" w:type="dxa"/>
                  <w:gridSpan w:val="3"/>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254</w:t>
                  </w:r>
                </w:p>
              </w:tc>
              <w:tc>
                <w:tcPr>
                  <w:tcW w:w="1093"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285"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260</w:t>
                  </w:r>
                </w:p>
              </w:tc>
              <w:tc>
                <w:tcPr>
                  <w:tcW w:w="1287"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270</w:t>
                  </w:r>
                </w:p>
              </w:tc>
              <w:tc>
                <w:tcPr>
                  <w:tcW w:w="1291"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280</w:t>
                  </w:r>
                </w:p>
              </w:tc>
              <w:tc>
                <w:tcPr>
                  <w:tcW w:w="1287"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290</w:t>
                  </w:r>
                </w:p>
              </w:tc>
              <w:tc>
                <w:tcPr>
                  <w:tcW w:w="1329"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300</w:t>
                  </w:r>
                </w:p>
              </w:tc>
            </w:tr>
            <w:tr w:rsidR="00AE3C4E" w:rsidRPr="0081082A" w:rsidTr="00310BEC">
              <w:trPr>
                <w:trHeight w:val="697"/>
                <w:jc w:val="center"/>
              </w:trPr>
              <w:tc>
                <w:tcPr>
                  <w:tcW w:w="3145" w:type="dxa"/>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 запослених</w:t>
                  </w:r>
                </w:p>
              </w:tc>
              <w:tc>
                <w:tcPr>
                  <w:tcW w:w="2893" w:type="dxa"/>
                  <w:gridSpan w:val="3"/>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426"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Извештај о раду ДРИ</w:t>
                  </w:r>
                </w:p>
              </w:tc>
              <w:tc>
                <w:tcPr>
                  <w:tcW w:w="973" w:type="dxa"/>
                  <w:gridSpan w:val="3"/>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331</w:t>
                  </w:r>
                </w:p>
              </w:tc>
              <w:tc>
                <w:tcPr>
                  <w:tcW w:w="1093"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285"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360</w:t>
                  </w:r>
                </w:p>
              </w:tc>
              <w:tc>
                <w:tcPr>
                  <w:tcW w:w="1287"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374</w:t>
                  </w:r>
                </w:p>
              </w:tc>
              <w:tc>
                <w:tcPr>
                  <w:tcW w:w="1291"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388</w:t>
                  </w:r>
                </w:p>
              </w:tc>
              <w:tc>
                <w:tcPr>
                  <w:tcW w:w="1287"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402</w:t>
                  </w:r>
                </w:p>
              </w:tc>
              <w:tc>
                <w:tcPr>
                  <w:tcW w:w="1329"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416</w:t>
                  </w:r>
                </w:p>
              </w:tc>
            </w:tr>
            <w:tr w:rsidR="00AE3C4E" w:rsidRPr="0081082A" w:rsidTr="00310BEC">
              <w:trPr>
                <w:trHeight w:val="975"/>
                <w:jc w:val="center"/>
              </w:trPr>
              <w:tc>
                <w:tcPr>
                  <w:tcW w:w="3145" w:type="dxa"/>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 следећих области обухваћених ревизијама сврсисходности пословања: социјална заштита, опште јавне услуге, одбрана, јавни ред и безбедност, економски послови, заштита животне средине, послови становања и заједнице, здравство, рекреација, спорт, култура и вера, образовање.</w:t>
                  </w:r>
                </w:p>
              </w:tc>
              <w:tc>
                <w:tcPr>
                  <w:tcW w:w="2893" w:type="dxa"/>
                  <w:gridSpan w:val="3"/>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426"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Извештај о раду ДРИ</w:t>
                  </w:r>
                </w:p>
              </w:tc>
              <w:tc>
                <w:tcPr>
                  <w:tcW w:w="973" w:type="dxa"/>
                  <w:gridSpan w:val="3"/>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7</w:t>
                  </w:r>
                </w:p>
              </w:tc>
              <w:tc>
                <w:tcPr>
                  <w:tcW w:w="1093"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285"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7</w:t>
                  </w:r>
                </w:p>
              </w:tc>
              <w:tc>
                <w:tcPr>
                  <w:tcW w:w="1287"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w:t>
                  </w:r>
                </w:p>
              </w:tc>
              <w:tc>
                <w:tcPr>
                  <w:tcW w:w="1291"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8</w:t>
                  </w:r>
                </w:p>
              </w:tc>
              <w:tc>
                <w:tcPr>
                  <w:tcW w:w="1287"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9</w:t>
                  </w:r>
                </w:p>
              </w:tc>
              <w:tc>
                <w:tcPr>
                  <w:tcW w:w="1329"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9</w:t>
                  </w:r>
                </w:p>
              </w:tc>
            </w:tr>
            <w:tr w:rsidR="00AE3C4E" w:rsidRPr="0081082A" w:rsidTr="00310BEC">
              <w:trPr>
                <w:trHeight w:val="545"/>
                <w:jc w:val="center"/>
              </w:trPr>
              <w:tc>
                <w:tcPr>
                  <w:tcW w:w="3145" w:type="dxa"/>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 прегледа ради контроле квалитета и уверавања у квалитет</w:t>
                  </w:r>
                </w:p>
              </w:tc>
              <w:tc>
                <w:tcPr>
                  <w:tcW w:w="2893"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426"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Извештај о раду ДРИ</w:t>
                  </w:r>
                </w:p>
              </w:tc>
              <w:tc>
                <w:tcPr>
                  <w:tcW w:w="973" w:type="dxa"/>
                  <w:gridSpan w:val="3"/>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w:t>
                  </w:r>
                </w:p>
              </w:tc>
              <w:tc>
                <w:tcPr>
                  <w:tcW w:w="1093"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285"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24</w:t>
                  </w:r>
                </w:p>
              </w:tc>
              <w:tc>
                <w:tcPr>
                  <w:tcW w:w="1287"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28</w:t>
                  </w:r>
                </w:p>
              </w:tc>
              <w:tc>
                <w:tcPr>
                  <w:tcW w:w="1291"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32</w:t>
                  </w:r>
                </w:p>
              </w:tc>
              <w:tc>
                <w:tcPr>
                  <w:tcW w:w="1287"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36</w:t>
                  </w:r>
                </w:p>
              </w:tc>
              <w:tc>
                <w:tcPr>
                  <w:tcW w:w="1329"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40</w:t>
                  </w:r>
                </w:p>
              </w:tc>
            </w:tr>
            <w:tr w:rsidR="00AE3C4E" w:rsidRPr="0081082A" w:rsidTr="00310BEC">
              <w:trPr>
                <w:trHeight w:val="566"/>
                <w:jc w:val="center"/>
              </w:trPr>
              <w:tc>
                <w:tcPr>
                  <w:tcW w:w="3145" w:type="dxa"/>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Удео ревизија пословања (правилности и сврсисходности) у годишњем Програму ревизије ДРИ</w:t>
                  </w:r>
                </w:p>
              </w:tc>
              <w:tc>
                <w:tcPr>
                  <w:tcW w:w="2893" w:type="dxa"/>
                  <w:gridSpan w:val="3"/>
                  <w:shd w:val="clear" w:color="auto" w:fill="auto"/>
                  <w:vAlign w:val="center"/>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Проценат (%)</w:t>
                  </w:r>
                </w:p>
              </w:tc>
              <w:tc>
                <w:tcPr>
                  <w:tcW w:w="1426"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Извештај о раду ДРИ</w:t>
                  </w:r>
                </w:p>
              </w:tc>
              <w:tc>
                <w:tcPr>
                  <w:tcW w:w="973" w:type="dxa"/>
                  <w:gridSpan w:val="3"/>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40%</w:t>
                  </w:r>
                </w:p>
              </w:tc>
              <w:tc>
                <w:tcPr>
                  <w:tcW w:w="1093"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2020</w:t>
                  </w:r>
                </w:p>
              </w:tc>
              <w:tc>
                <w:tcPr>
                  <w:tcW w:w="1285"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43%</w:t>
                  </w:r>
                </w:p>
              </w:tc>
              <w:tc>
                <w:tcPr>
                  <w:tcW w:w="1287"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46%</w:t>
                  </w:r>
                </w:p>
              </w:tc>
              <w:tc>
                <w:tcPr>
                  <w:tcW w:w="1291"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49%</w:t>
                  </w:r>
                </w:p>
              </w:tc>
              <w:tc>
                <w:tcPr>
                  <w:tcW w:w="1287"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52%</w:t>
                  </w:r>
                </w:p>
              </w:tc>
              <w:tc>
                <w:tcPr>
                  <w:tcW w:w="1329" w:type="dxa"/>
                  <w:gridSpan w:val="2"/>
                  <w:shd w:val="clear" w:color="auto" w:fill="auto"/>
                  <w:vAlign w:val="center"/>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55%</w:t>
                  </w:r>
                </w:p>
              </w:tc>
            </w:tr>
            <w:tr w:rsidR="00AE3C4E" w:rsidRPr="0081082A" w:rsidTr="00310BEC">
              <w:trPr>
                <w:trHeight w:val="300"/>
                <w:jc w:val="center"/>
              </w:trPr>
              <w:tc>
                <w:tcPr>
                  <w:tcW w:w="3145" w:type="dxa"/>
                  <w:vMerge w:val="restart"/>
                  <w:shd w:val="clear" w:color="FFFFCC"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Назив активности:</w:t>
                  </w:r>
                </w:p>
              </w:tc>
              <w:tc>
                <w:tcPr>
                  <w:tcW w:w="1636" w:type="dxa"/>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48" w:type="dxa"/>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Институција одговорна за спровођење </w:t>
                  </w:r>
                </w:p>
              </w:tc>
              <w:tc>
                <w:tcPr>
                  <w:tcW w:w="907" w:type="dxa"/>
                  <w:gridSpan w:val="2"/>
                  <w:vMerge w:val="restart"/>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9073" w:type="dxa"/>
                  <w:gridSpan w:val="16"/>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по изворима у 000 дин.</w:t>
                  </w:r>
                </w:p>
              </w:tc>
            </w:tr>
            <w:tr w:rsidR="00AE3C4E" w:rsidRPr="0081082A" w:rsidTr="00310BEC">
              <w:trPr>
                <w:trHeight w:val="645"/>
                <w:jc w:val="center"/>
              </w:trPr>
              <w:tc>
                <w:tcPr>
                  <w:tcW w:w="3145" w:type="dxa"/>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636" w:type="dxa"/>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248" w:type="dxa"/>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907" w:type="dxa"/>
                  <w:gridSpan w:val="2"/>
                  <w:vMerge/>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484"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086" w:type="dxa"/>
                  <w:gridSpan w:val="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285" w:type="dxa"/>
                  <w:gridSpan w:val="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287" w:type="dxa"/>
                  <w:gridSpan w:val="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291" w:type="dxa"/>
                  <w:gridSpan w:val="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287" w:type="dxa"/>
                  <w:gridSpan w:val="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353"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trHeight w:val="1200"/>
                <w:jc w:val="center"/>
              </w:trPr>
              <w:tc>
                <w:tcPr>
                  <w:tcW w:w="3145" w:type="dxa"/>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6.1.1 Даље јачање екстерне ревизије кроз континуирано унапређење поступака ревизије</w:t>
                  </w:r>
                </w:p>
              </w:tc>
              <w:tc>
                <w:tcPr>
                  <w:tcW w:w="1636" w:type="dxa"/>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48" w:type="dxa"/>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ДРИ</w:t>
                  </w:r>
                </w:p>
              </w:tc>
              <w:tc>
                <w:tcPr>
                  <w:tcW w:w="907"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Субјекти ревизије</w:t>
                  </w:r>
                </w:p>
              </w:tc>
              <w:tc>
                <w:tcPr>
                  <w:tcW w:w="1484" w:type="dxa"/>
                  <w:gridSpan w:val="3"/>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Буџетска средства</w:t>
                  </w:r>
                </w:p>
              </w:tc>
              <w:tc>
                <w:tcPr>
                  <w:tcW w:w="1086" w:type="dxa"/>
                  <w:gridSpan w:val="2"/>
                  <w:shd w:val="clear" w:color="auto" w:fill="auto"/>
                  <w:hideMark/>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2304</w:t>
                  </w:r>
                </w:p>
              </w:tc>
              <w:tc>
                <w:tcPr>
                  <w:tcW w:w="1285" w:type="dxa"/>
                  <w:gridSpan w:val="2"/>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2"/>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91" w:type="dxa"/>
                  <w:gridSpan w:val="2"/>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highlight w:val="green"/>
                      <w:lang w:val="sr-Cyrl-RS" w:eastAsia="en-GB"/>
                    </w:rPr>
                  </w:pPr>
                </w:p>
                <w:p w:rsidR="00AE3C4E" w:rsidRPr="0081082A" w:rsidRDefault="00AE3C4E" w:rsidP="00310BEC">
                  <w:pPr>
                    <w:jc w:val="center"/>
                    <w:rPr>
                      <w:rFonts w:eastAsia="Times New Roman"/>
                      <w:sz w:val="16"/>
                      <w:szCs w:val="16"/>
                      <w:highlight w:val="green"/>
                      <w:lang w:val="sr-Cyrl-RS" w:eastAsia="en-GB"/>
                    </w:rPr>
                  </w:pPr>
                  <w:r w:rsidRPr="0081082A">
                    <w:rPr>
                      <w:rFonts w:eastAsia="Times New Roman"/>
                      <w:sz w:val="16"/>
                      <w:szCs w:val="16"/>
                      <w:lang w:val="sr-Cyrl-RS" w:eastAsia="en-GB"/>
                    </w:rPr>
                    <w:t>-</w:t>
                  </w:r>
                </w:p>
              </w:tc>
              <w:tc>
                <w:tcPr>
                  <w:tcW w:w="1287" w:type="dxa"/>
                  <w:gridSpan w:val="2"/>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highlight w:val="green"/>
                      <w:lang w:val="sr-Cyrl-RS" w:eastAsia="en-GB"/>
                    </w:rPr>
                  </w:pPr>
                  <w:r w:rsidRPr="0081082A">
                    <w:rPr>
                      <w:rFonts w:eastAsia="Times New Roman"/>
                      <w:color w:val="000000"/>
                      <w:sz w:val="16"/>
                      <w:szCs w:val="16"/>
                      <w:lang w:val="sr-Cyrl-RS" w:eastAsia="en-GB"/>
                    </w:rPr>
                    <w:t>-</w:t>
                  </w:r>
                </w:p>
              </w:tc>
              <w:tc>
                <w:tcPr>
                  <w:tcW w:w="1353"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310BEC">
              <w:trPr>
                <w:trHeight w:val="1200"/>
                <w:jc w:val="center"/>
              </w:trPr>
              <w:tc>
                <w:tcPr>
                  <w:tcW w:w="3145" w:type="dxa"/>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6.1.2 Представљање извештаја о обављеним ревизијама надлежном Одбору и Пододбору ради разматрања налаза и препорука ДРИ и унапређења одговорности и транспарентности у трошењу јавних средстава</w:t>
                  </w:r>
                </w:p>
              </w:tc>
              <w:tc>
                <w:tcPr>
                  <w:tcW w:w="1636" w:type="dxa"/>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Q4 2025</w:t>
                  </w:r>
                </w:p>
              </w:tc>
              <w:tc>
                <w:tcPr>
                  <w:tcW w:w="1248" w:type="dxa"/>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ДРИ</w:t>
                  </w:r>
                </w:p>
              </w:tc>
              <w:tc>
                <w:tcPr>
                  <w:tcW w:w="907"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Народна скупшти</w:t>
                  </w:r>
                  <w:r w:rsidR="008634A6" w:rsidRPr="0081082A">
                    <w:rPr>
                      <w:rFonts w:eastAsia="Times New Roman"/>
                      <w:sz w:val="16"/>
                      <w:szCs w:val="16"/>
                      <w:lang w:val="sr-Cyrl-RS" w:eastAsia="en-GB"/>
                    </w:rPr>
                    <w:t>-</w:t>
                  </w:r>
                  <w:r w:rsidRPr="0081082A">
                    <w:rPr>
                      <w:rFonts w:eastAsia="Times New Roman"/>
                      <w:sz w:val="16"/>
                      <w:szCs w:val="16"/>
                      <w:lang w:val="sr-Cyrl-RS" w:eastAsia="en-GB"/>
                    </w:rPr>
                    <w:t>на – Одбор за финанси</w:t>
                  </w:r>
                  <w:r w:rsidR="008634A6" w:rsidRPr="0081082A">
                    <w:rPr>
                      <w:rFonts w:eastAsia="Times New Roman"/>
                      <w:sz w:val="16"/>
                      <w:szCs w:val="16"/>
                      <w:lang w:val="sr-Cyrl-RS" w:eastAsia="en-GB"/>
                    </w:rPr>
                    <w:t>-</w:t>
                  </w:r>
                  <w:r w:rsidRPr="0081082A">
                    <w:rPr>
                      <w:rFonts w:eastAsia="Times New Roman"/>
                      <w:sz w:val="16"/>
                      <w:szCs w:val="16"/>
                      <w:lang w:val="sr-Cyrl-RS" w:eastAsia="en-GB"/>
                    </w:rPr>
                    <w:t>је, републи</w:t>
                  </w:r>
                  <w:r w:rsidR="008634A6" w:rsidRPr="0081082A">
                    <w:rPr>
                      <w:rFonts w:eastAsia="Times New Roman"/>
                      <w:sz w:val="16"/>
                      <w:szCs w:val="16"/>
                      <w:lang w:val="sr-Cyrl-RS" w:eastAsia="en-GB"/>
                    </w:rPr>
                    <w:t>-</w:t>
                  </w:r>
                  <w:r w:rsidRPr="0081082A">
                    <w:rPr>
                      <w:rFonts w:eastAsia="Times New Roman"/>
                      <w:sz w:val="16"/>
                      <w:szCs w:val="16"/>
                      <w:lang w:val="sr-Cyrl-RS" w:eastAsia="en-GB"/>
                    </w:rPr>
                    <w:t>чки буџет и контролу трошења јавних средстава и Подод</w:t>
                  </w:r>
                  <w:r w:rsidR="008634A6" w:rsidRPr="0081082A">
                    <w:rPr>
                      <w:rFonts w:eastAsia="Times New Roman"/>
                      <w:sz w:val="16"/>
                      <w:szCs w:val="16"/>
                      <w:lang w:val="sr-Cyrl-RS" w:eastAsia="en-GB"/>
                    </w:rPr>
                    <w:t>-</w:t>
                  </w:r>
                  <w:r w:rsidRPr="0081082A">
                    <w:rPr>
                      <w:rFonts w:eastAsia="Times New Roman"/>
                      <w:sz w:val="16"/>
                      <w:szCs w:val="16"/>
                      <w:lang w:val="sr-Cyrl-RS" w:eastAsia="en-GB"/>
                    </w:rPr>
                    <w:t>бор за разматра</w:t>
                  </w:r>
                  <w:r w:rsidR="008634A6" w:rsidRPr="0081082A">
                    <w:rPr>
                      <w:rFonts w:eastAsia="Times New Roman"/>
                      <w:sz w:val="16"/>
                      <w:szCs w:val="16"/>
                      <w:lang w:val="sr-Cyrl-RS" w:eastAsia="en-GB"/>
                    </w:rPr>
                    <w:t>-</w:t>
                  </w:r>
                  <w:r w:rsidRPr="0081082A">
                    <w:rPr>
                      <w:rFonts w:eastAsia="Times New Roman"/>
                      <w:sz w:val="16"/>
                      <w:szCs w:val="16"/>
                      <w:lang w:val="sr-Cyrl-RS" w:eastAsia="en-GB"/>
                    </w:rPr>
                    <w:t>ње извештаја о обавље</w:t>
                  </w:r>
                  <w:r w:rsidR="008634A6" w:rsidRPr="0081082A">
                    <w:rPr>
                      <w:rFonts w:eastAsia="Times New Roman"/>
                      <w:sz w:val="16"/>
                      <w:szCs w:val="16"/>
                      <w:lang w:val="sr-Cyrl-RS" w:eastAsia="en-GB"/>
                    </w:rPr>
                    <w:t>-</w:t>
                  </w:r>
                  <w:r w:rsidRPr="0081082A">
                    <w:rPr>
                      <w:rFonts w:eastAsia="Times New Roman"/>
                      <w:sz w:val="16"/>
                      <w:szCs w:val="16"/>
                      <w:lang w:val="sr-Cyrl-RS" w:eastAsia="en-GB"/>
                    </w:rPr>
                    <w:t>ним ревизија</w:t>
                  </w:r>
                  <w:r w:rsidR="008634A6" w:rsidRPr="0081082A">
                    <w:rPr>
                      <w:rFonts w:eastAsia="Times New Roman"/>
                      <w:sz w:val="16"/>
                      <w:szCs w:val="16"/>
                      <w:lang w:val="sr-Cyrl-RS" w:eastAsia="en-GB"/>
                    </w:rPr>
                    <w:t>-</w:t>
                  </w:r>
                  <w:r w:rsidRPr="0081082A">
                    <w:rPr>
                      <w:rFonts w:eastAsia="Times New Roman"/>
                      <w:sz w:val="16"/>
                      <w:szCs w:val="16"/>
                      <w:lang w:val="sr-Cyrl-RS" w:eastAsia="en-GB"/>
                    </w:rPr>
                    <w:t>ма ДРИ</w:t>
                  </w:r>
                </w:p>
              </w:tc>
              <w:tc>
                <w:tcPr>
                  <w:tcW w:w="1484" w:type="dxa"/>
                  <w:gridSpan w:val="3"/>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Буџетска средства</w:t>
                  </w:r>
                </w:p>
              </w:tc>
              <w:tc>
                <w:tcPr>
                  <w:tcW w:w="1086" w:type="dxa"/>
                  <w:gridSpan w:val="2"/>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2304</w:t>
                  </w:r>
                </w:p>
              </w:tc>
              <w:tc>
                <w:tcPr>
                  <w:tcW w:w="1285" w:type="dxa"/>
                  <w:gridSpan w:val="2"/>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2"/>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91" w:type="dxa"/>
                  <w:gridSpan w:val="2"/>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2"/>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53" w:type="dxa"/>
                  <w:gridSpan w:val="3"/>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bl>
          <w:p w:rsidR="00AE3C4E" w:rsidRPr="0081082A" w:rsidRDefault="00AE3C4E" w:rsidP="00310BEC">
            <w:pPr>
              <w:spacing w:after="0" w:line="240" w:lineRule="auto"/>
              <w:jc w:val="right"/>
              <w:rPr>
                <w:rFonts w:eastAsia="Times New Roman"/>
                <w:sz w:val="16"/>
                <w:szCs w:val="16"/>
                <w:lang w:val="sr-Cyrl-RS" w:eastAsia="en-GB"/>
              </w:rPr>
            </w:pPr>
          </w:p>
        </w:tc>
      </w:tr>
      <w:tr w:rsidR="00AE3C4E" w:rsidRPr="0081082A" w:rsidTr="00310BEC">
        <w:trPr>
          <w:trHeight w:val="300"/>
          <w:jc w:val="center"/>
        </w:trPr>
        <w:tc>
          <w:tcPr>
            <w:tcW w:w="16015" w:type="dxa"/>
            <w:gridSpan w:val="68"/>
            <w:shd w:val="clear" w:color="F7C3AA" w:fill="F2F2F2"/>
            <w:hideMark/>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36" w:name="_Toc73613711"/>
            <w:r w:rsidRPr="0081082A">
              <w:rPr>
                <w:rFonts w:eastAsia="Times New Roman"/>
                <w:b/>
                <w:i/>
                <w:color w:val="365F91"/>
                <w:sz w:val="18"/>
                <w:szCs w:val="18"/>
                <w:lang w:val="sr-Cyrl-RS" w:eastAsia="en-GB"/>
              </w:rPr>
              <w:lastRenderedPageBreak/>
              <w:t>Мера 6.2: Обезбеђивање ефикасног скупштинског надзора над јавним финансијама</w:t>
            </w:r>
            <w:bookmarkEnd w:id="136"/>
          </w:p>
        </w:tc>
      </w:tr>
      <w:tr w:rsidR="00AE3C4E" w:rsidRPr="0081082A" w:rsidTr="00310BEC">
        <w:trPr>
          <w:trHeight w:val="300"/>
          <w:jc w:val="center"/>
        </w:trPr>
        <w:tc>
          <w:tcPr>
            <w:tcW w:w="16015" w:type="dxa"/>
            <w:gridSpan w:val="68"/>
            <w:shd w:val="clear" w:color="F7C3AA" w:fill="F2F2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37" w:name="_Toc73613712"/>
            <w:r w:rsidRPr="0081082A">
              <w:rPr>
                <w:rFonts w:eastAsia="Times New Roman"/>
                <w:b/>
                <w:i/>
                <w:color w:val="365F91"/>
                <w:sz w:val="18"/>
                <w:szCs w:val="18"/>
                <w:lang w:val="sr-Cyrl-RS" w:eastAsia="en-GB"/>
              </w:rPr>
              <w:t xml:space="preserve">Институција одговорна за спровођење (координацију спровођења) </w:t>
            </w:r>
            <w:r w:rsidR="00592C07" w:rsidRPr="0081082A">
              <w:rPr>
                <w:rFonts w:eastAsia="Times New Roman"/>
                <w:b/>
                <w:i/>
                <w:color w:val="365F91"/>
                <w:sz w:val="18"/>
                <w:szCs w:val="18"/>
                <w:lang w:val="sr-Cyrl-RS" w:eastAsia="en-GB"/>
              </w:rPr>
              <w:t>мере: Народна</w:t>
            </w:r>
            <w:r w:rsidRPr="0081082A">
              <w:rPr>
                <w:rFonts w:eastAsia="Times New Roman"/>
                <w:b/>
                <w:i/>
                <w:color w:val="365F91"/>
                <w:sz w:val="18"/>
                <w:szCs w:val="18"/>
                <w:lang w:val="sr-Cyrl-RS" w:eastAsia="en-GB"/>
              </w:rPr>
              <w:t xml:space="preserve"> скупштина- Одбор за финансије, републички буџет и контролу трошења јавних средстава</w:t>
            </w:r>
            <w:bookmarkEnd w:id="137"/>
          </w:p>
        </w:tc>
      </w:tr>
      <w:tr w:rsidR="00AE3C4E" w:rsidRPr="0081082A" w:rsidTr="00310BEC">
        <w:trPr>
          <w:trHeight w:val="300"/>
          <w:jc w:val="center"/>
        </w:trPr>
        <w:tc>
          <w:tcPr>
            <w:tcW w:w="8005" w:type="dxa"/>
            <w:gridSpan w:val="21"/>
            <w:shd w:val="clear" w:color="F7C3AA" w:fill="F2F2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38" w:name="_Toc73613713"/>
            <w:r w:rsidRPr="0081082A">
              <w:rPr>
                <w:rFonts w:eastAsia="Times New Roman"/>
                <w:b/>
                <w:i/>
                <w:color w:val="365F91"/>
                <w:sz w:val="18"/>
                <w:szCs w:val="18"/>
                <w:lang w:val="sr-Cyrl-RS" w:eastAsia="en-GB"/>
              </w:rPr>
              <w:t>Период спровођења: 2021-2025</w:t>
            </w:r>
            <w:bookmarkEnd w:id="138"/>
          </w:p>
        </w:tc>
        <w:tc>
          <w:tcPr>
            <w:tcW w:w="8010" w:type="dxa"/>
            <w:gridSpan w:val="47"/>
            <w:shd w:val="clear" w:color="F7C3AA" w:fill="F2F2F2"/>
          </w:tcPr>
          <w:p w:rsidR="00AE3C4E" w:rsidRPr="0081082A" w:rsidRDefault="00AE3C4E" w:rsidP="00310BEC">
            <w:pPr>
              <w:keepNext/>
              <w:keepLines/>
              <w:spacing w:after="0" w:line="240" w:lineRule="auto"/>
              <w:outlineLvl w:val="1"/>
              <w:rPr>
                <w:rFonts w:eastAsia="Times New Roman"/>
                <w:b/>
                <w:i/>
                <w:color w:val="365F91"/>
                <w:sz w:val="18"/>
                <w:szCs w:val="18"/>
                <w:lang w:val="sr-Cyrl-RS" w:eastAsia="en-GB"/>
              </w:rPr>
            </w:pPr>
            <w:bookmarkStart w:id="139" w:name="_Toc73613714"/>
            <w:r w:rsidRPr="0081082A">
              <w:rPr>
                <w:rFonts w:eastAsia="Times New Roman"/>
                <w:b/>
                <w:i/>
                <w:color w:val="365F91"/>
                <w:sz w:val="18"/>
                <w:szCs w:val="18"/>
                <w:lang w:val="sr-Cyrl-RS" w:eastAsia="en-GB"/>
              </w:rPr>
              <w:t>Тип мере: Институционално управљачко организациона</w:t>
            </w:r>
            <w:bookmarkEnd w:id="139"/>
          </w:p>
        </w:tc>
      </w:tr>
      <w:tr w:rsidR="00AE3C4E" w:rsidRPr="0081082A" w:rsidTr="00310BEC">
        <w:trPr>
          <w:gridAfter w:val="1"/>
          <w:wAfter w:w="6" w:type="dxa"/>
          <w:trHeight w:val="450"/>
          <w:jc w:val="center"/>
        </w:trPr>
        <w:tc>
          <w:tcPr>
            <w:tcW w:w="3134" w:type="dxa"/>
            <w:gridSpan w:val="4"/>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Показатељ(</w:t>
            </w:r>
            <w:r w:rsidR="00592C07" w:rsidRPr="0081082A">
              <w:rPr>
                <w:rFonts w:eastAsia="Times New Roman"/>
                <w:b/>
                <w:bCs/>
                <w:color w:val="000000"/>
                <w:sz w:val="16"/>
                <w:szCs w:val="16"/>
                <w:lang w:val="sr-Cyrl-RS" w:eastAsia="en-GB"/>
              </w:rPr>
              <w:t>и) на</w:t>
            </w:r>
            <w:r w:rsidRPr="0081082A">
              <w:rPr>
                <w:rFonts w:eastAsia="Times New Roman"/>
                <w:b/>
                <w:bCs/>
                <w:color w:val="000000"/>
                <w:sz w:val="16"/>
                <w:szCs w:val="16"/>
                <w:lang w:val="sr-Cyrl-RS" w:eastAsia="en-GB"/>
              </w:rPr>
              <w:t xml:space="preserve"> нивоу мере (показатељ резултата)</w:t>
            </w:r>
          </w:p>
        </w:tc>
        <w:tc>
          <w:tcPr>
            <w:tcW w:w="2895" w:type="dxa"/>
            <w:gridSpan w:val="7"/>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Јединица мере</w:t>
            </w:r>
          </w:p>
        </w:tc>
        <w:tc>
          <w:tcPr>
            <w:tcW w:w="1424" w:type="dxa"/>
            <w:gridSpan w:val="5"/>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провере</w:t>
            </w:r>
          </w:p>
        </w:tc>
        <w:tc>
          <w:tcPr>
            <w:tcW w:w="973" w:type="dxa"/>
            <w:gridSpan w:val="9"/>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Почетна вредност </w:t>
            </w:r>
          </w:p>
        </w:tc>
        <w:tc>
          <w:tcPr>
            <w:tcW w:w="1106" w:type="dxa"/>
            <w:gridSpan w:val="3"/>
            <w:shd w:val="clear" w:color="D7E3EE"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Базна година</w:t>
            </w:r>
          </w:p>
        </w:tc>
        <w:tc>
          <w:tcPr>
            <w:tcW w:w="1283" w:type="dxa"/>
            <w:gridSpan w:val="5"/>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2021</w:t>
            </w:r>
          </w:p>
        </w:tc>
        <w:tc>
          <w:tcPr>
            <w:tcW w:w="1286" w:type="dxa"/>
            <w:gridSpan w:val="7"/>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 2022</w:t>
            </w:r>
          </w:p>
        </w:tc>
        <w:tc>
          <w:tcPr>
            <w:tcW w:w="1290" w:type="dxa"/>
            <w:gridSpan w:val="8"/>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287" w:type="dxa"/>
            <w:gridSpan w:val="10"/>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331" w:type="dxa"/>
            <w:gridSpan w:val="9"/>
            <w:shd w:val="clear" w:color="D7E3EE"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Циљана вредност</w:t>
            </w:r>
          </w:p>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310BEC">
        <w:trPr>
          <w:gridAfter w:val="1"/>
          <w:wAfter w:w="6" w:type="dxa"/>
          <w:trHeight w:val="832"/>
          <w:jc w:val="center"/>
        </w:trPr>
        <w:tc>
          <w:tcPr>
            <w:tcW w:w="3134" w:type="dxa"/>
            <w:gridSpan w:val="4"/>
            <w:shd w:val="clear" w:color="auto" w:fill="auto"/>
            <w:vAlign w:val="center"/>
            <w:hideMark/>
          </w:tcPr>
          <w:p w:rsidR="00AE3C4E" w:rsidRPr="0081082A" w:rsidRDefault="00AE3C4E" w:rsidP="00310BEC">
            <w:pPr>
              <w:pStyle w:val="CommentText"/>
              <w:jc w:val="center"/>
              <w:rPr>
                <w:rFonts w:ascii="Calibri" w:eastAsia="Times New Roman" w:hAnsi="Calibri"/>
                <w:sz w:val="16"/>
                <w:szCs w:val="16"/>
                <w:lang w:val="sr-Cyrl-RS" w:eastAsia="en-GB"/>
              </w:rPr>
            </w:pPr>
            <w:r w:rsidRPr="0081082A">
              <w:rPr>
                <w:rFonts w:ascii="Calibri" w:eastAsia="Times New Roman" w:hAnsi="Calibri"/>
                <w:sz w:val="16"/>
                <w:szCs w:val="16"/>
                <w:lang w:val="sr-Cyrl-RS" w:eastAsia="en-GB"/>
              </w:rPr>
              <w:t>Разматрање годишњег извештаја о раду ДРИ са усвајањем предлога закључка</w:t>
            </w:r>
          </w:p>
          <w:p w:rsidR="00AE3C4E" w:rsidRPr="0081082A" w:rsidRDefault="00AE3C4E" w:rsidP="00310BEC">
            <w:pPr>
              <w:spacing w:after="0" w:line="240" w:lineRule="auto"/>
              <w:jc w:val="center"/>
              <w:rPr>
                <w:rFonts w:eastAsia="Times New Roman"/>
                <w:sz w:val="16"/>
                <w:szCs w:val="16"/>
                <w:lang w:val="sr-Cyrl-RS" w:eastAsia="en-GB"/>
              </w:rPr>
            </w:pPr>
          </w:p>
        </w:tc>
        <w:tc>
          <w:tcPr>
            <w:tcW w:w="2895" w:type="dxa"/>
            <w:gridSpan w:val="7"/>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424" w:type="dxa"/>
            <w:gridSpan w:val="5"/>
            <w:shd w:val="clear" w:color="auto" w:fill="auto"/>
            <w:vAlign w:val="center"/>
            <w:hideMark/>
          </w:tcPr>
          <w:p w:rsidR="00AE3C4E" w:rsidRPr="0081082A" w:rsidRDefault="00AE3C4E" w:rsidP="00310BEC">
            <w:pPr>
              <w:pStyle w:val="CommentText"/>
              <w:jc w:val="center"/>
              <w:rPr>
                <w:rFonts w:ascii="Calibri" w:eastAsia="Times New Roman" w:hAnsi="Calibri"/>
                <w:sz w:val="16"/>
                <w:szCs w:val="16"/>
                <w:lang w:val="sr-Cyrl-RS" w:eastAsia="en-GB"/>
              </w:rPr>
            </w:pPr>
            <w:r w:rsidRPr="0081082A">
              <w:rPr>
                <w:rFonts w:ascii="Calibri" w:eastAsia="Times New Roman" w:hAnsi="Calibri"/>
                <w:sz w:val="16"/>
                <w:szCs w:val="16"/>
                <w:lang w:val="sr-Cyrl-RS" w:eastAsia="en-GB"/>
              </w:rPr>
              <w:t>Извештај Одбора/Записник са седнице Одбора</w:t>
            </w:r>
          </w:p>
        </w:tc>
        <w:tc>
          <w:tcPr>
            <w:tcW w:w="973" w:type="dxa"/>
            <w:gridSpan w:val="9"/>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106" w:type="dxa"/>
            <w:gridSpan w:val="3"/>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2020</w:t>
            </w:r>
          </w:p>
        </w:tc>
        <w:tc>
          <w:tcPr>
            <w:tcW w:w="1283" w:type="dxa"/>
            <w:gridSpan w:val="5"/>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286" w:type="dxa"/>
            <w:gridSpan w:val="7"/>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290" w:type="dxa"/>
            <w:gridSpan w:val="8"/>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287" w:type="dxa"/>
            <w:gridSpan w:val="10"/>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331" w:type="dxa"/>
            <w:gridSpan w:val="9"/>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r>
      <w:tr w:rsidR="00AE3C4E" w:rsidRPr="0081082A" w:rsidTr="00310BEC">
        <w:trPr>
          <w:gridAfter w:val="1"/>
          <w:wAfter w:w="6" w:type="dxa"/>
          <w:trHeight w:val="507"/>
          <w:jc w:val="center"/>
        </w:trPr>
        <w:tc>
          <w:tcPr>
            <w:tcW w:w="3134" w:type="dxa"/>
            <w:gridSpan w:val="4"/>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Одржавање седнице/састанка Одбора за разматрање препорука за измене закона у присуству ДРИ и Министарства финансија</w:t>
            </w:r>
          </w:p>
        </w:tc>
        <w:tc>
          <w:tcPr>
            <w:tcW w:w="2895" w:type="dxa"/>
            <w:gridSpan w:val="7"/>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Број</w:t>
            </w:r>
          </w:p>
        </w:tc>
        <w:tc>
          <w:tcPr>
            <w:tcW w:w="1424" w:type="dxa"/>
            <w:gridSpan w:val="5"/>
            <w:shd w:val="clear" w:color="auto" w:fill="auto"/>
            <w:vAlign w:val="center"/>
            <w:hideMark/>
          </w:tcPr>
          <w:p w:rsidR="00AE3C4E" w:rsidRPr="0081082A" w:rsidRDefault="00AE3C4E" w:rsidP="00310BEC">
            <w:pPr>
              <w:pStyle w:val="CommentText"/>
              <w:jc w:val="center"/>
              <w:rPr>
                <w:rFonts w:ascii="Calibri" w:eastAsia="Times New Roman" w:hAnsi="Calibri"/>
                <w:sz w:val="16"/>
                <w:szCs w:val="16"/>
                <w:lang w:val="sr-Cyrl-RS" w:eastAsia="en-GB"/>
              </w:rPr>
            </w:pPr>
            <w:r w:rsidRPr="0081082A">
              <w:rPr>
                <w:rFonts w:ascii="Calibri" w:eastAsia="Times New Roman" w:hAnsi="Calibri"/>
                <w:sz w:val="16"/>
                <w:szCs w:val="16"/>
                <w:lang w:val="sr-Cyrl-RS" w:eastAsia="en-GB"/>
              </w:rPr>
              <w:t>Записник са седнице/састанка</w:t>
            </w:r>
          </w:p>
        </w:tc>
        <w:tc>
          <w:tcPr>
            <w:tcW w:w="973" w:type="dxa"/>
            <w:gridSpan w:val="9"/>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106" w:type="dxa"/>
            <w:gridSpan w:val="3"/>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2020</w:t>
            </w:r>
          </w:p>
        </w:tc>
        <w:tc>
          <w:tcPr>
            <w:tcW w:w="1283" w:type="dxa"/>
            <w:gridSpan w:val="5"/>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286" w:type="dxa"/>
            <w:gridSpan w:val="7"/>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290" w:type="dxa"/>
            <w:gridSpan w:val="8"/>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287" w:type="dxa"/>
            <w:gridSpan w:val="10"/>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c>
          <w:tcPr>
            <w:tcW w:w="1331" w:type="dxa"/>
            <w:gridSpan w:val="9"/>
            <w:shd w:val="clear" w:color="auto" w:fill="auto"/>
            <w:vAlign w:val="center"/>
            <w:hideMark/>
          </w:tcPr>
          <w:p w:rsidR="00AE3C4E" w:rsidRPr="0081082A" w:rsidRDefault="00AE3C4E" w:rsidP="00310BEC">
            <w:pPr>
              <w:spacing w:after="0" w:line="240" w:lineRule="auto"/>
              <w:jc w:val="both"/>
              <w:rPr>
                <w:rFonts w:eastAsia="Times New Roman"/>
                <w:sz w:val="16"/>
                <w:szCs w:val="16"/>
                <w:lang w:val="sr-Cyrl-RS" w:eastAsia="en-GB"/>
              </w:rPr>
            </w:pPr>
            <w:r w:rsidRPr="0081082A">
              <w:rPr>
                <w:rFonts w:eastAsia="Times New Roman"/>
                <w:sz w:val="16"/>
                <w:szCs w:val="16"/>
                <w:lang w:val="sr-Cyrl-RS" w:eastAsia="en-GB"/>
              </w:rPr>
              <w:t>1</w:t>
            </w:r>
          </w:p>
        </w:tc>
      </w:tr>
      <w:tr w:rsidR="00AE3C4E" w:rsidRPr="0081082A" w:rsidTr="00D013DF">
        <w:trPr>
          <w:gridAfter w:val="1"/>
          <w:wAfter w:w="6" w:type="dxa"/>
          <w:trHeight w:val="300"/>
          <w:jc w:val="center"/>
        </w:trPr>
        <w:tc>
          <w:tcPr>
            <w:tcW w:w="3134" w:type="dxa"/>
            <w:gridSpan w:val="4"/>
            <w:shd w:val="clear" w:color="FFFFCC" w:fill="F2F2F2"/>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r w:rsidRPr="0081082A">
              <w:rPr>
                <w:rFonts w:eastAsia="Times New Roman"/>
                <w:b/>
                <w:bCs/>
                <w:color w:val="000000"/>
                <w:sz w:val="16"/>
                <w:szCs w:val="16"/>
                <w:lang w:val="sr-Cyrl-RS" w:eastAsia="en-GB"/>
              </w:rPr>
              <w:lastRenderedPageBreak/>
              <w:t>Назив активности:</w:t>
            </w:r>
          </w:p>
        </w:tc>
        <w:tc>
          <w:tcPr>
            <w:tcW w:w="1646" w:type="dxa"/>
            <w:gridSpan w:val="5"/>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Рок за завршетак активности</w:t>
            </w:r>
          </w:p>
        </w:tc>
        <w:tc>
          <w:tcPr>
            <w:tcW w:w="1257"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 xml:space="preserve">Институција одговорна за спровођење </w:t>
            </w:r>
          </w:p>
        </w:tc>
        <w:tc>
          <w:tcPr>
            <w:tcW w:w="1046"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Партнери у спровођењу активности</w:t>
            </w:r>
          </w:p>
        </w:tc>
        <w:tc>
          <w:tcPr>
            <w:tcW w:w="8926" w:type="dxa"/>
            <w:gridSpan w:val="52"/>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Укупна процењена финансијска средства по изворима у 000 дин</w:t>
            </w:r>
          </w:p>
        </w:tc>
      </w:tr>
      <w:tr w:rsidR="00AE3C4E" w:rsidRPr="0081082A" w:rsidTr="00D013DF">
        <w:trPr>
          <w:trHeight w:val="652"/>
          <w:jc w:val="center"/>
        </w:trPr>
        <w:tc>
          <w:tcPr>
            <w:tcW w:w="7083" w:type="dxa"/>
            <w:gridSpan w:val="15"/>
            <w:vAlign w:val="center"/>
            <w:hideMark/>
          </w:tcPr>
          <w:p w:rsidR="00AE3C4E" w:rsidRPr="0081082A" w:rsidRDefault="00AE3C4E" w:rsidP="00310BEC">
            <w:pPr>
              <w:spacing w:after="0" w:line="240" w:lineRule="auto"/>
              <w:rPr>
                <w:rFonts w:eastAsia="Times New Roman"/>
                <w:b/>
                <w:bCs/>
                <w:color w:val="000000"/>
                <w:sz w:val="16"/>
                <w:szCs w:val="16"/>
                <w:lang w:val="sr-Cyrl-RS" w:eastAsia="en-GB"/>
              </w:rPr>
            </w:pPr>
          </w:p>
        </w:tc>
        <w:tc>
          <w:tcPr>
            <w:tcW w:w="1371" w:type="dxa"/>
            <w:gridSpan w:val="11"/>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Извор финансирања</w:t>
            </w:r>
          </w:p>
        </w:tc>
        <w:tc>
          <w:tcPr>
            <w:tcW w:w="1093" w:type="dxa"/>
            <w:gridSpan w:val="3"/>
            <w:shd w:val="clear" w:color="FFFFCC" w:fill="F2F2F2"/>
            <w:vAlign w:val="center"/>
            <w:hideMark/>
          </w:tcPr>
          <w:p w:rsidR="00AE3C4E" w:rsidRPr="0081082A" w:rsidRDefault="00AE3C4E" w:rsidP="00310BEC">
            <w:pPr>
              <w:spacing w:after="0" w:line="240" w:lineRule="auto"/>
              <w:jc w:val="center"/>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Веза са програмским буџетом (ПР-ПА/ПЈ)</w:t>
            </w:r>
          </w:p>
        </w:tc>
        <w:tc>
          <w:tcPr>
            <w:tcW w:w="1285" w:type="dxa"/>
            <w:gridSpan w:val="5"/>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2021</w:t>
            </w:r>
          </w:p>
        </w:tc>
        <w:tc>
          <w:tcPr>
            <w:tcW w:w="1291" w:type="dxa"/>
            <w:gridSpan w:val="7"/>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2022</w:t>
            </w:r>
          </w:p>
        </w:tc>
        <w:tc>
          <w:tcPr>
            <w:tcW w:w="1291" w:type="dxa"/>
            <w:gridSpan w:val="8"/>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2023</w:t>
            </w:r>
          </w:p>
        </w:tc>
        <w:tc>
          <w:tcPr>
            <w:tcW w:w="1287" w:type="dxa"/>
            <w:gridSpan w:val="10"/>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2024</w:t>
            </w:r>
          </w:p>
        </w:tc>
        <w:tc>
          <w:tcPr>
            <w:tcW w:w="1314" w:type="dxa"/>
            <w:gridSpan w:val="9"/>
            <w:shd w:val="clear" w:color="FFFFCC" w:fill="F2F2F2"/>
            <w:vAlign w:val="center"/>
            <w:hideMark/>
          </w:tcPr>
          <w:p w:rsidR="00AE3C4E" w:rsidRPr="0081082A" w:rsidRDefault="00AE3C4E" w:rsidP="00310BEC">
            <w:pPr>
              <w:spacing w:after="0" w:line="240" w:lineRule="auto"/>
              <w:jc w:val="right"/>
              <w:rPr>
                <w:rFonts w:eastAsia="Times New Roman"/>
                <w:b/>
                <w:bCs/>
                <w:color w:val="000000"/>
                <w:sz w:val="16"/>
                <w:szCs w:val="16"/>
                <w:lang w:val="sr-Cyrl-RS" w:eastAsia="en-GB"/>
              </w:rPr>
            </w:pPr>
            <w:r w:rsidRPr="0081082A">
              <w:rPr>
                <w:rFonts w:eastAsia="Times New Roman"/>
                <w:b/>
                <w:bCs/>
                <w:color w:val="000000"/>
                <w:sz w:val="16"/>
                <w:szCs w:val="16"/>
                <w:lang w:val="sr-Cyrl-RS" w:eastAsia="en-GB"/>
              </w:rPr>
              <w:t>2025</w:t>
            </w:r>
          </w:p>
        </w:tc>
      </w:tr>
      <w:tr w:rsidR="00AE3C4E" w:rsidRPr="0081082A" w:rsidTr="00D013DF">
        <w:trPr>
          <w:trHeight w:val="2969"/>
          <w:jc w:val="center"/>
        </w:trPr>
        <w:tc>
          <w:tcPr>
            <w:tcW w:w="3147" w:type="dxa"/>
            <w:gridSpan w:val="5"/>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6.2.1 Jaчање контролне функције Народне скупштине организацијом седница/састанака Одбора и Пододбора за разматрање извештаја о обављеним ревизијама ДРИ</w:t>
            </w:r>
          </w:p>
        </w:tc>
        <w:tc>
          <w:tcPr>
            <w:tcW w:w="1652" w:type="dxa"/>
            <w:gridSpan w:val="5"/>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Q4 2025</w:t>
            </w:r>
          </w:p>
        </w:tc>
        <w:tc>
          <w:tcPr>
            <w:tcW w:w="1260" w:type="dxa"/>
            <w:gridSpan w:val="3"/>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Народна скупштина - Одбор за финансије, републички буџет и контролу трошења јавних средстава -Пододбор за разматрање извештаја о обављеним ревизијама ДРИ</w:t>
            </w:r>
          </w:p>
        </w:tc>
        <w:tc>
          <w:tcPr>
            <w:tcW w:w="1024"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Државна ревизор</w:t>
            </w:r>
            <w:r w:rsidR="00D013DF" w:rsidRPr="0081082A">
              <w:rPr>
                <w:rFonts w:eastAsia="Times New Roman"/>
                <w:sz w:val="16"/>
                <w:szCs w:val="16"/>
                <w:lang w:val="sr-Cyrl-RS" w:eastAsia="en-GB"/>
              </w:rPr>
              <w:t>-</w:t>
            </w:r>
            <w:r w:rsidRPr="0081082A">
              <w:rPr>
                <w:rFonts w:eastAsia="Times New Roman"/>
                <w:sz w:val="16"/>
                <w:szCs w:val="16"/>
                <w:lang w:val="sr-Cyrl-RS" w:eastAsia="en-GB"/>
              </w:rPr>
              <w:t>ска институ</w:t>
            </w:r>
            <w:r w:rsidR="00D013DF" w:rsidRPr="0081082A">
              <w:rPr>
                <w:rFonts w:eastAsia="Times New Roman"/>
                <w:sz w:val="16"/>
                <w:szCs w:val="16"/>
                <w:lang w:val="sr-Cyrl-RS" w:eastAsia="en-GB"/>
              </w:rPr>
              <w:t>-</w:t>
            </w:r>
            <w:r w:rsidRPr="0081082A">
              <w:rPr>
                <w:rFonts w:eastAsia="Times New Roman"/>
                <w:sz w:val="16"/>
                <w:szCs w:val="16"/>
                <w:lang w:val="sr-Cyrl-RS" w:eastAsia="en-GB"/>
              </w:rPr>
              <w:t>ција</w:t>
            </w:r>
          </w:p>
        </w:tc>
        <w:tc>
          <w:tcPr>
            <w:tcW w:w="1371" w:type="dxa"/>
            <w:gridSpan w:val="11"/>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p>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Буџетска средства</w:t>
            </w:r>
          </w:p>
          <w:p w:rsidR="00AE3C4E" w:rsidRPr="0081082A" w:rsidRDefault="00AE3C4E" w:rsidP="00310BEC">
            <w:pPr>
              <w:spacing w:after="0" w:line="240" w:lineRule="auto"/>
              <w:jc w:val="center"/>
              <w:rPr>
                <w:rFonts w:eastAsia="Times New Roman"/>
                <w:sz w:val="16"/>
                <w:szCs w:val="16"/>
                <w:lang w:val="sr-Cyrl-RS" w:eastAsia="en-GB"/>
              </w:rPr>
            </w:pPr>
          </w:p>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 (</w:t>
            </w:r>
            <w:r w:rsidRPr="0081082A">
              <w:rPr>
                <w:rFonts w:eastAsia="Times New Roman"/>
                <w:i/>
                <w:sz w:val="16"/>
                <w:szCs w:val="16"/>
                <w:lang w:val="sr-Cyrl-RS" w:eastAsia="en-GB"/>
              </w:rPr>
              <w:t>UNDP</w:t>
            </w:r>
            <w:r w:rsidRPr="0081082A">
              <w:rPr>
                <w:rFonts w:eastAsia="Times New Roman"/>
                <w:sz w:val="16"/>
                <w:szCs w:val="16"/>
                <w:lang w:val="sr-Cyrl-RS" w:eastAsia="en-GB"/>
              </w:rPr>
              <w:t>)</w:t>
            </w:r>
          </w:p>
        </w:tc>
        <w:tc>
          <w:tcPr>
            <w:tcW w:w="1093"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rPr>
                <w:rFonts w:eastAsia="Times New Roman"/>
                <w:color w:val="000000"/>
                <w:sz w:val="16"/>
                <w:szCs w:val="16"/>
                <w:lang w:val="sr-Cyrl-RS" w:eastAsia="en-GB"/>
              </w:rPr>
            </w:pPr>
            <w:r w:rsidRPr="0081082A">
              <w:rPr>
                <w:rFonts w:eastAsia="Times New Roman"/>
                <w:color w:val="000000"/>
                <w:sz w:val="16"/>
                <w:szCs w:val="16"/>
                <w:lang w:val="sr-Cyrl-RS" w:eastAsia="en-GB"/>
              </w:rPr>
              <w:t xml:space="preserve">   2101-0003</w:t>
            </w: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85" w:type="dxa"/>
            <w:gridSpan w:val="5"/>
            <w:shd w:val="clear" w:color="auto" w:fill="auto"/>
            <w:noWrap/>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p>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2.000*</w:t>
            </w:r>
          </w:p>
          <w:p w:rsidR="00AE3C4E" w:rsidRPr="0081082A" w:rsidRDefault="00AE3C4E" w:rsidP="00310BEC">
            <w:pPr>
              <w:spacing w:after="0" w:line="240" w:lineRule="auto"/>
              <w:jc w:val="right"/>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p>
        </w:tc>
        <w:tc>
          <w:tcPr>
            <w:tcW w:w="1291" w:type="dxa"/>
            <w:gridSpan w:val="7"/>
            <w:shd w:val="clear" w:color="auto" w:fill="auto"/>
            <w:noWrap/>
            <w:vAlign w:val="center"/>
            <w:hideMark/>
          </w:tcPr>
          <w:p w:rsidR="00AE3C4E" w:rsidRPr="0081082A" w:rsidRDefault="00AE3C4E" w:rsidP="00310BEC">
            <w:pPr>
              <w:spacing w:after="0" w:line="240" w:lineRule="auto"/>
              <w:jc w:val="right"/>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p>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2.000*</w:t>
            </w:r>
          </w:p>
          <w:p w:rsidR="00AE3C4E" w:rsidRPr="0081082A" w:rsidRDefault="00AE3C4E" w:rsidP="00310BEC">
            <w:pPr>
              <w:spacing w:after="0" w:line="240" w:lineRule="auto"/>
              <w:jc w:val="right"/>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p>
        </w:tc>
        <w:tc>
          <w:tcPr>
            <w:tcW w:w="1291" w:type="dxa"/>
            <w:gridSpan w:val="8"/>
            <w:shd w:val="clear" w:color="auto" w:fill="auto"/>
            <w:noWrap/>
            <w:vAlign w:val="center"/>
            <w:hideMark/>
          </w:tcPr>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2.000* </w:t>
            </w:r>
          </w:p>
        </w:tc>
        <w:tc>
          <w:tcPr>
            <w:tcW w:w="1287" w:type="dxa"/>
            <w:gridSpan w:val="10"/>
            <w:shd w:val="clear" w:color="auto" w:fill="auto"/>
            <w:noWrap/>
            <w:vAlign w:val="center"/>
          </w:tcPr>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2.000 *</w:t>
            </w:r>
          </w:p>
        </w:tc>
        <w:tc>
          <w:tcPr>
            <w:tcW w:w="1314" w:type="dxa"/>
            <w:gridSpan w:val="9"/>
            <w:shd w:val="clear" w:color="auto" w:fill="auto"/>
            <w:noWrap/>
            <w:vAlign w:val="center"/>
          </w:tcPr>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right"/>
              <w:rPr>
                <w:rFonts w:eastAsia="Times New Roman"/>
                <w:color w:val="000000"/>
                <w:sz w:val="16"/>
                <w:szCs w:val="16"/>
                <w:lang w:val="sr-Cyrl-RS" w:eastAsia="en-GB"/>
              </w:rPr>
            </w:pPr>
            <w:r w:rsidRPr="0081082A">
              <w:rPr>
                <w:rFonts w:eastAsia="Times New Roman"/>
                <w:color w:val="000000"/>
                <w:sz w:val="16"/>
                <w:szCs w:val="16"/>
                <w:lang w:val="sr-Cyrl-RS" w:eastAsia="en-GB"/>
              </w:rPr>
              <w:t>2.000* </w:t>
            </w:r>
          </w:p>
        </w:tc>
      </w:tr>
      <w:tr w:rsidR="00AE3C4E" w:rsidRPr="0081082A" w:rsidTr="00D013DF">
        <w:trPr>
          <w:trHeight w:val="990"/>
          <w:jc w:val="center"/>
        </w:trPr>
        <w:tc>
          <w:tcPr>
            <w:tcW w:w="3147" w:type="dxa"/>
            <w:gridSpan w:val="5"/>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6.2.2 Ангажовање према потреби стручних лица у циљу бољег разматрања поступања субјеката по закључцима, налазима и препорукама садржаним у ревизорским извештајима ДРИ</w:t>
            </w:r>
          </w:p>
        </w:tc>
        <w:tc>
          <w:tcPr>
            <w:tcW w:w="1652" w:type="dxa"/>
            <w:gridSpan w:val="5"/>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Q4 2025</w:t>
            </w:r>
          </w:p>
        </w:tc>
        <w:tc>
          <w:tcPr>
            <w:tcW w:w="1260" w:type="dxa"/>
            <w:gridSpan w:val="3"/>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 xml:space="preserve">Народна скупштина - Одбор за финансије, републички буџет и контролу трошења </w:t>
            </w:r>
            <w:r w:rsidRPr="0081082A">
              <w:rPr>
                <w:rFonts w:eastAsia="Times New Roman"/>
                <w:sz w:val="16"/>
                <w:szCs w:val="16"/>
                <w:lang w:val="sr-Cyrl-RS" w:eastAsia="en-GB"/>
              </w:rPr>
              <w:lastRenderedPageBreak/>
              <w:t>јавних средстава - Пододбор за разматрање извештаја о обављеним ревизијама ДРИ</w:t>
            </w:r>
          </w:p>
        </w:tc>
        <w:tc>
          <w:tcPr>
            <w:tcW w:w="1024"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lastRenderedPageBreak/>
              <w:t>Канцелари</w:t>
            </w:r>
            <w:r w:rsidR="00AE2373" w:rsidRPr="0081082A">
              <w:rPr>
                <w:rFonts w:eastAsia="Times New Roman"/>
                <w:sz w:val="16"/>
                <w:szCs w:val="16"/>
                <w:lang w:val="sr-Cyrl-RS" w:eastAsia="en-GB"/>
              </w:rPr>
              <w:t>-</w:t>
            </w:r>
            <w:r w:rsidRPr="0081082A">
              <w:rPr>
                <w:rFonts w:eastAsia="Times New Roman"/>
                <w:sz w:val="16"/>
                <w:szCs w:val="16"/>
                <w:lang w:val="sr-Cyrl-RS" w:eastAsia="en-GB"/>
              </w:rPr>
              <w:t>ја за ревизију система управљања средствима ЕУ</w:t>
            </w:r>
          </w:p>
        </w:tc>
        <w:tc>
          <w:tcPr>
            <w:tcW w:w="1371" w:type="dxa"/>
            <w:gridSpan w:val="11"/>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Буџетска средства</w:t>
            </w:r>
          </w:p>
        </w:tc>
        <w:tc>
          <w:tcPr>
            <w:tcW w:w="1093" w:type="dxa"/>
            <w:gridSpan w:val="3"/>
            <w:shd w:val="clear" w:color="auto" w:fill="auto"/>
            <w:hideMark/>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2101-0003</w:t>
            </w:r>
          </w:p>
          <w:p w:rsidR="00AE3C4E" w:rsidRPr="0081082A" w:rsidRDefault="00AE3C4E" w:rsidP="00310BEC">
            <w:pPr>
              <w:spacing w:after="0" w:line="240" w:lineRule="auto"/>
              <w:jc w:val="center"/>
              <w:rPr>
                <w:rFonts w:eastAsia="Times New Roman"/>
                <w:color w:val="000000"/>
                <w:sz w:val="16"/>
                <w:szCs w:val="16"/>
                <w:lang w:val="sr-Cyrl-RS" w:eastAsia="en-GB"/>
              </w:rPr>
            </w:pPr>
          </w:p>
        </w:tc>
        <w:tc>
          <w:tcPr>
            <w:tcW w:w="1285" w:type="dxa"/>
            <w:gridSpan w:val="5"/>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lastRenderedPageBreak/>
              <w:t>-</w:t>
            </w:r>
          </w:p>
        </w:tc>
        <w:tc>
          <w:tcPr>
            <w:tcW w:w="1291" w:type="dxa"/>
            <w:gridSpan w:val="7"/>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91" w:type="dxa"/>
            <w:gridSpan w:val="8"/>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287" w:type="dxa"/>
            <w:gridSpan w:val="10"/>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c>
          <w:tcPr>
            <w:tcW w:w="1314" w:type="dxa"/>
            <w:gridSpan w:val="9"/>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w:t>
            </w:r>
          </w:p>
        </w:tc>
      </w:tr>
      <w:tr w:rsidR="00AE3C4E" w:rsidRPr="0081082A" w:rsidTr="00D013DF">
        <w:trPr>
          <w:trHeight w:val="3392"/>
          <w:jc w:val="center"/>
        </w:trPr>
        <w:tc>
          <w:tcPr>
            <w:tcW w:w="3147" w:type="dxa"/>
            <w:gridSpan w:val="5"/>
            <w:shd w:val="clear" w:color="auto" w:fill="auto"/>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lastRenderedPageBreak/>
              <w:t>6.2.3 Организовање јавног слушања поводом представљања Предлога закона о буџету и Предлога закона о завршном рачуну буџета</w:t>
            </w:r>
          </w:p>
        </w:tc>
        <w:tc>
          <w:tcPr>
            <w:tcW w:w="1652" w:type="dxa"/>
            <w:gridSpan w:val="5"/>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Q4 2025</w:t>
            </w:r>
          </w:p>
        </w:tc>
        <w:tc>
          <w:tcPr>
            <w:tcW w:w="1260" w:type="dxa"/>
            <w:gridSpan w:val="3"/>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Народна скупштина - Одбор за финансије, републички буџет и контролу трошења јавних средстава</w:t>
            </w:r>
          </w:p>
        </w:tc>
        <w:tc>
          <w:tcPr>
            <w:tcW w:w="1024" w:type="dxa"/>
            <w:gridSpan w:val="2"/>
            <w:shd w:val="clear" w:color="auto" w:fill="auto"/>
            <w:vAlign w:val="center"/>
            <w:hideMark/>
          </w:tcPr>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Министар</w:t>
            </w:r>
            <w:r w:rsidR="00D013DF" w:rsidRPr="0081082A">
              <w:rPr>
                <w:rFonts w:eastAsia="Times New Roman"/>
                <w:sz w:val="16"/>
                <w:szCs w:val="16"/>
                <w:lang w:val="sr-Cyrl-RS" w:eastAsia="en-GB"/>
              </w:rPr>
              <w:t>-</w:t>
            </w:r>
            <w:r w:rsidRPr="0081082A">
              <w:rPr>
                <w:rFonts w:eastAsia="Times New Roman"/>
                <w:sz w:val="16"/>
                <w:szCs w:val="16"/>
                <w:lang w:val="sr-Cyrl-RS" w:eastAsia="en-GB"/>
              </w:rPr>
              <w:t>ство финансија, Државна ревизорска институци</w:t>
            </w:r>
            <w:r w:rsidR="00D013DF" w:rsidRPr="0081082A">
              <w:rPr>
                <w:rFonts w:eastAsia="Times New Roman"/>
                <w:sz w:val="16"/>
                <w:szCs w:val="16"/>
                <w:lang w:val="sr-Cyrl-RS" w:eastAsia="en-GB"/>
              </w:rPr>
              <w:t>-</w:t>
            </w:r>
            <w:r w:rsidRPr="0081082A">
              <w:rPr>
                <w:rFonts w:eastAsia="Times New Roman"/>
                <w:sz w:val="16"/>
                <w:szCs w:val="16"/>
                <w:lang w:val="sr-Cyrl-RS" w:eastAsia="en-GB"/>
              </w:rPr>
              <w:t>ја</w:t>
            </w:r>
          </w:p>
        </w:tc>
        <w:tc>
          <w:tcPr>
            <w:tcW w:w="1371" w:type="dxa"/>
            <w:gridSpan w:val="11"/>
            <w:shd w:val="clear" w:color="auto" w:fill="auto"/>
            <w:vAlign w:val="center"/>
            <w:hideMark/>
          </w:tcPr>
          <w:p w:rsidR="00AE3C4E" w:rsidRPr="0081082A" w:rsidRDefault="00AE3C4E" w:rsidP="00310BEC">
            <w:pPr>
              <w:spacing w:after="0" w:line="240" w:lineRule="auto"/>
              <w:rPr>
                <w:rFonts w:eastAsia="Times New Roman"/>
                <w:sz w:val="16"/>
                <w:szCs w:val="16"/>
                <w:lang w:val="sr-Cyrl-RS" w:eastAsia="en-GB"/>
              </w:rPr>
            </w:pPr>
            <w:r w:rsidRPr="0081082A">
              <w:rPr>
                <w:rFonts w:eastAsia="Times New Roman"/>
                <w:sz w:val="16"/>
                <w:szCs w:val="16"/>
                <w:lang w:val="sr-Cyrl-RS" w:eastAsia="en-GB"/>
              </w:rPr>
              <w:t>Буџетска средства</w:t>
            </w:r>
          </w:p>
          <w:p w:rsidR="00AE3C4E" w:rsidRPr="0081082A" w:rsidRDefault="00AE3C4E" w:rsidP="00310BEC">
            <w:pPr>
              <w:spacing w:after="0" w:line="240" w:lineRule="auto"/>
              <w:jc w:val="center"/>
              <w:rPr>
                <w:rFonts w:eastAsia="Times New Roman"/>
                <w:sz w:val="16"/>
                <w:szCs w:val="16"/>
                <w:lang w:val="sr-Cyrl-RS" w:eastAsia="en-GB"/>
              </w:rPr>
            </w:pPr>
          </w:p>
          <w:p w:rsidR="00AE3C4E" w:rsidRPr="0081082A" w:rsidRDefault="00AE3C4E" w:rsidP="00310BEC">
            <w:pPr>
              <w:spacing w:after="0" w:line="240" w:lineRule="auto"/>
              <w:jc w:val="center"/>
              <w:rPr>
                <w:rFonts w:eastAsia="Times New Roman"/>
                <w:sz w:val="16"/>
                <w:szCs w:val="16"/>
                <w:lang w:val="sr-Cyrl-RS" w:eastAsia="en-GB"/>
              </w:rPr>
            </w:pPr>
          </w:p>
          <w:p w:rsidR="00AE3C4E" w:rsidRPr="0081082A" w:rsidRDefault="00AE3C4E" w:rsidP="00310BEC">
            <w:pPr>
              <w:spacing w:after="0" w:line="240" w:lineRule="auto"/>
              <w:jc w:val="center"/>
              <w:rPr>
                <w:rFonts w:eastAsia="Times New Roman"/>
                <w:sz w:val="16"/>
                <w:szCs w:val="16"/>
                <w:lang w:val="sr-Cyrl-RS" w:eastAsia="en-GB"/>
              </w:rPr>
            </w:pPr>
            <w:r w:rsidRPr="0081082A">
              <w:rPr>
                <w:rFonts w:eastAsia="Times New Roman"/>
                <w:sz w:val="16"/>
                <w:szCs w:val="16"/>
                <w:lang w:val="sr-Cyrl-RS" w:eastAsia="en-GB"/>
              </w:rPr>
              <w:t>Донаторска средства</w:t>
            </w:r>
          </w:p>
        </w:tc>
        <w:tc>
          <w:tcPr>
            <w:tcW w:w="1093" w:type="dxa"/>
            <w:gridSpan w:val="3"/>
            <w:shd w:val="clear" w:color="auto" w:fill="auto"/>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2101-0003</w:t>
            </w:r>
          </w:p>
        </w:tc>
        <w:tc>
          <w:tcPr>
            <w:tcW w:w="1285" w:type="dxa"/>
            <w:gridSpan w:val="5"/>
            <w:shd w:val="clear" w:color="auto" w:fill="auto"/>
            <w:noWrap/>
            <w:vAlign w:val="center"/>
            <w:hideMark/>
          </w:tcPr>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250*</w:t>
            </w:r>
          </w:p>
        </w:tc>
        <w:tc>
          <w:tcPr>
            <w:tcW w:w="1291" w:type="dxa"/>
            <w:gridSpan w:val="7"/>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250*</w:t>
            </w:r>
          </w:p>
        </w:tc>
        <w:tc>
          <w:tcPr>
            <w:tcW w:w="1291" w:type="dxa"/>
            <w:gridSpan w:val="8"/>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250*</w:t>
            </w:r>
          </w:p>
        </w:tc>
        <w:tc>
          <w:tcPr>
            <w:tcW w:w="1287" w:type="dxa"/>
            <w:gridSpan w:val="10"/>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250*</w:t>
            </w:r>
          </w:p>
        </w:tc>
        <w:tc>
          <w:tcPr>
            <w:tcW w:w="1314" w:type="dxa"/>
            <w:gridSpan w:val="9"/>
            <w:shd w:val="clear" w:color="auto" w:fill="auto"/>
            <w:noWrap/>
            <w:vAlign w:val="center"/>
            <w:hideMark/>
          </w:tcPr>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p>
          <w:p w:rsidR="00AE3C4E" w:rsidRPr="0081082A" w:rsidRDefault="00AE3C4E" w:rsidP="00310BEC">
            <w:pPr>
              <w:spacing w:after="0" w:line="240" w:lineRule="auto"/>
              <w:jc w:val="center"/>
              <w:rPr>
                <w:rFonts w:eastAsia="Times New Roman"/>
                <w:color w:val="000000"/>
                <w:sz w:val="16"/>
                <w:szCs w:val="16"/>
                <w:lang w:val="sr-Cyrl-RS" w:eastAsia="en-GB"/>
              </w:rPr>
            </w:pPr>
            <w:r w:rsidRPr="0081082A">
              <w:rPr>
                <w:rFonts w:eastAsia="Times New Roman"/>
                <w:color w:val="000000"/>
                <w:sz w:val="16"/>
                <w:szCs w:val="16"/>
                <w:lang w:val="sr-Cyrl-RS" w:eastAsia="en-GB"/>
              </w:rPr>
              <w:t>250*</w:t>
            </w:r>
          </w:p>
        </w:tc>
      </w:tr>
    </w:tbl>
    <w:p w:rsidR="00AE3C4E" w:rsidRPr="0081082A" w:rsidRDefault="00AE3C4E" w:rsidP="00C456B6">
      <w:pPr>
        <w:spacing w:before="120" w:after="0" w:line="240" w:lineRule="auto"/>
        <w:ind w:firstLine="706"/>
        <w:jc w:val="both"/>
        <w:rPr>
          <w:rFonts w:ascii="Times New Roman" w:eastAsia="Calibri" w:hAnsi="Times New Roman" w:cs="Times New Roman"/>
          <w:sz w:val="24"/>
          <w:szCs w:val="24"/>
          <w:lang w:val="sr-Cyrl-RS"/>
        </w:rPr>
        <w:sectPr w:rsidR="00AE3C4E" w:rsidRPr="0081082A" w:rsidSect="00AE3C4E">
          <w:pgSz w:w="16838" w:h="11906" w:orient="landscape"/>
          <w:pgMar w:top="1440" w:right="1440" w:bottom="1440" w:left="1440" w:header="432" w:footer="720" w:gutter="0"/>
          <w:cols w:space="720"/>
          <w:docGrid w:linePitch="360"/>
        </w:sectPr>
      </w:pPr>
    </w:p>
    <w:p w:rsidR="00B74BEA" w:rsidRPr="0081082A" w:rsidRDefault="00B74BEA" w:rsidP="00AE3C4E">
      <w:pPr>
        <w:spacing w:before="120" w:after="0" w:line="240" w:lineRule="auto"/>
        <w:jc w:val="both"/>
        <w:rPr>
          <w:rFonts w:ascii="Times New Roman" w:eastAsia="Calibri" w:hAnsi="Times New Roman" w:cs="Times New Roman"/>
          <w:sz w:val="24"/>
          <w:szCs w:val="24"/>
          <w:lang w:val="sr-Cyrl-RS"/>
        </w:rPr>
      </w:pPr>
    </w:p>
    <w:p w:rsidR="00C90243" w:rsidRPr="0081082A" w:rsidRDefault="00C90243" w:rsidP="00C90243">
      <w:pPr>
        <w:pStyle w:val="Heading1"/>
        <w:spacing w:line="240" w:lineRule="auto"/>
        <w:rPr>
          <w:rFonts w:ascii="Times New Roman" w:hAnsi="Times New Roman"/>
          <w:lang w:val="sr-Cyrl-RS"/>
        </w:rPr>
      </w:pPr>
      <w:bookmarkStart w:id="140" w:name="_Toc441139876"/>
      <w:bookmarkStart w:id="141" w:name="_Toc859867"/>
      <w:bookmarkStart w:id="142" w:name="_Toc864750"/>
      <w:bookmarkStart w:id="143" w:name="_Toc72488833"/>
      <w:r w:rsidRPr="0081082A">
        <w:rPr>
          <w:rFonts w:ascii="Times New Roman" w:hAnsi="Times New Roman"/>
          <w:lang w:val="sr-Cyrl-RS"/>
        </w:rPr>
        <w:t>АНЕКС</w:t>
      </w:r>
      <w:r w:rsidR="00432DA0" w:rsidRPr="0081082A">
        <w:rPr>
          <w:rFonts w:ascii="Times New Roman" w:hAnsi="Times New Roman"/>
          <w:lang w:val="sr-Cyrl-RS"/>
        </w:rPr>
        <w:t xml:space="preserve"> 1</w:t>
      </w:r>
      <w:r w:rsidRPr="0081082A">
        <w:rPr>
          <w:rFonts w:ascii="Times New Roman" w:hAnsi="Times New Roman"/>
          <w:lang w:val="sr-Cyrl-RS"/>
        </w:rPr>
        <w:t>: РЕДОСЛЕД СПРОВОЂЕЊА АКТИВНОСТИ ПРОГРАМА РЕФОРМЕ УПРАВЉАЊА ЈАВНИМ ФИНАНСИЈАМА</w:t>
      </w:r>
      <w:bookmarkEnd w:id="140"/>
      <w:bookmarkEnd w:id="141"/>
      <w:bookmarkEnd w:id="142"/>
      <w:r w:rsidRPr="0081082A">
        <w:rPr>
          <w:rFonts w:ascii="Times New Roman" w:hAnsi="Times New Roman"/>
          <w:lang w:val="sr-Cyrl-RS"/>
        </w:rPr>
        <w:t xml:space="preserve"> 2021-2025</w:t>
      </w:r>
      <w:bookmarkEnd w:id="143"/>
    </w:p>
    <w:p w:rsidR="00C90243" w:rsidRPr="0081082A" w:rsidRDefault="00C90243" w:rsidP="00C90243">
      <w:pPr>
        <w:keepNext/>
        <w:keepLines/>
        <w:spacing w:after="0" w:line="240" w:lineRule="auto"/>
        <w:outlineLvl w:val="0"/>
        <w:rPr>
          <w:rFonts w:ascii="Cambria" w:eastAsia="Calibri" w:hAnsi="Cambria" w:cs="Cambria"/>
          <w:b/>
          <w:bCs/>
          <w:caps/>
          <w:lang w:val="sr-Cyrl-RS"/>
        </w:rPr>
      </w:pPr>
    </w:p>
    <w:tbl>
      <w:tblPr>
        <w:tblW w:w="4669"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98"/>
        <w:gridCol w:w="1090"/>
        <w:gridCol w:w="254"/>
        <w:gridCol w:w="268"/>
        <w:gridCol w:w="283"/>
        <w:gridCol w:w="231"/>
        <w:gridCol w:w="12"/>
        <w:gridCol w:w="242"/>
        <w:gridCol w:w="242"/>
        <w:gridCol w:w="242"/>
        <w:gridCol w:w="249"/>
        <w:gridCol w:w="242"/>
        <w:gridCol w:w="242"/>
        <w:gridCol w:w="242"/>
        <w:gridCol w:w="233"/>
        <w:gridCol w:w="10"/>
        <w:gridCol w:w="243"/>
        <w:gridCol w:w="242"/>
        <w:gridCol w:w="242"/>
        <w:gridCol w:w="247"/>
        <w:gridCol w:w="242"/>
        <w:gridCol w:w="242"/>
        <w:gridCol w:w="243"/>
        <w:gridCol w:w="249"/>
      </w:tblGrid>
      <w:tr w:rsidR="00792C72" w:rsidRPr="0081082A" w:rsidTr="00D54CD3">
        <w:trPr>
          <w:trHeight w:val="300"/>
          <w:tblHeader/>
        </w:trPr>
        <w:tc>
          <w:tcPr>
            <w:tcW w:w="1506" w:type="pct"/>
            <w:vMerge w:val="restart"/>
            <w:tcBorders>
              <w:top w:val="single" w:sz="4" w:space="0" w:color="FFFFFF" w:themeColor="background1"/>
              <w:left w:val="single" w:sz="4" w:space="0" w:color="FFFFFF" w:themeColor="background1"/>
              <w:bottom w:val="single" w:sz="4" w:space="0" w:color="FFFFFF" w:themeColor="background1"/>
              <w:right w:val="nil"/>
            </w:tcBorders>
            <w:shd w:val="clear" w:color="auto" w:fill="7F7F7F" w:themeFill="text1" w:themeFillTint="80"/>
            <w:vAlign w:val="center"/>
            <w:hideMark/>
          </w:tcPr>
          <w:p w:rsidR="00792C72" w:rsidRPr="0081082A" w:rsidRDefault="00792C72" w:rsidP="000D62DA">
            <w:pPr>
              <w:spacing w:after="0" w:line="240" w:lineRule="auto"/>
              <w:rPr>
                <w:rFonts w:ascii="Times New Roman" w:hAnsi="Times New Roman" w:cs="Times New Roman"/>
                <w:b/>
                <w:bCs/>
                <w:color w:val="FFFFFF" w:themeColor="background1"/>
                <w:lang w:val="sr-Cyrl-RS"/>
              </w:rPr>
            </w:pPr>
            <w:r w:rsidRPr="0081082A">
              <w:rPr>
                <w:rFonts w:ascii="Times New Roman" w:hAnsi="Times New Roman" w:cs="Times New Roman"/>
                <w:b/>
                <w:bCs/>
                <w:color w:val="FFFFFF" w:themeColor="background1"/>
                <w:lang w:val="sr-Cyrl-RS"/>
              </w:rPr>
              <w:t>МЕРЕ/АКТИВНОСТИ</w:t>
            </w:r>
          </w:p>
        </w:tc>
        <w:tc>
          <w:tcPr>
            <w:tcW w:w="632" w:type="pct"/>
            <w:vMerge w:val="restart"/>
            <w:tcBorders>
              <w:top w:val="single" w:sz="4" w:space="0" w:color="FFFFFF" w:themeColor="background1"/>
              <w:left w:val="nil"/>
              <w:bottom w:val="single" w:sz="4" w:space="0" w:color="FFFFFF" w:themeColor="background1"/>
              <w:right w:val="single" w:sz="4" w:space="0" w:color="FFFFFF" w:themeColor="background1"/>
            </w:tcBorders>
            <w:shd w:val="clear" w:color="auto" w:fill="7F7F7F" w:themeFill="text1" w:themeFillTint="80"/>
            <w:vAlign w:val="bottom"/>
          </w:tcPr>
          <w:p w:rsidR="00792C72" w:rsidRPr="0081082A" w:rsidRDefault="00792C72" w:rsidP="000D62DA">
            <w:pPr>
              <w:spacing w:after="0" w:line="240" w:lineRule="auto"/>
              <w:jc w:val="right"/>
              <w:rPr>
                <w:rFonts w:ascii="Times New Roman" w:hAnsi="Times New Roman"/>
                <w:b/>
                <w:color w:val="FFFFFF" w:themeColor="background1"/>
                <w:lang w:val="sr-Cyrl-RS"/>
              </w:rPr>
            </w:pPr>
            <w:r w:rsidRPr="0081082A">
              <w:rPr>
                <w:rFonts w:ascii="Times New Roman" w:hAnsi="Times New Roman" w:cs="Times New Roman"/>
                <w:b/>
                <w:bCs/>
                <w:color w:val="FFFFFF" w:themeColor="background1"/>
                <w:lang w:val="sr-Cyrl-RS"/>
              </w:rPr>
              <w:t>квартал</w:t>
            </w:r>
            <w:r w:rsidRPr="0081082A">
              <w:rPr>
                <w:rFonts w:ascii="Times New Roman" w:hAnsi="Times New Roman"/>
                <w:b/>
                <w:color w:val="FFFFFF" w:themeColor="background1"/>
                <w:lang w:val="sr-Cyrl-RS"/>
              </w:rPr>
              <w:t>:</w:t>
            </w:r>
          </w:p>
        </w:tc>
        <w:tc>
          <w:tcPr>
            <w:tcW w:w="601" w:type="pct"/>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jc w:val="center"/>
              <w:rPr>
                <w:rFonts w:ascii="Times New Roman" w:hAnsi="Times New Roman"/>
                <w:b/>
                <w:color w:val="FFFFFF" w:themeColor="background1"/>
                <w:lang w:val="sr-Cyrl-RS"/>
              </w:rPr>
            </w:pPr>
            <w:r w:rsidRPr="0081082A">
              <w:rPr>
                <w:rFonts w:ascii="Times New Roman" w:hAnsi="Times New Roman"/>
                <w:b/>
                <w:color w:val="FFFFFF" w:themeColor="background1"/>
                <w:lang w:val="sr-Cyrl-RS"/>
              </w:rPr>
              <w:t>2021</w:t>
            </w:r>
          </w:p>
        </w:tc>
        <w:tc>
          <w:tcPr>
            <w:tcW w:w="571" w:type="pct"/>
            <w:gridSpan w:val="5"/>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jc w:val="center"/>
              <w:rPr>
                <w:rFonts w:ascii="Times New Roman" w:hAnsi="Times New Roman"/>
                <w:b/>
                <w:color w:val="FFFFFF" w:themeColor="background1"/>
                <w:lang w:val="sr-Cyrl-RS"/>
              </w:rPr>
            </w:pPr>
            <w:r w:rsidRPr="0081082A">
              <w:rPr>
                <w:rFonts w:ascii="Times New Roman" w:hAnsi="Times New Roman"/>
                <w:b/>
                <w:color w:val="FFFFFF" w:themeColor="background1"/>
                <w:lang w:val="sr-Cyrl-RS"/>
              </w:rPr>
              <w:t>2022</w:t>
            </w:r>
          </w:p>
        </w:tc>
        <w:tc>
          <w:tcPr>
            <w:tcW w:w="555" w:type="pct"/>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jc w:val="center"/>
              <w:rPr>
                <w:rFonts w:ascii="Times New Roman" w:hAnsi="Times New Roman"/>
                <w:b/>
                <w:color w:val="FFFFFF" w:themeColor="background1"/>
                <w:lang w:val="sr-Cyrl-RS"/>
              </w:rPr>
            </w:pPr>
            <w:r w:rsidRPr="0081082A">
              <w:rPr>
                <w:rFonts w:ascii="Times New Roman" w:hAnsi="Times New Roman"/>
                <w:b/>
                <w:color w:val="FFFFFF" w:themeColor="background1"/>
                <w:lang w:val="sr-Cyrl-RS"/>
              </w:rPr>
              <w:t>2023</w:t>
            </w:r>
          </w:p>
        </w:tc>
        <w:tc>
          <w:tcPr>
            <w:tcW w:w="570" w:type="pct"/>
            <w:gridSpan w:val="5"/>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jc w:val="center"/>
              <w:rPr>
                <w:rFonts w:ascii="Times New Roman" w:hAnsi="Times New Roman"/>
                <w:b/>
                <w:color w:val="FFFFFF" w:themeColor="background1"/>
                <w:lang w:val="sr-Cyrl-RS"/>
              </w:rPr>
            </w:pPr>
            <w:r w:rsidRPr="0081082A">
              <w:rPr>
                <w:rFonts w:ascii="Times New Roman" w:hAnsi="Times New Roman"/>
                <w:b/>
                <w:color w:val="FFFFFF" w:themeColor="background1"/>
                <w:lang w:val="sr-Cyrl-RS"/>
              </w:rPr>
              <w:t>2024</w:t>
            </w:r>
          </w:p>
        </w:tc>
        <w:tc>
          <w:tcPr>
            <w:tcW w:w="565" w:type="pct"/>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jc w:val="center"/>
              <w:rPr>
                <w:rFonts w:ascii="Times New Roman" w:hAnsi="Times New Roman"/>
                <w:b/>
                <w:color w:val="FFFFFF" w:themeColor="background1"/>
                <w:lang w:val="sr-Cyrl-RS"/>
              </w:rPr>
            </w:pPr>
            <w:r w:rsidRPr="0081082A">
              <w:rPr>
                <w:rFonts w:ascii="Times New Roman" w:hAnsi="Times New Roman"/>
                <w:b/>
                <w:color w:val="FFFFFF" w:themeColor="background1"/>
                <w:lang w:val="sr-Cyrl-RS"/>
              </w:rPr>
              <w:t>2025</w:t>
            </w:r>
          </w:p>
        </w:tc>
      </w:tr>
      <w:tr w:rsidR="00792C72" w:rsidRPr="0081082A" w:rsidTr="00D54CD3">
        <w:trPr>
          <w:trHeight w:val="300"/>
          <w:tblHeader/>
        </w:trPr>
        <w:tc>
          <w:tcPr>
            <w:tcW w:w="1506" w:type="pct"/>
            <w:vMerge/>
            <w:tcBorders>
              <w:top w:val="single" w:sz="4" w:space="0" w:color="FFFFFF" w:themeColor="background1"/>
              <w:left w:val="single" w:sz="4" w:space="0" w:color="FFFFFF" w:themeColor="background1"/>
              <w:bottom w:val="single" w:sz="4" w:space="0" w:color="FFFFFF" w:themeColor="background1"/>
              <w:right w:val="nil"/>
            </w:tcBorders>
            <w:shd w:val="clear" w:color="auto" w:fill="7F7F7F" w:themeFill="text1" w:themeFillTint="80"/>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p>
        </w:tc>
        <w:tc>
          <w:tcPr>
            <w:tcW w:w="632" w:type="pct"/>
            <w:vMerge/>
            <w:tcBorders>
              <w:top w:val="single" w:sz="4" w:space="0" w:color="FFFFFF" w:themeColor="background1"/>
              <w:left w:val="nil"/>
              <w:bottom w:val="single" w:sz="4" w:space="0" w:color="FFFFFF" w:themeColor="background1"/>
              <w:right w:val="single" w:sz="4" w:space="0" w:color="FFFFFF" w:themeColor="background1"/>
            </w:tcBorders>
            <w:shd w:val="clear" w:color="auto" w:fill="7F7F7F" w:themeFill="text1" w:themeFillTint="80"/>
            <w:vAlign w:val="center"/>
          </w:tcPr>
          <w:p w:rsidR="00792C72" w:rsidRPr="0081082A" w:rsidRDefault="00792C72" w:rsidP="000D62DA">
            <w:pPr>
              <w:spacing w:after="0" w:line="240" w:lineRule="auto"/>
              <w:rPr>
                <w:rFonts w:ascii="Times New Roman" w:hAnsi="Times New Roman"/>
                <w:b/>
                <w:color w:val="FFFFFF" w:themeColor="background1"/>
                <w:lang w:val="sr-Cyrl-RS"/>
              </w:rPr>
            </w:pP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1</w:t>
            </w: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2</w:t>
            </w: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3</w:t>
            </w: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4</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1</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2</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3</w:t>
            </w: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4</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1</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2</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3</w:t>
            </w: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4</w:t>
            </w: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1</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2</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3</w:t>
            </w: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4</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1</w:t>
            </w: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2</w:t>
            </w: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3</w:t>
            </w: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F7F7F" w:themeFill="text1" w:themeFillTint="80"/>
            <w:noWrap/>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4</w:t>
            </w:r>
          </w:p>
        </w:tc>
      </w:tr>
      <w:tr w:rsidR="00792C72" w:rsidRPr="0081082A" w:rsidTr="00D54CD3">
        <w:trPr>
          <w:trHeight w:val="34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hideMark/>
          </w:tcPr>
          <w:p w:rsidR="00792C72" w:rsidRPr="0081082A" w:rsidRDefault="00792C72" w:rsidP="000D62DA">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1.1</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color w:val="FFFFFF" w:themeColor="background1"/>
                <w:lang w:val="sr-Cyrl-RS"/>
              </w:rPr>
              <w:t>УНАПРЕЂЕЊЕ ПРОГРАМСКОГ БУЏЕТА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0D62DA">
            <w:pPr>
              <w:spacing w:after="0" w:line="240" w:lineRule="auto"/>
              <w:rPr>
                <w:rFonts w:ascii="Times New Roman" w:hAnsi="Times New Roman"/>
                <w:color w:val="000000"/>
                <w:lang w:val="sr-Cyrl-RS"/>
              </w:rPr>
            </w:pPr>
          </w:p>
        </w:tc>
      </w:tr>
      <w:tr w:rsidR="00792C72" w:rsidRPr="0081082A" w:rsidTr="00D54CD3">
        <w:trPr>
          <w:trHeight w:val="34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0D62DA">
            <w:pPr>
              <w:spacing w:after="0" w:line="240" w:lineRule="auto"/>
              <w:rPr>
                <w:rFonts w:ascii="Times New Roman" w:hAnsi="Times New Roman"/>
                <w:b/>
                <w:i/>
                <w:color w:val="000000"/>
                <w:lang w:val="sr-Cyrl-RS"/>
              </w:rPr>
            </w:pPr>
            <w:r w:rsidRPr="0081082A">
              <w:rPr>
                <w:rFonts w:ascii="Times New Roman" w:hAnsi="Times New Roman"/>
                <w:b/>
                <w:i/>
                <w:lang w:val="sr-Cyrl-RS"/>
              </w:rPr>
              <w:t>1.1.1 Анализа примене програмског буџета и употребе показатеља учинка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0D62DA">
            <w:pPr>
              <w:spacing w:after="0" w:line="240" w:lineRule="auto"/>
              <w:rPr>
                <w:rFonts w:ascii="Times New Roman" w:hAnsi="Times New Roman"/>
                <w:color w:val="000000"/>
                <w:lang w:val="sr-Cyrl-RS"/>
              </w:rPr>
            </w:pPr>
          </w:p>
        </w:tc>
      </w:tr>
      <w:tr w:rsidR="00792C72" w:rsidRPr="0081082A" w:rsidTr="00D54CD3">
        <w:trPr>
          <w:trHeight w:val="31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hideMark/>
          </w:tcPr>
          <w:p w:rsidR="00792C72" w:rsidRPr="0081082A" w:rsidRDefault="00792C72" w:rsidP="000D62DA">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1.1.2 Анализа униформне структуре програмског буџета јединица локалне самоуправе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0D62DA">
            <w:pPr>
              <w:spacing w:after="0" w:line="240" w:lineRule="auto"/>
              <w:rPr>
                <w:rFonts w:ascii="Times New Roman" w:hAnsi="Times New Roman"/>
                <w:color w:val="000000"/>
                <w:lang w:val="sr-Cyrl-RS"/>
              </w:rPr>
            </w:pPr>
          </w:p>
        </w:tc>
      </w:tr>
      <w:tr w:rsidR="00792C72" w:rsidRPr="0081082A" w:rsidTr="00D54CD3">
        <w:trPr>
          <w:trHeight w:val="31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0D62DA">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1.1.3</w:t>
            </w:r>
            <w:r w:rsidRPr="0081082A">
              <w:rPr>
                <w:lang w:val="sr-Cyrl-RS"/>
              </w:rPr>
              <w:t xml:space="preserve"> </w:t>
            </w:r>
            <w:r w:rsidRPr="0081082A">
              <w:rPr>
                <w:rFonts w:ascii="Times New Roman" w:hAnsi="Times New Roman"/>
                <w:b/>
                <w:i/>
                <w:color w:val="000000"/>
                <w:lang w:val="sr-Cyrl-RS"/>
              </w:rPr>
              <w:t>Утврђивање програмске структуре за организације обавезног социјалног осигурања и њихове кориснике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r>
      <w:tr w:rsidR="00792C72" w:rsidRPr="0081082A" w:rsidTr="00D54CD3">
        <w:trPr>
          <w:trHeight w:val="31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0D62DA">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1.1.4 Радионице и обуке за све кориснике на свим нивоима власти</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0D62DA">
            <w:pPr>
              <w:spacing w:after="0" w:line="240" w:lineRule="auto"/>
              <w:rPr>
                <w:rFonts w:ascii="Times New Roman" w:hAnsi="Times New Roman"/>
                <w:color w:val="000000"/>
                <w:lang w:val="sr-Cyrl-RS"/>
              </w:rPr>
            </w:pPr>
          </w:p>
        </w:tc>
      </w:tr>
      <w:tr w:rsidR="00792C72" w:rsidRPr="0081082A" w:rsidTr="00D54CD3">
        <w:trPr>
          <w:trHeight w:val="31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1.1.5 Студијска посета у вези унапређења извештаја о учинку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noWrap/>
            <w:vAlign w:val="center"/>
          </w:tcPr>
          <w:p w:rsidR="00792C72" w:rsidRPr="0081082A" w:rsidRDefault="00792C72" w:rsidP="00AB1B30">
            <w:pPr>
              <w:spacing w:after="0" w:line="240" w:lineRule="auto"/>
              <w:rPr>
                <w:rFonts w:ascii="Times New Roman" w:hAnsi="Times New Roman"/>
                <w:color w:val="000000"/>
                <w:lang w:val="sr-Cyrl-RS"/>
              </w:rPr>
            </w:pPr>
          </w:p>
        </w:tc>
      </w:tr>
      <w:tr w:rsidR="000A6D58" w:rsidRPr="0081082A" w:rsidTr="00D54CD3">
        <w:trPr>
          <w:trHeight w:val="300"/>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hideMark/>
          </w:tcPr>
          <w:p w:rsidR="00792C72" w:rsidRPr="0081082A" w:rsidRDefault="00792C72" w:rsidP="00AB1B30">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1.2</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color w:val="FFFFFF" w:themeColor="background1"/>
                <w:lang w:val="sr-Cyrl-RS"/>
              </w:rPr>
              <w:t>УНАПРЕЂЕЊЕ КАПАЦИТЕТА У ВЕЗИ ПРИПРЕМЕ И ОБАВЕЗА ЗЕМАЉА ЧЛАНИЦА ЕУ ТОКОМ ПРОЦЕСА ПРИПРЕМЕ БУЏЕТА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hideMark/>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300"/>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hideMark/>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1.2.1 Анализа процеса припреме буџета земаља чланица ЕУ и обавеза Републике Србије приликом припреме буџета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hideMark/>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300"/>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hideMark/>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1.2.2  Обуке запослених у Министарству финансија и директним буџетским корисницима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hideMark/>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300"/>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1.2.3 Студијска посета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r>
      <w:tr w:rsidR="000A6D58"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792C72" w:rsidRPr="0081082A" w:rsidRDefault="00792C72" w:rsidP="00AB1B30">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1.3</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color w:val="FFFFFF" w:themeColor="background1"/>
                <w:lang w:val="sr-Cyrl-RS"/>
              </w:rPr>
              <w:t>УНАПРЕЂЕЊЕ СРЕДЊОРОЧНОГ ПЛАНИРАЊА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13"/>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1.3.1 Менторска подршка изради средњорочних планова обвезника средњорочног планирања на републичком нивоу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13"/>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1.3.2 Израда анализе степена усаглашености средњорочних планова са документима јавних политика у одговар</w:t>
            </w:r>
            <w:r w:rsidR="002051F5">
              <w:rPr>
                <w:rFonts w:ascii="Times New Roman" w:hAnsi="Times New Roman"/>
                <w:b/>
                <w:i/>
                <w:color w:val="000000"/>
                <w:lang w:val="sr-Cyrl-RS"/>
              </w:rPr>
              <w:t>а</w:t>
            </w:r>
            <w:r w:rsidRPr="0081082A">
              <w:rPr>
                <w:rFonts w:ascii="Times New Roman" w:hAnsi="Times New Roman"/>
                <w:b/>
                <w:i/>
                <w:color w:val="000000"/>
                <w:lang w:val="sr-Cyrl-RS"/>
              </w:rPr>
              <w:t>јућој области планирања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792C72" w:rsidRPr="0081082A" w:rsidRDefault="00792C72" w:rsidP="001F31D2">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1.4</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iCs/>
                <w:color w:val="FFFFFF" w:themeColor="background1"/>
                <w:lang w:val="sr-Cyrl-RS"/>
              </w:rPr>
              <w:t xml:space="preserve">УНАПРЕЂЕЊЕ ОКРУЖЕЊА ЗА ЕФИКАСНО УПРАВЉАЊЕ КАПИТАЛНИМ ПРОЈЕКТИМА </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000000"/>
                <w:lang w:val="sr-Cyrl-RS"/>
              </w:rPr>
            </w:pPr>
          </w:p>
        </w:tc>
      </w:tr>
      <w:tr w:rsidR="000A6D8A"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lastRenderedPageBreak/>
              <w:t xml:space="preserve">1.4.1 </w:t>
            </w:r>
            <w:r w:rsidR="008472B4" w:rsidRPr="0081082A">
              <w:rPr>
                <w:rFonts w:ascii="Times New Roman" w:hAnsi="Times New Roman"/>
                <w:b/>
                <w:i/>
                <w:color w:val="000000"/>
                <w:lang w:val="sr-Cyrl-RS"/>
              </w:rPr>
              <w:t>Измене и допуне правног оквира у складу са идентификованим слабостима примене у пракси</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0A6D8A"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 xml:space="preserve">1.4.2 Израда </w:t>
            </w:r>
            <w:r w:rsidR="008472B4" w:rsidRPr="0081082A">
              <w:rPr>
                <w:rFonts w:ascii="Times New Roman" w:hAnsi="Times New Roman"/>
                <w:b/>
                <w:i/>
                <w:color w:val="000000"/>
                <w:lang w:val="sr-Cyrl-RS"/>
              </w:rPr>
              <w:t>програма обуке за релевантне учеснике у процесу управљања капиталним пројектима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8472B4"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8472B4" w:rsidRPr="0081082A" w:rsidRDefault="008472B4"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1.4.3 Израда извештаја за јавност о стању капиталних пројеката који се прате у складу са методологијом</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r>
      <w:tr w:rsidR="008472B4"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8472B4" w:rsidRPr="0081082A" w:rsidRDefault="008472B4"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1.4.4 Израда приручника о методологији УКП (дизајн, припрема за штампу, лектура, консултантска подршка за садржај)</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r>
      <w:tr w:rsidR="008472B4"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8472B4" w:rsidRPr="0081082A" w:rsidRDefault="008472B4"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1.4.5 Израда информационог система за управљање капиталним пројектима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8472B4" w:rsidRPr="0081082A" w:rsidRDefault="008472B4" w:rsidP="00AB1B30">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792C72" w:rsidRPr="0081082A" w:rsidRDefault="00792C72" w:rsidP="00AB1B30">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1.5</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color w:val="FFFFFF" w:themeColor="background1"/>
                <w:lang w:val="sr-Cyrl-RS"/>
              </w:rPr>
              <w:t>ЈАЧАЊЕ КАПАЦИТЕТА СЕКТОРА ЗА ПРАЋЕЊЕ ФИСКАЛНИХ РИЗИКА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r>
      <w:tr w:rsidR="004E2B9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1.5</w:t>
            </w:r>
            <w:r w:rsidR="00045B77" w:rsidRPr="0081082A">
              <w:rPr>
                <w:rFonts w:ascii="Times New Roman" w:hAnsi="Times New Roman"/>
                <w:b/>
                <w:i/>
                <w:color w:val="000000"/>
                <w:lang w:val="sr-Cyrl-RS"/>
              </w:rPr>
              <w:t>.1</w:t>
            </w:r>
            <w:r w:rsidRPr="0081082A">
              <w:rPr>
                <w:rFonts w:ascii="Times New Roman" w:hAnsi="Times New Roman"/>
                <w:b/>
                <w:i/>
                <w:color w:val="000000"/>
                <w:lang w:val="sr-Cyrl-RS"/>
              </w:rPr>
              <w:t xml:space="preserve"> Обука </w:t>
            </w:r>
            <w:r w:rsidR="00BC3226" w:rsidRPr="0081082A">
              <w:rPr>
                <w:rFonts w:ascii="Times New Roman" w:hAnsi="Times New Roman"/>
                <w:b/>
                <w:i/>
                <w:color w:val="000000"/>
                <w:lang w:val="sr-Cyrl-RS"/>
              </w:rPr>
              <w:t xml:space="preserve">за </w:t>
            </w:r>
            <w:r w:rsidRPr="0081082A">
              <w:rPr>
                <w:rFonts w:ascii="Times New Roman" w:hAnsi="Times New Roman"/>
                <w:b/>
                <w:i/>
                <w:color w:val="000000"/>
                <w:lang w:val="sr-Cyrl-RS"/>
              </w:rPr>
              <w:t>запослен</w:t>
            </w:r>
            <w:r w:rsidR="00BC3226" w:rsidRPr="0081082A">
              <w:rPr>
                <w:rFonts w:ascii="Times New Roman" w:hAnsi="Times New Roman"/>
                <w:b/>
                <w:i/>
                <w:color w:val="000000"/>
                <w:lang w:val="sr-Cyrl-RS"/>
              </w:rPr>
              <w:t>е</w:t>
            </w:r>
            <w:r w:rsidRPr="0081082A">
              <w:rPr>
                <w:rFonts w:ascii="Times New Roman" w:hAnsi="Times New Roman"/>
                <w:b/>
                <w:i/>
                <w:color w:val="000000"/>
                <w:lang w:val="sr-Cyrl-RS"/>
              </w:rPr>
              <w:t xml:space="preserve"> М</w:t>
            </w:r>
            <w:r w:rsidRPr="0081082A">
              <w:rPr>
                <w:rFonts w:ascii="Times New Roman" w:hAnsi="Times New Roman" w:cs="Times New Roman"/>
                <w:b/>
                <w:bCs/>
                <w:i/>
                <w:iCs/>
                <w:color w:val="000000"/>
                <w:lang w:val="sr-Cyrl-RS"/>
              </w:rPr>
              <w:t>инистарства финансија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cs="Times New Roman"/>
                <w:b/>
                <w:i/>
                <w:lang w:val="sr-Cyrl-RS"/>
              </w:rPr>
              <w:t>1.5</w:t>
            </w:r>
            <w:r w:rsidR="00045B77" w:rsidRPr="0081082A">
              <w:rPr>
                <w:rFonts w:ascii="Times New Roman" w:hAnsi="Times New Roman" w:cs="Times New Roman"/>
                <w:b/>
                <w:i/>
                <w:lang w:val="sr-Cyrl-RS"/>
              </w:rPr>
              <w:t>.2</w:t>
            </w:r>
            <w:r w:rsidRPr="0081082A">
              <w:rPr>
                <w:rFonts w:ascii="Times New Roman" w:hAnsi="Times New Roman" w:cs="Times New Roman"/>
                <w:b/>
                <w:i/>
                <w:lang w:val="sr-Cyrl-RS"/>
              </w:rPr>
              <w:t>. Успостављање методологиј</w:t>
            </w:r>
            <w:r w:rsidR="00BC3226" w:rsidRPr="0081082A">
              <w:rPr>
                <w:rFonts w:ascii="Times New Roman" w:hAnsi="Times New Roman" w:cs="Times New Roman"/>
                <w:b/>
                <w:i/>
                <w:lang w:val="sr-Cyrl-RS"/>
              </w:rPr>
              <w:t>а</w:t>
            </w:r>
            <w:r w:rsidRPr="0081082A">
              <w:rPr>
                <w:rFonts w:ascii="Times New Roman" w:hAnsi="Times New Roman" w:cs="Times New Roman"/>
                <w:b/>
                <w:i/>
                <w:lang w:val="sr-Cyrl-RS"/>
              </w:rPr>
              <w:t xml:space="preserve"> за Груп</w:t>
            </w:r>
            <w:r w:rsidR="00F2646E" w:rsidRPr="0081082A">
              <w:rPr>
                <w:rFonts w:ascii="Times New Roman" w:hAnsi="Times New Roman" w:cs="Times New Roman"/>
                <w:b/>
                <w:i/>
                <w:lang w:val="sr-Cyrl-RS"/>
              </w:rPr>
              <w:t>у</w:t>
            </w:r>
            <w:r w:rsidRPr="0081082A">
              <w:rPr>
                <w:rFonts w:ascii="Times New Roman" w:hAnsi="Times New Roman" w:cs="Times New Roman"/>
                <w:b/>
                <w:i/>
                <w:lang w:val="sr-Cyrl-RS"/>
              </w:rPr>
              <w:t xml:space="preserve"> за праћење </w:t>
            </w:r>
            <w:r w:rsidR="00F2646E" w:rsidRPr="0081082A">
              <w:rPr>
                <w:rFonts w:ascii="Times New Roman" w:hAnsi="Times New Roman" w:cs="Times New Roman"/>
                <w:b/>
                <w:i/>
                <w:lang w:val="sr-Cyrl-RS"/>
              </w:rPr>
              <w:t>фискалних ризика везаних за пословање јавног сектора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cs="Times New Roman"/>
                <w:b/>
                <w:i/>
                <w:lang w:val="sr-Cyrl-RS"/>
              </w:rPr>
              <w:t>1.5</w:t>
            </w:r>
            <w:r w:rsidR="00045B77" w:rsidRPr="0081082A">
              <w:rPr>
                <w:rFonts w:ascii="Times New Roman" w:hAnsi="Times New Roman" w:cs="Times New Roman"/>
                <w:b/>
                <w:i/>
                <w:lang w:val="sr-Cyrl-RS"/>
              </w:rPr>
              <w:t>.3</w:t>
            </w:r>
            <w:r w:rsidRPr="0081082A">
              <w:rPr>
                <w:rFonts w:ascii="Times New Roman" w:hAnsi="Times New Roman" w:cs="Times New Roman"/>
                <w:b/>
                <w:i/>
                <w:lang w:val="sr-Cyrl-RS"/>
              </w:rPr>
              <w:t>. Успостављање методологиј</w:t>
            </w:r>
            <w:r w:rsidR="00B66A6B" w:rsidRPr="0081082A">
              <w:rPr>
                <w:rFonts w:ascii="Times New Roman" w:hAnsi="Times New Roman" w:cs="Times New Roman"/>
                <w:b/>
                <w:i/>
                <w:lang w:val="sr-Cyrl-RS"/>
              </w:rPr>
              <w:t>а</w:t>
            </w:r>
            <w:r w:rsidRPr="0081082A">
              <w:rPr>
                <w:rFonts w:ascii="Times New Roman" w:hAnsi="Times New Roman" w:cs="Times New Roman"/>
                <w:b/>
                <w:i/>
                <w:lang w:val="sr-Cyrl-RS"/>
              </w:rPr>
              <w:t xml:space="preserve"> </w:t>
            </w:r>
            <w:r w:rsidR="00B66A6B" w:rsidRPr="0081082A">
              <w:rPr>
                <w:rFonts w:ascii="Times New Roman" w:hAnsi="Times New Roman" w:cs="Times New Roman"/>
                <w:b/>
                <w:i/>
                <w:lang w:val="sr-Cyrl-RS"/>
              </w:rPr>
              <w:t xml:space="preserve">за </w:t>
            </w:r>
            <w:r w:rsidRPr="0081082A">
              <w:rPr>
                <w:rFonts w:ascii="Times New Roman" w:hAnsi="Times New Roman" w:cs="Times New Roman"/>
                <w:b/>
                <w:i/>
                <w:lang w:val="sr-Cyrl-RS"/>
              </w:rPr>
              <w:t>Груп</w:t>
            </w:r>
            <w:r w:rsidR="00B66A6B" w:rsidRPr="0081082A">
              <w:rPr>
                <w:rFonts w:ascii="Times New Roman" w:hAnsi="Times New Roman" w:cs="Times New Roman"/>
                <w:b/>
                <w:i/>
                <w:lang w:val="sr-Cyrl-RS"/>
              </w:rPr>
              <w:t>у</w:t>
            </w:r>
            <w:r w:rsidRPr="0081082A">
              <w:rPr>
                <w:rFonts w:ascii="Times New Roman" w:hAnsi="Times New Roman" w:cs="Times New Roman"/>
                <w:b/>
                <w:i/>
                <w:lang w:val="sr-Cyrl-RS"/>
              </w:rPr>
              <w:t xml:space="preserve"> за </w:t>
            </w:r>
            <w:r w:rsidR="00B66A6B" w:rsidRPr="0081082A">
              <w:rPr>
                <w:rFonts w:ascii="Times New Roman" w:hAnsi="Times New Roman" w:cs="Times New Roman"/>
                <w:b/>
                <w:i/>
                <w:lang w:val="sr-Cyrl-RS"/>
              </w:rPr>
              <w:t xml:space="preserve">праћење </w:t>
            </w:r>
            <w:r w:rsidRPr="0081082A">
              <w:rPr>
                <w:rFonts w:ascii="Times New Roman" w:hAnsi="Times New Roman" w:cs="Times New Roman"/>
                <w:b/>
                <w:i/>
                <w:lang w:val="sr-Cyrl-RS"/>
              </w:rPr>
              <w:t>остал</w:t>
            </w:r>
            <w:r w:rsidR="00B66A6B" w:rsidRPr="0081082A">
              <w:rPr>
                <w:rFonts w:ascii="Times New Roman" w:hAnsi="Times New Roman" w:cs="Times New Roman"/>
                <w:b/>
                <w:i/>
                <w:lang w:val="sr-Cyrl-RS"/>
              </w:rPr>
              <w:t>их</w:t>
            </w:r>
            <w:r w:rsidRPr="0081082A">
              <w:rPr>
                <w:rFonts w:ascii="Times New Roman" w:hAnsi="Times New Roman" w:cs="Times New Roman"/>
                <w:b/>
                <w:i/>
                <w:lang w:val="sr-Cyrl-RS"/>
              </w:rPr>
              <w:t xml:space="preserve"> фискалн</w:t>
            </w:r>
            <w:r w:rsidR="00B66A6B" w:rsidRPr="0081082A">
              <w:rPr>
                <w:rFonts w:ascii="Times New Roman" w:hAnsi="Times New Roman" w:cs="Times New Roman"/>
                <w:b/>
                <w:i/>
                <w:lang w:val="sr-Cyrl-RS"/>
              </w:rPr>
              <w:t>их</w:t>
            </w:r>
            <w:r w:rsidRPr="0081082A">
              <w:rPr>
                <w:rFonts w:ascii="Times New Roman" w:hAnsi="Times New Roman" w:cs="Times New Roman"/>
                <w:b/>
                <w:i/>
                <w:lang w:val="sr-Cyrl-RS"/>
              </w:rPr>
              <w:t xml:space="preserve"> ризик</w:t>
            </w:r>
            <w:r w:rsidR="00B66A6B" w:rsidRPr="0081082A">
              <w:rPr>
                <w:rFonts w:ascii="Times New Roman" w:hAnsi="Times New Roman" w:cs="Times New Roman"/>
                <w:b/>
                <w:i/>
                <w:lang w:val="sr-Cyrl-RS"/>
              </w:rPr>
              <w:t>а</w:t>
            </w:r>
            <w:r w:rsidRPr="0081082A">
              <w:rPr>
                <w:rFonts w:ascii="Times New Roman" w:hAnsi="Times New Roman" w:cs="Times New Roman"/>
                <w:b/>
                <w:i/>
                <w:lang w:val="sr-Cyrl-RS"/>
              </w:rPr>
              <w:t xml:space="preserve"> – ризи</w:t>
            </w:r>
            <w:r w:rsidR="00B66A6B" w:rsidRPr="0081082A">
              <w:rPr>
                <w:rFonts w:ascii="Times New Roman" w:hAnsi="Times New Roman" w:cs="Times New Roman"/>
                <w:b/>
                <w:i/>
                <w:lang w:val="sr-Cyrl-RS"/>
              </w:rPr>
              <w:t>ка</w:t>
            </w:r>
            <w:r w:rsidRPr="0081082A">
              <w:rPr>
                <w:rFonts w:ascii="Times New Roman" w:hAnsi="Times New Roman" w:cs="Times New Roman"/>
                <w:b/>
                <w:i/>
                <w:lang w:val="sr-Cyrl-RS"/>
              </w:rPr>
              <w:t xml:space="preserve"> од елементарних непогода</w:t>
            </w:r>
            <w:r w:rsidR="00B66A6B" w:rsidRPr="0081082A">
              <w:rPr>
                <w:rFonts w:ascii="Times New Roman" w:hAnsi="Times New Roman" w:cs="Times New Roman"/>
                <w:b/>
                <w:i/>
                <w:lang w:val="sr-Cyrl-RS"/>
              </w:rPr>
              <w:t xml:space="preserve"> и</w:t>
            </w:r>
            <w:r w:rsidRPr="0081082A">
              <w:rPr>
                <w:rFonts w:ascii="Times New Roman" w:hAnsi="Times New Roman" w:cs="Times New Roman"/>
                <w:b/>
                <w:i/>
                <w:lang w:val="sr-Cyrl-RS"/>
              </w:rPr>
              <w:t xml:space="preserve"> судски спорови</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792C72" w:rsidRPr="0081082A" w:rsidRDefault="00792C72" w:rsidP="00AB1B30">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w:t>
            </w:r>
            <w:r w:rsidRPr="0081082A">
              <w:rPr>
                <w:rFonts w:ascii="Times New Roman" w:hAnsi="Times New Roman" w:cs="Times New Roman"/>
                <w:b/>
                <w:bCs/>
                <w:color w:val="FFFFFF" w:themeColor="background1"/>
                <w:lang w:val="sr-Cyrl-RS"/>
              </w:rPr>
              <w:t xml:space="preserve"> 2.1</w:t>
            </w:r>
            <w:r w:rsidRPr="0081082A">
              <w:rPr>
                <w:rFonts w:ascii="Times New Roman" w:hAnsi="Times New Roman"/>
                <w:b/>
                <w:color w:val="FFFFFF" w:themeColor="background1"/>
                <w:lang w:val="sr-Cyrl-RS"/>
              </w:rPr>
              <w:t xml:space="preserve"> </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color w:val="FFFFFF" w:themeColor="background1"/>
                <w:lang w:val="sr-Cyrl-RS"/>
              </w:rPr>
              <w:t>ЕФИКАСНО ПРИКУПЉАЊЕ БУЏЕТСКИХ ПРИХОДА</w:t>
            </w:r>
            <w:r w:rsidR="002C1423" w:rsidRPr="0081082A">
              <w:rPr>
                <w:rFonts w:ascii="Times New Roman" w:hAnsi="Times New Roman"/>
                <w:b/>
                <w:color w:val="FFFFFF" w:themeColor="background1"/>
                <w:lang w:val="sr-Cyrl-RS"/>
              </w:rPr>
              <w:t xml:space="preserve"> КОЈЕ СУ У НАДЛЕЖНОСТИ ПОРЕСКЕ УПРАВЕ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AB1B30">
            <w:pPr>
              <w:spacing w:after="0" w:line="240" w:lineRule="auto"/>
              <w:rPr>
                <w:rFonts w:ascii="Times New Roman" w:hAnsi="Times New Roman"/>
                <w:color w:val="FFFFFF" w:themeColor="background1"/>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cs="Times New Roman"/>
                <w:b/>
                <w:i/>
                <w:lang w:val="sr-Cyrl-RS"/>
              </w:rPr>
              <w:t xml:space="preserve">2.1.1 </w:t>
            </w:r>
            <w:r w:rsidRPr="0081082A">
              <w:rPr>
                <w:rFonts w:ascii="Times New Roman" w:hAnsi="Times New Roman"/>
                <w:b/>
                <w:i/>
                <w:lang w:val="sr-Cyrl-RS"/>
              </w:rPr>
              <w:t xml:space="preserve"> Реинжењеринг пословних процеса основних функција </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E34151" w:rsidP="00AB1B30">
            <w:pPr>
              <w:spacing w:after="0" w:line="240" w:lineRule="auto"/>
              <w:rPr>
                <w:rFonts w:ascii="Times New Roman" w:hAnsi="Times New Roman"/>
                <w:b/>
                <w:i/>
                <w:color w:val="000000"/>
                <w:lang w:val="sr-Cyrl-RS"/>
              </w:rPr>
            </w:pPr>
            <w:r>
              <w:rPr>
                <w:rFonts w:ascii="Times New Roman" w:hAnsi="Times New Roman"/>
                <w:b/>
                <w:i/>
                <w:lang w:val="sr-Cyrl-RS"/>
              </w:rPr>
              <w:t>2.1.2 Увођење новог с</w:t>
            </w:r>
            <w:r w:rsidR="00792C72" w:rsidRPr="0081082A">
              <w:rPr>
                <w:rFonts w:ascii="Times New Roman" w:hAnsi="Times New Roman"/>
                <w:b/>
                <w:i/>
                <w:lang w:val="sr-Cyrl-RS"/>
              </w:rPr>
              <w:t>истема фискализације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lang w:val="sr-Cyrl-RS"/>
              </w:rPr>
              <w:t xml:space="preserve">2.1.3 Унапређење ИКТ инфраструктуре-COTS  </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lang w:val="sr-Cyrl-RS"/>
              </w:rPr>
              <w:t xml:space="preserve">2.1.4 Успостављање </w:t>
            </w:r>
            <w:r w:rsidR="0015340E" w:rsidRPr="0081082A">
              <w:rPr>
                <w:rFonts w:ascii="Times New Roman" w:hAnsi="Times New Roman"/>
                <w:b/>
                <w:i/>
                <w:lang w:val="sr-Cyrl-RS"/>
              </w:rPr>
              <w:t xml:space="preserve">законодавног оквира и припрема техничких спецификација за имплементацију система </w:t>
            </w:r>
            <w:r w:rsidRPr="0081082A">
              <w:rPr>
                <w:rFonts w:ascii="Times New Roman" w:hAnsi="Times New Roman"/>
                <w:b/>
                <w:i/>
                <w:lang w:val="sr-Cyrl-RS"/>
              </w:rPr>
              <w:t xml:space="preserve">за размену информација према ЕУ стандарду </w:t>
            </w:r>
            <w:r w:rsidR="0015340E" w:rsidRPr="0081082A">
              <w:rPr>
                <w:rFonts w:ascii="Times New Roman" w:hAnsi="Times New Roman"/>
                <w:b/>
                <w:i/>
                <w:lang w:val="sr-Cyrl-RS"/>
              </w:rPr>
              <w:t>(системи за размену у области индиректног опорезивања и системи за размену у области директног опорезивања)</w:t>
            </w:r>
            <w:r w:rsidR="006069E9" w:rsidRPr="0081082A">
              <w:rPr>
                <w:rFonts w:ascii="Times New Roman" w:hAnsi="Times New Roman"/>
                <w:b/>
                <w:i/>
                <w:lang w:val="sr-Cyrl-RS"/>
              </w:rPr>
              <w:t>,</w:t>
            </w:r>
            <w:r w:rsidR="0015340E" w:rsidRPr="0081082A">
              <w:rPr>
                <w:rFonts w:ascii="Times New Roman" w:hAnsi="Times New Roman"/>
                <w:b/>
                <w:i/>
                <w:lang w:val="sr-Cyrl-RS"/>
              </w:rPr>
              <w:t xml:space="preserve"> као и испуњавање препорука </w:t>
            </w:r>
            <w:r w:rsidRPr="0081082A">
              <w:rPr>
                <w:rFonts w:ascii="Times New Roman" w:hAnsi="Times New Roman"/>
                <w:b/>
                <w:i/>
                <w:lang w:val="sr-Cyrl-RS"/>
              </w:rPr>
              <w:t>Глобалног форума</w:t>
            </w:r>
            <w:r w:rsidR="0015340E" w:rsidRPr="0081082A">
              <w:rPr>
                <w:rFonts w:ascii="Times New Roman" w:hAnsi="Times New Roman"/>
                <w:b/>
                <w:i/>
                <w:lang w:val="sr-Cyrl-RS"/>
              </w:rPr>
              <w:t xml:space="preserve"> за примену међународног </w:t>
            </w:r>
            <w:r w:rsidR="0015340E" w:rsidRPr="0081082A">
              <w:rPr>
                <w:rFonts w:ascii="Times New Roman" w:hAnsi="Times New Roman"/>
                <w:b/>
                <w:i/>
                <w:lang w:val="sr-Cyrl-RS"/>
              </w:rPr>
              <w:lastRenderedPageBreak/>
              <w:t>стандарда за размену информација на захтев и аутоматску размену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AB1B30">
            <w:pPr>
              <w:spacing w:after="0" w:line="240" w:lineRule="auto"/>
              <w:rPr>
                <w:rFonts w:ascii="Times New Roman" w:hAnsi="Times New Roman"/>
                <w:b/>
                <w:i/>
                <w:color w:val="000000"/>
                <w:lang w:val="sr-Cyrl-RS"/>
              </w:rPr>
            </w:pPr>
            <w:r w:rsidRPr="0081082A">
              <w:rPr>
                <w:rFonts w:ascii="Times New Roman" w:hAnsi="Times New Roman"/>
                <w:b/>
                <w:i/>
                <w:lang w:val="sr-Cyrl-RS"/>
              </w:rPr>
              <w:lastRenderedPageBreak/>
              <w:t xml:space="preserve">2.1.5 Унапређење функције управљања људским ресурсима  кроз развој </w:t>
            </w:r>
            <w:r w:rsidR="00DA7E7C" w:rsidRPr="0081082A">
              <w:rPr>
                <w:rFonts w:ascii="Times New Roman" w:hAnsi="Times New Roman"/>
                <w:b/>
                <w:i/>
                <w:lang w:val="sr-Cyrl-RS"/>
              </w:rPr>
              <w:t xml:space="preserve">Стратегије људских ресурса и унапређење постојећег </w:t>
            </w:r>
            <w:r w:rsidRPr="0081082A">
              <w:rPr>
                <w:rFonts w:ascii="Times New Roman" w:hAnsi="Times New Roman"/>
                <w:b/>
                <w:i/>
                <w:lang w:val="sr-Cyrl-RS"/>
              </w:rPr>
              <w:t>информационог система за управљања људским ресурса.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AB1B30">
            <w:pPr>
              <w:spacing w:after="0" w:line="240" w:lineRule="auto"/>
              <w:rPr>
                <w:rFonts w:ascii="Times New Roman" w:hAnsi="Times New Roman"/>
                <w:color w:val="000000"/>
                <w:lang w:val="sr-Cyrl-RS"/>
              </w:rPr>
            </w:pPr>
          </w:p>
        </w:tc>
      </w:tr>
      <w:tr w:rsidR="00ED270F" w:rsidRPr="0081082A" w:rsidTr="00C24F6D">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ED270F" w:rsidRPr="0081082A" w:rsidRDefault="00ED270F" w:rsidP="00ED270F">
            <w:pPr>
              <w:spacing w:after="0" w:line="240" w:lineRule="auto"/>
              <w:rPr>
                <w:rFonts w:ascii="Times New Roman" w:hAnsi="Times New Roman"/>
                <w:b/>
                <w:i/>
                <w:lang w:val="sr-Cyrl-RS"/>
              </w:rPr>
            </w:pPr>
            <w:r w:rsidRPr="0081082A">
              <w:rPr>
                <w:rFonts w:ascii="Times New Roman" w:hAnsi="Times New Roman"/>
                <w:b/>
                <w:i/>
                <w:lang w:val="sr-Cyrl-RS"/>
              </w:rPr>
              <w:t>2.1.6 Увођење система електронских отпремница – анализа законског и административног оквира, и припрема документација за набавку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r>
      <w:tr w:rsidR="00D54CD3" w:rsidRPr="0081082A" w:rsidTr="00C24F6D">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D54CD3" w:rsidRPr="0081082A" w:rsidRDefault="00D54CD3" w:rsidP="00D54CD3">
            <w:pPr>
              <w:spacing w:after="0" w:line="240" w:lineRule="auto"/>
              <w:rPr>
                <w:rFonts w:ascii="Times New Roman" w:hAnsi="Times New Roman"/>
                <w:b/>
                <w:i/>
                <w:lang w:val="sr-Cyrl-RS"/>
              </w:rPr>
            </w:pPr>
            <w:r w:rsidRPr="0081082A">
              <w:rPr>
                <w:rFonts w:ascii="Times New Roman" w:hAnsi="Times New Roman"/>
                <w:b/>
                <w:i/>
                <w:lang w:val="sr-Cyrl-RS"/>
              </w:rPr>
              <w:t>2.1.7 Увођење система електронских отпремница – увођење ИТ система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D54CD3" w:rsidRPr="0081082A" w:rsidRDefault="00D54CD3" w:rsidP="00D54CD3">
            <w:pPr>
              <w:spacing w:after="0" w:line="240" w:lineRule="auto"/>
              <w:rPr>
                <w:rFonts w:ascii="Times New Roman" w:hAnsi="Times New Roman"/>
                <w:color w:val="000000"/>
                <w:lang w:val="sr-Cyrl-RS"/>
              </w:rPr>
            </w:pPr>
          </w:p>
        </w:tc>
      </w:tr>
      <w:tr w:rsidR="00ED270F" w:rsidRPr="0081082A" w:rsidTr="00C24F6D">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ED270F" w:rsidRPr="0081082A" w:rsidRDefault="00ED270F" w:rsidP="00ED270F">
            <w:pPr>
              <w:spacing w:after="0" w:line="240" w:lineRule="auto"/>
              <w:rPr>
                <w:rFonts w:ascii="Times New Roman" w:hAnsi="Times New Roman"/>
                <w:b/>
                <w:i/>
                <w:lang w:val="sr-Cyrl-RS"/>
              </w:rPr>
            </w:pPr>
            <w:r w:rsidRPr="0081082A">
              <w:rPr>
                <w:rFonts w:ascii="Times New Roman" w:hAnsi="Times New Roman"/>
                <w:b/>
                <w:i/>
                <w:lang w:val="sr-Cyrl-RS"/>
              </w:rPr>
              <w:t>2.1.8 Увођење ИТ система за управљање непокретном имовином Министарства финансија и управа у саставу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ED270F" w:rsidRPr="0081082A" w:rsidRDefault="00ED270F" w:rsidP="00ED270F">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792C72" w:rsidRPr="0081082A" w:rsidRDefault="00792C72" w:rsidP="005C0798">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2.2</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color w:val="FFFFFF" w:themeColor="background1"/>
                <w:lang w:val="sr-Cyrl-RS"/>
              </w:rPr>
              <w:t>МОДЕРНИЗАЦИЈА ПРОЦЕСА РАДА УПРАВЕ ЗА ДУВАН</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5C0798">
            <w:pPr>
              <w:spacing w:after="0" w:line="240" w:lineRule="auto"/>
              <w:rPr>
                <w:rFonts w:ascii="Times New Roman" w:hAnsi="Times New Roman"/>
                <w:b/>
                <w:i/>
                <w:color w:val="000000"/>
                <w:lang w:val="sr-Cyrl-RS"/>
              </w:rPr>
            </w:pPr>
            <w:r w:rsidRPr="0081082A">
              <w:rPr>
                <w:rFonts w:ascii="Times New Roman" w:hAnsi="Times New Roman" w:cs="Times New Roman"/>
                <w:b/>
                <w:i/>
                <w:lang w:val="sr-Cyrl-RS"/>
              </w:rPr>
              <w:t xml:space="preserve">2.2.1 </w:t>
            </w:r>
            <w:r w:rsidRPr="0081082A">
              <w:rPr>
                <w:rFonts w:ascii="Times New Roman" w:hAnsi="Times New Roman"/>
                <w:b/>
                <w:i/>
                <w:lang w:val="sr-Cyrl-RS"/>
              </w:rPr>
              <w:t>Успостављање јединственог система регистара који ће објединити све регистре и евиденционе листе како би се побољшала ефикасност пружања услуга Управе за дуван</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5C0798">
            <w:pPr>
              <w:spacing w:after="0" w:line="240" w:lineRule="auto"/>
              <w:rPr>
                <w:rFonts w:ascii="Times New Roman" w:hAnsi="Times New Roman"/>
                <w:b/>
                <w:i/>
                <w:color w:val="000000"/>
                <w:lang w:val="sr-Cyrl-RS"/>
              </w:rPr>
            </w:pPr>
            <w:r w:rsidRPr="0081082A">
              <w:rPr>
                <w:rFonts w:ascii="Times New Roman" w:hAnsi="Times New Roman"/>
                <w:b/>
                <w:i/>
                <w:lang w:val="sr-Cyrl-RS"/>
              </w:rPr>
              <w:t>2.2.2  Јачање капацитета људских ресурса Управе за дуван и других партнерских институција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5C0798">
            <w:pPr>
              <w:spacing w:after="0" w:line="240" w:lineRule="auto"/>
              <w:rPr>
                <w:rFonts w:ascii="Times New Roman" w:hAnsi="Times New Roman"/>
                <w:b/>
                <w:i/>
                <w:color w:val="000000"/>
                <w:lang w:val="sr-Cyrl-RS"/>
              </w:rPr>
            </w:pPr>
            <w:r w:rsidRPr="0081082A">
              <w:rPr>
                <w:rFonts w:ascii="Times New Roman" w:hAnsi="Times New Roman"/>
                <w:b/>
                <w:i/>
                <w:lang w:val="sr-Cyrl-RS"/>
              </w:rPr>
              <w:t>2.2.3 Повећање дигиталне свести привредних субјеката  који послују на тржишту дувана и дуванских производа.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792C72" w:rsidRPr="0081082A" w:rsidRDefault="00792C72" w:rsidP="005C0798">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2.3</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color w:val="FFFFFF" w:themeColor="background1"/>
                <w:lang w:val="sr-Cyrl-RS"/>
              </w:rPr>
              <w:t>ЈАЧАЊЕ АДМИНИСТРАТИВНИХ КАПАЦИТЕТА УПРАВЕ ЦАРИНА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792C72" w:rsidRPr="0081082A" w:rsidRDefault="00792C72" w:rsidP="005C0798">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5C0798">
            <w:pPr>
              <w:spacing w:after="0" w:line="240" w:lineRule="auto"/>
              <w:rPr>
                <w:rFonts w:ascii="Times New Roman" w:hAnsi="Times New Roman"/>
                <w:b/>
                <w:i/>
                <w:color w:val="000000"/>
                <w:lang w:val="sr-Cyrl-RS"/>
              </w:rPr>
            </w:pPr>
            <w:r w:rsidRPr="0081082A">
              <w:rPr>
                <w:rFonts w:ascii="Times New Roman" w:hAnsi="Times New Roman" w:cs="Times New Roman"/>
                <w:b/>
                <w:i/>
                <w:lang w:val="sr-Cyrl-RS"/>
              </w:rPr>
              <w:t xml:space="preserve">2.3.1 </w:t>
            </w:r>
            <w:r w:rsidRPr="0081082A">
              <w:rPr>
                <w:rFonts w:ascii="Times New Roman" w:hAnsi="Times New Roman"/>
                <w:b/>
                <w:i/>
                <w:lang w:val="sr-Cyrl-RS"/>
              </w:rPr>
              <w:t xml:space="preserve"> Побољшање процеса за финансијско обезбеђење царинског дуга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792C72" w:rsidRPr="0081082A" w:rsidRDefault="00792C72" w:rsidP="005C0798">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5C0798">
            <w:pPr>
              <w:spacing w:after="0" w:line="240" w:lineRule="auto"/>
              <w:rPr>
                <w:rFonts w:ascii="Times New Roman" w:hAnsi="Times New Roman"/>
                <w:b/>
                <w:i/>
                <w:color w:val="000000"/>
                <w:lang w:val="sr-Cyrl-RS"/>
              </w:rPr>
            </w:pPr>
            <w:r w:rsidRPr="0081082A">
              <w:rPr>
                <w:rFonts w:ascii="Times New Roman" w:hAnsi="Times New Roman" w:cs="Times New Roman"/>
                <w:b/>
                <w:i/>
                <w:lang w:val="sr-Cyrl-RS"/>
              </w:rPr>
              <w:t xml:space="preserve">2.3.2 </w:t>
            </w:r>
            <w:r w:rsidRPr="0081082A">
              <w:rPr>
                <w:rFonts w:ascii="Times New Roman" w:hAnsi="Times New Roman"/>
                <w:b/>
                <w:i/>
                <w:lang w:val="sr-Cyrl-RS"/>
              </w:rPr>
              <w:t xml:space="preserve">Развој капацитета  за пуну примену регулативе ТСС ЕУ и извештавање о приходима ЕУ </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5C0798">
            <w:pPr>
              <w:spacing w:after="0" w:line="240" w:lineRule="auto"/>
              <w:rPr>
                <w:rFonts w:ascii="Times New Roman" w:hAnsi="Times New Roman"/>
                <w:b/>
                <w:i/>
                <w:color w:val="000000"/>
                <w:lang w:val="sr-Cyrl-RS"/>
              </w:rPr>
            </w:pPr>
            <w:r w:rsidRPr="0081082A">
              <w:rPr>
                <w:rFonts w:ascii="Times New Roman" w:hAnsi="Times New Roman" w:cs="Times New Roman"/>
                <w:b/>
                <w:i/>
                <w:lang w:val="sr-Cyrl-RS"/>
              </w:rPr>
              <w:t xml:space="preserve">2.3.3 </w:t>
            </w:r>
            <w:r w:rsidRPr="0081082A">
              <w:rPr>
                <w:rFonts w:ascii="Times New Roman" w:hAnsi="Times New Roman"/>
                <w:b/>
                <w:i/>
                <w:lang w:val="sr-Cyrl-RS"/>
              </w:rPr>
              <w:t xml:space="preserve"> Унапређење капацитета за ефектне накнадне контроле, утврђивање царинске вредности и преференцијалног порекла и сврставања робе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5C0798">
            <w:pPr>
              <w:spacing w:after="0" w:line="240" w:lineRule="auto"/>
              <w:rPr>
                <w:rFonts w:ascii="Times New Roman" w:hAnsi="Times New Roman"/>
                <w:b/>
                <w:i/>
                <w:color w:val="000000"/>
                <w:lang w:val="sr-Cyrl-RS"/>
              </w:rPr>
            </w:pPr>
            <w:r w:rsidRPr="0081082A">
              <w:rPr>
                <w:rFonts w:ascii="Times New Roman" w:hAnsi="Times New Roman" w:cs="Times New Roman"/>
                <w:b/>
                <w:i/>
                <w:lang w:val="sr-Cyrl-RS"/>
              </w:rPr>
              <w:lastRenderedPageBreak/>
              <w:t xml:space="preserve">2.3.4 </w:t>
            </w:r>
            <w:r w:rsidRPr="0081082A">
              <w:rPr>
                <w:rFonts w:ascii="Times New Roman" w:hAnsi="Times New Roman"/>
                <w:b/>
                <w:i/>
                <w:lang w:val="sr-Cyrl-RS"/>
              </w:rPr>
              <w:t xml:space="preserve"> Модернизација царинске лабораторије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r>
      <w:tr w:rsidR="00792C7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792C72" w:rsidRPr="0081082A" w:rsidRDefault="00792C72" w:rsidP="005C0798">
            <w:pPr>
              <w:spacing w:after="0" w:line="240" w:lineRule="auto"/>
              <w:rPr>
                <w:rFonts w:ascii="Times New Roman" w:hAnsi="Times New Roman"/>
                <w:b/>
                <w:i/>
                <w:color w:val="000000"/>
                <w:lang w:val="sr-Cyrl-RS"/>
              </w:rPr>
            </w:pPr>
            <w:r w:rsidRPr="0081082A">
              <w:rPr>
                <w:rFonts w:ascii="Times New Roman" w:hAnsi="Times New Roman" w:cs="Times New Roman"/>
                <w:b/>
                <w:i/>
                <w:lang w:val="sr-Cyrl-RS"/>
              </w:rPr>
              <w:t xml:space="preserve">2.3.5 </w:t>
            </w:r>
            <w:r w:rsidRPr="0081082A">
              <w:rPr>
                <w:rFonts w:ascii="Times New Roman" w:hAnsi="Times New Roman"/>
                <w:b/>
                <w:i/>
                <w:lang w:val="sr-Cyrl-RS"/>
              </w:rPr>
              <w:t xml:space="preserve"> </w:t>
            </w:r>
            <w:r w:rsidR="001942F5" w:rsidRPr="0081082A">
              <w:rPr>
                <w:rFonts w:ascii="Times New Roman" w:hAnsi="Times New Roman"/>
                <w:b/>
                <w:i/>
                <w:lang w:val="sr-Cyrl-RS"/>
              </w:rPr>
              <w:t>Припремне активности у циљу у</w:t>
            </w:r>
            <w:r w:rsidRPr="0081082A">
              <w:rPr>
                <w:rFonts w:ascii="Times New Roman" w:hAnsi="Times New Roman"/>
                <w:b/>
                <w:i/>
                <w:lang w:val="sr-Cyrl-RS"/>
              </w:rPr>
              <w:t>напређењ</w:t>
            </w:r>
            <w:r w:rsidR="001942F5" w:rsidRPr="0081082A">
              <w:rPr>
                <w:rFonts w:ascii="Times New Roman" w:hAnsi="Times New Roman"/>
                <w:b/>
                <w:i/>
                <w:lang w:val="sr-Cyrl-RS"/>
              </w:rPr>
              <w:t>а</w:t>
            </w:r>
            <w:r w:rsidRPr="0081082A">
              <w:rPr>
                <w:rFonts w:ascii="Times New Roman" w:hAnsi="Times New Roman"/>
                <w:b/>
                <w:i/>
                <w:lang w:val="sr-Cyrl-RS"/>
              </w:rPr>
              <w:t xml:space="preserve"> управљања</w:t>
            </w:r>
            <w:r w:rsidR="001942F5" w:rsidRPr="0081082A">
              <w:rPr>
                <w:rFonts w:ascii="Times New Roman" w:hAnsi="Times New Roman"/>
                <w:b/>
                <w:i/>
                <w:lang w:val="sr-Cyrl-RS"/>
              </w:rPr>
              <w:t xml:space="preserve"> и</w:t>
            </w:r>
            <w:r w:rsidRPr="0081082A">
              <w:rPr>
                <w:rFonts w:ascii="Times New Roman" w:hAnsi="Times New Roman"/>
                <w:b/>
                <w:i/>
                <w:lang w:val="sr-Cyrl-RS"/>
              </w:rPr>
              <w:t xml:space="preserve"> јавне продаје одузете царинске робе и  развој царинске инфраструктуре складишта посебне намене </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792C72" w:rsidRPr="0081082A" w:rsidRDefault="00792C72" w:rsidP="005C0798">
            <w:pPr>
              <w:spacing w:after="0" w:line="240" w:lineRule="auto"/>
              <w:rPr>
                <w:rFonts w:ascii="Times New Roman" w:hAnsi="Times New Roman"/>
                <w:color w:val="000000"/>
                <w:lang w:val="sr-Cyrl-RS"/>
              </w:rPr>
            </w:pPr>
          </w:p>
        </w:tc>
      </w:tr>
      <w:tr w:rsidR="00EA18D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EA18D2" w:rsidRPr="0081082A" w:rsidRDefault="00EA18D2" w:rsidP="00121E60">
            <w:pPr>
              <w:spacing w:after="0" w:line="240" w:lineRule="auto"/>
              <w:rPr>
                <w:rFonts w:ascii="Times New Roman" w:hAnsi="Times New Roman" w:cs="Times New Roman"/>
                <w:b/>
                <w:i/>
                <w:lang w:val="sr-Cyrl-RS"/>
              </w:rPr>
            </w:pPr>
            <w:r w:rsidRPr="0081082A">
              <w:rPr>
                <w:rFonts w:ascii="Times New Roman" w:hAnsi="Times New Roman" w:cs="Times New Roman"/>
                <w:b/>
                <w:i/>
                <w:lang w:val="sr-Cyrl-RS"/>
              </w:rPr>
              <w:t>2.3.6 Имплементација увозних и извозних аутоматизованих система (АИС-АЕС) и система управљања (ЦДМС)</w:t>
            </w:r>
          </w:p>
          <w:p w:rsidR="00EA18D2" w:rsidRPr="0081082A" w:rsidRDefault="00EA18D2" w:rsidP="00121E60">
            <w:pPr>
              <w:spacing w:after="0" w:line="240" w:lineRule="auto"/>
              <w:rPr>
                <w:rFonts w:ascii="Times New Roman" w:hAnsi="Times New Roman" w:cs="Times New Roman"/>
                <w:b/>
                <w:i/>
                <w:lang w:val="sr-Cyrl-RS"/>
              </w:rPr>
            </w:pP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EA18D2" w:rsidRPr="0081082A" w:rsidRDefault="00EA18D2" w:rsidP="00121E60">
            <w:pPr>
              <w:spacing w:after="0" w:line="240" w:lineRule="auto"/>
              <w:rPr>
                <w:rFonts w:ascii="Times New Roman" w:hAnsi="Times New Roman" w:cs="Times New Roman"/>
                <w:b/>
                <w:i/>
                <w:lang w:val="sr-Cyrl-RS"/>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121E60" w:rsidRPr="0081082A" w:rsidRDefault="00121E60" w:rsidP="00121E60">
            <w:pPr>
              <w:spacing w:after="0" w:line="240" w:lineRule="auto"/>
              <w:rPr>
                <w:rFonts w:ascii="Times New Roman" w:hAnsi="Times New Roman" w:cs="Times New Roman"/>
                <w:b/>
                <w:i/>
                <w:lang w:val="sr-Cyrl-RS"/>
              </w:rPr>
            </w:pPr>
            <w:r w:rsidRPr="0081082A">
              <w:rPr>
                <w:rFonts w:ascii="Times New Roman" w:hAnsi="Times New Roman" w:cs="Times New Roman"/>
                <w:b/>
                <w:i/>
                <w:lang w:val="sr-Cyrl-RS"/>
              </w:rPr>
              <w:t>2.3.7 Увођење интегрисаног система управљања тарифом (ITMS)</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lang w:val="sr-Cyrl-RS"/>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121E60" w:rsidRPr="0081082A" w:rsidRDefault="00121E60" w:rsidP="00121E60">
            <w:pPr>
              <w:spacing w:after="0" w:line="240" w:lineRule="auto"/>
              <w:rPr>
                <w:rFonts w:ascii="Times New Roman" w:hAnsi="Times New Roman" w:cs="Times New Roman"/>
                <w:b/>
                <w:i/>
                <w:highlight w:val="lightGray"/>
                <w:lang w:val="sr-Cyrl-RS"/>
              </w:rPr>
            </w:pPr>
            <w:r w:rsidRPr="0081082A">
              <w:rPr>
                <w:rFonts w:ascii="Times New Roman" w:hAnsi="Times New Roman" w:cs="Times New Roman"/>
                <w:b/>
                <w:i/>
                <w:lang w:val="sr-Cyrl-RS"/>
              </w:rPr>
              <w:t>2.3.8 Набавка складишта за чување царинских података (data warehouse)</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s="Times New Roman"/>
                <w:b/>
                <w:i/>
                <w:highlight w:val="lightGray"/>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s="Times New Roman"/>
                <w:i/>
                <w:highlight w:val="lightGray"/>
                <w:lang w:val="sr-Cyrl-RS"/>
                <w14:textOutline w14:w="0" w14:cap="flat" w14:cmpd="sng" w14:algn="ctr">
                  <w14:noFill/>
                  <w14:prstDash w14:val="solid"/>
                  <w14:round/>
                </w14:textOutline>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121E60" w:rsidRPr="0081082A" w:rsidRDefault="00121E60" w:rsidP="00121E60">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2.4:</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color w:val="FFFFFF" w:themeColor="background1"/>
                <w:lang w:val="sr-Cyrl-RS"/>
              </w:rPr>
              <w:t>ЕФИКАСНО УПРАВЉАЊЕ ЈАВНИМ ДУГОМ</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121E60" w:rsidRPr="0081082A" w:rsidRDefault="00121E60" w:rsidP="00121E6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2.4.1 Јачање средњорочне стратегије управљања јавним дугом израдом модела за управљање ризицима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121E60" w:rsidRPr="0081082A" w:rsidRDefault="00121E60" w:rsidP="00121E60">
            <w:pPr>
              <w:spacing w:after="0" w:line="240" w:lineRule="auto"/>
              <w:rPr>
                <w:rFonts w:ascii="Times New Roman" w:hAnsi="Times New Roman"/>
                <w:b/>
                <w:i/>
                <w:color w:val="000000"/>
                <w:lang w:val="sr-Cyrl-RS"/>
              </w:rPr>
            </w:pPr>
            <w:r w:rsidRPr="0081082A">
              <w:rPr>
                <w:rStyle w:val="PageNumber"/>
                <w:rFonts w:ascii="Times New Roman" w:hAnsi="Times New Roman"/>
                <w:b/>
                <w:i/>
                <w:lang w:val="sr-Cyrl-RS"/>
              </w:rPr>
              <w:t xml:space="preserve">2.4.2 </w:t>
            </w:r>
            <w:r w:rsidR="0061375C" w:rsidRPr="0081082A">
              <w:rPr>
                <w:rStyle w:val="PageNumber"/>
                <w:rFonts w:ascii="Times New Roman" w:hAnsi="Times New Roman"/>
                <w:b/>
                <w:i/>
                <w:lang w:val="sr-Cyrl-RS"/>
              </w:rPr>
              <w:t>Спровођење пилот пројекта за у</w:t>
            </w:r>
            <w:r w:rsidRPr="0081082A">
              <w:rPr>
                <w:rStyle w:val="PageNumber"/>
                <w:rFonts w:ascii="Times New Roman" w:hAnsi="Times New Roman"/>
                <w:b/>
                <w:i/>
                <w:lang w:val="sr-Cyrl-RS"/>
              </w:rPr>
              <w:t>вођење система Примарних дилера и даљи развој домаћег тржишта обвезница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121E60" w:rsidRPr="0081082A" w:rsidRDefault="00121E60" w:rsidP="00121E60">
            <w:pPr>
              <w:spacing w:after="0" w:line="240" w:lineRule="auto"/>
              <w:rPr>
                <w:rFonts w:ascii="Times New Roman" w:hAnsi="Times New Roman"/>
                <w:b/>
                <w:i/>
                <w:color w:val="000000"/>
                <w:lang w:val="sr-Cyrl-RS"/>
              </w:rPr>
            </w:pPr>
            <w:r w:rsidRPr="0081082A">
              <w:rPr>
                <w:rStyle w:val="PageNumber"/>
                <w:rFonts w:ascii="Times New Roman" w:hAnsi="Times New Roman"/>
                <w:b/>
                <w:i/>
                <w:lang w:val="sr-Cyrl-RS"/>
              </w:rPr>
              <w:t>2.4.3 Надоградња постојећег информационог система (PDMS) – употребом алата пословне интелигенције, ради унапређења извештавања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121E60" w:rsidRPr="0081082A" w:rsidRDefault="00121E60" w:rsidP="00121E60">
            <w:pPr>
              <w:spacing w:after="0" w:line="240" w:lineRule="auto"/>
              <w:rPr>
                <w:rStyle w:val="PageNumber"/>
                <w:rFonts w:ascii="Times New Roman" w:hAnsi="Times New Roman"/>
                <w:b/>
                <w:i/>
                <w:lang w:val="sr-Cyrl-RS"/>
              </w:rPr>
            </w:pPr>
            <w:r w:rsidRPr="0081082A">
              <w:rPr>
                <w:rStyle w:val="PageNumber"/>
                <w:rFonts w:ascii="Times New Roman" w:hAnsi="Times New Roman"/>
                <w:b/>
                <w:i/>
                <w:lang w:val="sr-Cyrl-RS"/>
              </w:rPr>
              <w:t>2.4.4 Надоградња постојећег информационог система (PDMS) развијеним модулом за управљање ризицима.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121E60" w:rsidRPr="0081082A" w:rsidRDefault="00121E60" w:rsidP="00121E60">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2.5</w:t>
            </w:r>
            <w:r w:rsidRPr="0081082A">
              <w:rPr>
                <w:rFonts w:ascii="Times New Roman" w:hAnsi="Times New Roman" w:cs="Times New Roman"/>
                <w:b/>
                <w:bCs/>
                <w:color w:val="FFFFFF" w:themeColor="background1"/>
                <w:lang w:val="sr-Cyrl-RS"/>
              </w:rPr>
              <w:t xml:space="preserve"> </w:t>
            </w:r>
            <w:r w:rsidRPr="0081082A">
              <w:rPr>
                <w:rFonts w:ascii="Times New Roman" w:hAnsi="Times New Roman"/>
                <w:b/>
                <w:color w:val="FFFFFF" w:themeColor="background1"/>
                <w:lang w:val="sr-Cyrl-RS"/>
              </w:rPr>
              <w:t>УНАПРЕЂЕЊЕ ЕЛЕКТРОНСКОГ СИСТЕМА ЈАВНИХ НАБАВКИ</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121E60" w:rsidRPr="0081082A" w:rsidRDefault="00121E60" w:rsidP="00121E60">
            <w:pPr>
              <w:spacing w:after="0" w:line="240" w:lineRule="auto"/>
              <w:rPr>
                <w:rFonts w:ascii="Times New Roman" w:hAnsi="Times New Roman"/>
                <w:color w:val="000000"/>
                <w:lang w:val="sr-Cyrl-RS"/>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121E60" w:rsidRPr="0081082A" w:rsidRDefault="00121E60" w:rsidP="00121E60">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 xml:space="preserve">2.5.1 </w:t>
            </w:r>
            <w:r w:rsidR="00CC7517" w:rsidRPr="0081082A">
              <w:rPr>
                <w:rFonts w:ascii="Times New Roman" w:hAnsi="Times New Roman"/>
                <w:b/>
                <w:i/>
                <w:color w:val="000000"/>
                <w:lang w:val="sr-Cyrl-RS"/>
              </w:rPr>
              <w:t xml:space="preserve">Надоградња портала јавних набавки новим функционалностима </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r>
      <w:tr w:rsidR="00121E60"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121E60" w:rsidRPr="0081082A" w:rsidRDefault="00121E60" w:rsidP="00121E60">
            <w:pPr>
              <w:spacing w:after="0" w:line="240" w:lineRule="auto"/>
              <w:rPr>
                <w:rFonts w:ascii="Times New Roman" w:hAnsi="Times New Roman"/>
                <w:b/>
                <w:i/>
                <w:color w:val="000000"/>
                <w:lang w:val="sr-Cyrl-RS"/>
              </w:rPr>
            </w:pPr>
            <w:r w:rsidRPr="0081082A">
              <w:rPr>
                <w:rFonts w:ascii="Times New Roman" w:hAnsi="Times New Roman"/>
                <w:lang w:val="sr-Cyrl-RS"/>
              </w:rPr>
              <w:br w:type="page"/>
            </w:r>
            <w:r w:rsidRPr="0081082A">
              <w:rPr>
                <w:rFonts w:ascii="Times New Roman" w:hAnsi="Times New Roman"/>
                <w:b/>
                <w:i/>
                <w:color w:val="000000"/>
                <w:lang w:val="sr-Cyrl-RS"/>
              </w:rPr>
              <w:t>2.5.2 Израда мобилне апликације за Портал јавних набавки</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121E60" w:rsidRPr="0081082A" w:rsidRDefault="00121E60" w:rsidP="00121E60">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cs="Times New Roman"/>
                <w:b/>
                <w:bCs/>
                <w:i/>
                <w:iCs/>
                <w:color w:val="000000"/>
                <w:lang w:val="sr-Cyrl-RS"/>
              </w:rPr>
            </w:pPr>
            <w:r w:rsidRPr="0081082A">
              <w:rPr>
                <w:rFonts w:ascii="Times New Roman" w:hAnsi="Times New Roman"/>
                <w:b/>
                <w:i/>
                <w:color w:val="000000"/>
                <w:lang w:val="sr-Cyrl-RS"/>
              </w:rPr>
              <w:t>2.5.3 Јачање капацитета Канцеларије за јавне набавке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0A6D58"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2.5.4 Организација обука за наручиоце и понуђаче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2.5.5  Израда и усвајање документа јавне политике за развој јавних набавки за период 2024-2028</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2E74B5" w:themeColor="accent1" w:themeShade="BF"/>
                <w:lang w:val="sr-Cyrl-RS"/>
              </w:rPr>
            </w:pPr>
          </w:p>
        </w:tc>
      </w:tr>
      <w:tr w:rsidR="000A6D58"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lastRenderedPageBreak/>
              <w:t>МЕРА 3.1: ФОРМИРАЊЕ БАЗЕ ЗА ЈАЧАЊЕ ИНСТИТУЦИОНАЛНИХ И АДМИНИСТРАТИВНИХ КАПАЦИТЕТА КАНЦЕЛАРИЈЕ ЗА РЕВИЗИЈУ СИСТЕМА УПРАВЉАЊА СРЕДСТВИМА ЕВРОПСКЕ УНИЈЕ КОЈИ ОМОГУЋУЈУ ДЕЛОТВОРНУ РЕВИЗИЈУ СИСТЕМА КОНТРОЛЕ ЕУ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3.1.1 Јачање законодавног оквира за реинституционализацију Канцеларије – усвајање и спровођење нове правне основе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cs="Times New Roman"/>
                <w:b/>
                <w:bCs/>
                <w:i/>
                <w:iCs/>
                <w:color w:val="000000"/>
                <w:lang w:val="sr-Cyrl-RS"/>
              </w:rPr>
            </w:pPr>
            <w:r w:rsidRPr="0081082A">
              <w:rPr>
                <w:rFonts w:ascii="Times New Roman" w:hAnsi="Times New Roman"/>
                <w:b/>
                <w:i/>
                <w:color w:val="000000"/>
                <w:lang w:val="sr-Cyrl-RS"/>
              </w:rPr>
              <w:t>3.1.2 Развијање политике задржавања кадрова како би се осигурали адекватни и стабилни административни капацитети Канцеларије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804C7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804C77" w:rsidRPr="0081082A" w:rsidRDefault="00804C7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 xml:space="preserve">3.1.3 </w:t>
            </w:r>
            <w:r w:rsidR="00A84597" w:rsidRPr="0081082A">
              <w:rPr>
                <w:rFonts w:ascii="Times New Roman" w:hAnsi="Times New Roman"/>
                <w:b/>
                <w:i/>
                <w:color w:val="000000"/>
                <w:lang w:val="sr-Cyrl-RS"/>
              </w:rPr>
              <w:t>Јачање капацитета Канцеларије за ревизију система управљања средствима ЕУ како би се осигурао ефикасан систем контроле и ревизија ЕУ средстава у складу са законодавним оквиром ЕУ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804C77" w:rsidRPr="0081082A" w:rsidRDefault="00804C7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3.2: ЈАЧАЊЕ СИСТЕМА ЗА ЕФИКАСНИЈЕ И ЕФЕКТИВНИЈЕ УПРАВЉАЊЕ СРЕДСТВИМА ЕВРОПСКЕ УНИЈЕ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3.2.1 Израда нових процедура поступања, методолошких смерница те додатних помоћних алата за институције надлежне за управљање и спровођење средстава ЕУ са циљем повећања ефикасности извршених контрола и смањења административног оптерећења.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3.2.2</w:t>
            </w:r>
            <w:r w:rsidRPr="0081082A">
              <w:rPr>
                <w:lang w:val="sr-Cyrl-RS"/>
              </w:rPr>
              <w:t xml:space="preserve"> </w:t>
            </w:r>
            <w:r w:rsidRPr="0081082A">
              <w:rPr>
                <w:rFonts w:ascii="Times New Roman" w:hAnsi="Times New Roman"/>
                <w:b/>
                <w:i/>
                <w:color w:val="000000"/>
                <w:lang w:val="sr-Cyrl-RS"/>
              </w:rPr>
              <w:t>Успостављање система и спровођење континуиране стручне обуке и обуке на лицу места везане за управљање и надзор система, финансијско управљање, контролу коришћења средстава, управљање ризицима и неправилностима.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 xml:space="preserve">3.2.3 Осигурање одговарајућег броја службеника </w:t>
            </w:r>
            <w:r w:rsidR="00D55C30" w:rsidRPr="0081082A">
              <w:rPr>
                <w:rFonts w:ascii="Times New Roman" w:hAnsi="Times New Roman"/>
                <w:b/>
                <w:i/>
                <w:color w:val="000000"/>
                <w:lang w:val="sr-Cyrl-RS"/>
              </w:rPr>
              <w:t>и</w:t>
            </w:r>
            <w:r w:rsidRPr="0081082A">
              <w:rPr>
                <w:rFonts w:ascii="Times New Roman" w:hAnsi="Times New Roman"/>
                <w:b/>
                <w:i/>
                <w:color w:val="000000"/>
                <w:lang w:val="sr-Cyrl-RS"/>
              </w:rPr>
              <w:t xml:space="preserve"> јачање капацитета у погледу </w:t>
            </w:r>
            <w:r w:rsidR="00D55C30" w:rsidRPr="0081082A">
              <w:rPr>
                <w:rFonts w:ascii="Times New Roman" w:hAnsi="Times New Roman"/>
                <w:b/>
                <w:i/>
                <w:color w:val="000000"/>
                <w:lang w:val="sr-Cyrl-RS"/>
              </w:rPr>
              <w:t xml:space="preserve">ширења опсега и квалитета </w:t>
            </w:r>
            <w:r w:rsidRPr="0081082A">
              <w:rPr>
                <w:rFonts w:ascii="Times New Roman" w:hAnsi="Times New Roman"/>
                <w:b/>
                <w:i/>
                <w:color w:val="000000"/>
                <w:lang w:val="sr-Cyrl-RS"/>
              </w:rPr>
              <w:t>провера на лицу места</w:t>
            </w:r>
            <w:r w:rsidR="00D55C30" w:rsidRPr="0081082A">
              <w:rPr>
                <w:rFonts w:ascii="Times New Roman" w:hAnsi="Times New Roman"/>
                <w:b/>
                <w:i/>
                <w:color w:val="000000"/>
                <w:lang w:val="sr-Cyrl-RS"/>
              </w:rPr>
              <w:t xml:space="preserve"> и вршења надзорних функција</w:t>
            </w:r>
            <w:r w:rsidRPr="0081082A">
              <w:rPr>
                <w:rFonts w:ascii="Times New Roman" w:hAnsi="Times New Roman"/>
                <w:b/>
                <w:i/>
                <w:color w:val="000000"/>
                <w:lang w:val="sr-Cyrl-RS"/>
              </w:rPr>
              <w:t xml:space="preserve"> код корисника јавних средстава.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 xml:space="preserve">3.2.4 Унапређење информационог </w:t>
            </w:r>
            <w:r w:rsidRPr="0081082A">
              <w:rPr>
                <w:rFonts w:ascii="Times New Roman" w:hAnsi="Times New Roman"/>
                <w:b/>
                <w:i/>
                <w:color w:val="000000"/>
                <w:lang w:val="sr-Cyrl-RS"/>
              </w:rPr>
              <w:lastRenderedPageBreak/>
              <w:t>система намењеног подршци пословним процесима за управљање системом и спровођењу уговора и коришћењу средстава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Times New Roman" w:hAnsi="Times New Roman" w:cs="Times New Roman"/>
                <w:b/>
                <w:bCs/>
                <w:color w:val="FFFFFF" w:themeColor="background1"/>
                <w:lang w:val="sr-Cyrl-RS"/>
              </w:rPr>
            </w:pPr>
            <w:r w:rsidRPr="0081082A">
              <w:rPr>
                <w:rFonts w:ascii="Times New Roman" w:hAnsi="Times New Roman"/>
                <w:b/>
                <w:color w:val="FFFFFF" w:themeColor="background1"/>
                <w:lang w:val="sr-Cyrl-RS"/>
              </w:rPr>
              <w:lastRenderedPageBreak/>
              <w:t xml:space="preserve">МЕРА 3.3 </w:t>
            </w:r>
            <w:r w:rsidRPr="0081082A">
              <w:rPr>
                <w:rFonts w:ascii="Times New Roman" w:hAnsi="Times New Roman" w:cs="Times New Roman"/>
                <w:b/>
                <w:bCs/>
                <w:color w:val="FFFFFF" w:themeColor="background1"/>
                <w:lang w:val="sr-Cyrl-RS"/>
              </w:rPr>
              <w:t>ПОВЕЋАЊЕ ЕФИКАСНОСТИ И ЕФЕКТИВНОСТИ ИНСПЕКЦИЈСКЕ КОНТРОЛЕ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3.3.1 Доношење методолошких упутства o начину рада буџетске инспекције по областима вршења контрола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3.3.2 Професионално усавршавање буџетских инспектора и других запослених у буџетској инспекцији континуираном едукацијом</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3.3.3  Обезбеђивање потребног броја инспектора - 38</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3.3.4 Измене и допуне Закона о буџетском систему и подзаконских аката буџетске инспекције / Доношење закона о буџетској инспекцији</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Times New Roman" w:hAnsi="Times New Roman"/>
                <w:b/>
                <w:color w:val="FFFFFF" w:themeColor="background1"/>
                <w:lang w:val="sr-Cyrl-RS"/>
              </w:rPr>
            </w:pPr>
            <w:r w:rsidRPr="0081082A">
              <w:rPr>
                <w:rFonts w:ascii="Times New Roman" w:hAnsi="Times New Roman"/>
                <w:b/>
                <w:color w:val="FFFFFF" w:themeColor="background1"/>
                <w:lang w:val="sr-Cyrl-RS"/>
              </w:rPr>
              <w:t>МЕРА 4.1: УНАПРЕЂЕЊЕ СИСТЕМА ФУК-А У ИНСТИТУЦИЈАМА ЈАВНОГ СЕКТОРА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4.1.1 Сарадња са Сектором буџета у вези са унапређењем управљања учинком организације (веза са Стратегијом РЈУ, мера 4.1.2)</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4.1.2 Анализа примене постојећег правног и методолошког оквира и његово унапређење (нпр.</w:t>
            </w:r>
            <w:r w:rsidR="0077679F" w:rsidRPr="0081082A">
              <w:rPr>
                <w:rFonts w:ascii="Times New Roman" w:hAnsi="Times New Roman" w:cs="Times New Roman"/>
                <w:b/>
                <w:bCs/>
                <w:i/>
                <w:iCs/>
                <w:lang w:val="sr-Cyrl-RS"/>
              </w:rPr>
              <w:t xml:space="preserve"> приоритизација</w:t>
            </w:r>
            <w:r w:rsidRPr="0081082A">
              <w:rPr>
                <w:rFonts w:ascii="Times New Roman" w:hAnsi="Times New Roman" w:cs="Times New Roman"/>
                <w:b/>
                <w:bCs/>
                <w:i/>
                <w:iCs/>
                <w:lang w:val="sr-Cyrl-RS"/>
              </w:rPr>
              <w:t xml:space="preserve"> </w:t>
            </w:r>
            <w:r w:rsidR="0077679F" w:rsidRPr="0081082A">
              <w:rPr>
                <w:rFonts w:ascii="Times New Roman" w:hAnsi="Times New Roman" w:cs="Times New Roman"/>
                <w:b/>
                <w:bCs/>
                <w:i/>
                <w:iCs/>
                <w:lang w:val="sr-Cyrl-RS"/>
              </w:rPr>
              <w:t xml:space="preserve">КЈС у погледу извештавања о интерним контролама, </w:t>
            </w:r>
            <w:r w:rsidRPr="0081082A">
              <w:rPr>
                <w:rFonts w:ascii="Times New Roman" w:hAnsi="Times New Roman" w:cs="Times New Roman"/>
                <w:b/>
                <w:bCs/>
                <w:i/>
                <w:iCs/>
                <w:lang w:val="sr-Cyrl-RS"/>
              </w:rPr>
              <w:t>унапређење извештавања, сагледавања квалитета, управљање ризицима, управљање неправилностима, изјава о управљању и сл)</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4.1.3</w:t>
            </w:r>
            <w:r w:rsidR="00EA648F" w:rsidRPr="0081082A">
              <w:rPr>
                <w:rFonts w:ascii="Times New Roman" w:hAnsi="Times New Roman" w:cs="Times New Roman"/>
                <w:b/>
                <w:bCs/>
                <w:i/>
                <w:iCs/>
                <w:lang w:val="sr-Cyrl-RS"/>
              </w:rPr>
              <w:t>Унапређивање управљања ризицима код приоритетне групе КЈС на централном нивоу кроз директну подршку пројекта</w:t>
            </w:r>
            <w:r w:rsidRPr="0081082A">
              <w:rPr>
                <w:rFonts w:ascii="Times New Roman" w:hAnsi="Times New Roman" w:cs="Times New Roman"/>
                <w:b/>
                <w:bCs/>
                <w:i/>
                <w:iCs/>
                <w:lang w:val="sr-Cyrl-RS"/>
              </w:rPr>
              <w:t xml:space="preserve"> </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0A6D58"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 xml:space="preserve">4.1.4 Израда праткичних методолошких алата/производа знања из финансијског управљања и контроле </w:t>
            </w:r>
            <w:r w:rsidR="00E11C85" w:rsidRPr="0081082A">
              <w:rPr>
                <w:rFonts w:ascii="Times New Roman" w:hAnsi="Times New Roman" w:cs="Times New Roman"/>
                <w:b/>
                <w:bCs/>
                <w:i/>
                <w:iCs/>
                <w:lang w:val="sr-Cyrl-RS"/>
              </w:rPr>
              <w:t xml:space="preserve">прилагођених специфичностима појединих значајних група индиректних КЈС на </w:t>
            </w:r>
            <w:r w:rsidR="00E11C85" w:rsidRPr="0081082A">
              <w:rPr>
                <w:rFonts w:ascii="Times New Roman" w:hAnsi="Times New Roman" w:cs="Times New Roman"/>
                <w:b/>
                <w:bCs/>
                <w:i/>
                <w:iCs/>
                <w:lang w:val="sr-Cyrl-RS"/>
              </w:rPr>
              <w:lastRenderedPageBreak/>
              <w:t>централном нивоу (одабрани ресори)</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F80062"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F80062" w:rsidRPr="0081082A" w:rsidRDefault="00F80062" w:rsidP="00CC7517">
            <w:pPr>
              <w:spacing w:after="0" w:line="240" w:lineRule="auto"/>
              <w:rPr>
                <w:rFonts w:ascii="Times New Roman" w:hAnsi="Times New Roman" w:cs="Times New Roman"/>
                <w:b/>
                <w:bCs/>
                <w:i/>
                <w:iCs/>
                <w:lang w:val="sr-Cyrl-RS"/>
              </w:rPr>
            </w:pPr>
            <w:r w:rsidRPr="0081082A">
              <w:rPr>
                <w:rFonts w:ascii="Times New Roman" w:hAnsi="Times New Roman" w:cs="Times New Roman"/>
                <w:b/>
                <w:bCs/>
                <w:i/>
                <w:iCs/>
                <w:lang w:val="sr-Cyrl-RS"/>
              </w:rPr>
              <w:lastRenderedPageBreak/>
              <w:t>4.1.5 Подршка успостављању и унапређењу система ФУК на локалном нивоу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F80062" w:rsidRPr="0081082A" w:rsidRDefault="00F80062"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cs="Times New Roman"/>
                <w:b/>
                <w:bCs/>
                <w:i/>
                <w:iCs/>
                <w:lang w:val="sr-Cyrl-RS"/>
              </w:rPr>
            </w:pPr>
            <w:r w:rsidRPr="0081082A">
              <w:rPr>
                <w:rFonts w:ascii="Times New Roman" w:hAnsi="Times New Roman" w:cs="Times New Roman"/>
                <w:b/>
                <w:bCs/>
                <w:i/>
                <w:iCs/>
                <w:lang w:val="sr-Cyrl-RS"/>
              </w:rPr>
              <w:t>4.1.</w:t>
            </w:r>
            <w:r w:rsidR="00F80062" w:rsidRPr="0081082A">
              <w:rPr>
                <w:rFonts w:ascii="Times New Roman" w:hAnsi="Times New Roman" w:cs="Times New Roman"/>
                <w:b/>
                <w:bCs/>
                <w:i/>
                <w:iCs/>
                <w:lang w:val="sr-Cyrl-RS"/>
              </w:rPr>
              <w:t>6</w:t>
            </w:r>
            <w:r w:rsidRPr="0081082A">
              <w:rPr>
                <w:rFonts w:ascii="Times New Roman" w:hAnsi="Times New Roman" w:cs="Times New Roman"/>
                <w:b/>
                <w:bCs/>
                <w:i/>
                <w:iCs/>
                <w:lang w:val="sr-Cyrl-RS"/>
              </w:rPr>
              <w:t xml:space="preserve"> Израда анализе кохерентности ИФКЈ регулативе са осталом хоризонталном регулативом уз компаративну анализу система за управљање ЕУ средствима и система за управљање националним средствима са становишта интерних контрола</w:t>
            </w:r>
          </w:p>
          <w:p w:rsidR="00CC7517" w:rsidRPr="0081082A" w:rsidRDefault="00CC7517" w:rsidP="00CC7517">
            <w:pPr>
              <w:spacing w:after="0" w:line="240" w:lineRule="auto"/>
              <w:rPr>
                <w:rFonts w:ascii="Times New Roman" w:hAnsi="Times New Roman"/>
                <w:b/>
                <w:i/>
                <w:color w:val="000000"/>
                <w:lang w:val="sr-Cyrl-RS"/>
              </w:rPr>
            </w:pP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Cambria" w:hAnsi="Cambria"/>
                <w:b/>
                <w:color w:val="FFFFFF" w:themeColor="background1"/>
                <w:lang w:val="sr-Cyrl-RS"/>
              </w:rPr>
            </w:pPr>
            <w:r w:rsidRPr="0081082A">
              <w:rPr>
                <w:rFonts w:ascii="Cambria" w:hAnsi="Cambria"/>
                <w:b/>
                <w:color w:val="FFFFFF" w:themeColor="background1"/>
                <w:lang w:val="sr-Cyrl-RS"/>
              </w:rPr>
              <w:t>МЕРА 4.2</w:t>
            </w:r>
            <w:r w:rsidRPr="0081082A">
              <w:rPr>
                <w:rFonts w:ascii="Cambria" w:hAnsi="Cambria" w:cs="Times New Roman"/>
                <w:b/>
                <w:bCs/>
                <w:color w:val="FFFFFF" w:themeColor="background1"/>
                <w:lang w:val="sr-Cyrl-RS"/>
              </w:rPr>
              <w:t xml:space="preserve">: </w:t>
            </w:r>
            <w:r w:rsidRPr="0081082A">
              <w:rPr>
                <w:rFonts w:ascii="Cambria" w:hAnsi="Cambria"/>
                <w:b/>
                <w:color w:val="FFFFFF" w:themeColor="background1"/>
                <w:lang w:val="sr-Cyrl-RS"/>
              </w:rPr>
              <w:t>УНАПРЕЂЕНА ФУНКЦИЈА ИНТЕРНЕ РЕВИЗИЈЕ У ЈАВНОМ СЕКТОРУ У СКЛАДУ СА МЕЂУНАРОДНИМ СТАНДАРДИМА И НАЧЕЛИМА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4.2.1 Анализа примене постојећег методолошког оквира и његово унапређење (нпр. за ревизију успешности , ревизију информационе безбедности, саветодавне услуге  и сл.)</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411"/>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4.2.2 Припрема и спровођење Програма за континуирано усавршавање интерних ревизора (веза са 4.4.4)</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 xml:space="preserve">4.2.3 </w:t>
            </w:r>
            <w:r w:rsidR="0026156D" w:rsidRPr="0081082A">
              <w:rPr>
                <w:rFonts w:ascii="Times New Roman" w:hAnsi="Times New Roman" w:cs="Times New Roman"/>
                <w:b/>
                <w:bCs/>
                <w:i/>
                <w:iCs/>
                <w:lang w:val="sr-Cyrl-RS"/>
              </w:rPr>
              <w:t>Кадровско оснаживање интерне ревизије (промоција професије, алати за регрутацију и селекцију интерних ревизора, предлог за унапређења професионалног положаја интерних ревизора ИСЛ)</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015DC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015DC7" w:rsidRPr="0081082A" w:rsidRDefault="00015DC7" w:rsidP="00CC7517">
            <w:pPr>
              <w:spacing w:after="0" w:line="240" w:lineRule="auto"/>
              <w:rPr>
                <w:rFonts w:ascii="Times New Roman" w:hAnsi="Times New Roman" w:cs="Times New Roman"/>
                <w:b/>
                <w:bCs/>
                <w:i/>
                <w:iCs/>
                <w:lang w:val="sr-Cyrl-RS"/>
              </w:rPr>
            </w:pPr>
            <w:r w:rsidRPr="0081082A">
              <w:rPr>
                <w:rFonts w:ascii="Times New Roman" w:hAnsi="Times New Roman" w:cs="Times New Roman"/>
                <w:b/>
                <w:bCs/>
                <w:i/>
                <w:iCs/>
                <w:lang w:val="sr-Cyrl-RS"/>
              </w:rPr>
              <w:t xml:space="preserve">4.2.4 Подршка успостављању и унапређењу интерне ревизије на локалном нивоу </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015DC7" w:rsidRPr="0081082A" w:rsidRDefault="00015DC7" w:rsidP="00CC7517">
            <w:pPr>
              <w:spacing w:after="0" w:line="240" w:lineRule="auto"/>
              <w:rPr>
                <w:rFonts w:ascii="Times New Roman" w:hAnsi="Times New Roman"/>
                <w:color w:val="000000"/>
                <w:lang w:val="sr-Cyrl-RS"/>
              </w:rPr>
            </w:pPr>
          </w:p>
        </w:tc>
      </w:tr>
      <w:tr w:rsidR="00CC7517" w:rsidRPr="0081082A" w:rsidTr="00D54CD3">
        <w:trPr>
          <w:trHeight w:val="437"/>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4.2.</w:t>
            </w:r>
            <w:r w:rsidR="00015DC7" w:rsidRPr="0081082A">
              <w:rPr>
                <w:rFonts w:ascii="Times New Roman" w:hAnsi="Times New Roman" w:cs="Times New Roman"/>
                <w:b/>
                <w:bCs/>
                <w:i/>
                <w:iCs/>
                <w:lang w:val="sr-Cyrl-RS"/>
              </w:rPr>
              <w:t>5</w:t>
            </w:r>
            <w:r w:rsidRPr="0081082A">
              <w:rPr>
                <w:rFonts w:ascii="Times New Roman" w:hAnsi="Times New Roman" w:cs="Times New Roman"/>
                <w:b/>
                <w:bCs/>
                <w:i/>
                <w:iCs/>
                <w:lang w:val="sr-Cyrl-RS"/>
              </w:rPr>
              <w:t xml:space="preserve"> Увођење екстерне оцене квалитета по методи колегијалног прегледа (пилотирање, методологија, правилник, обука и сертфикација евалуатора, доношење и спровођење Програма екстерне оцене квалитета)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4.2.</w:t>
            </w:r>
            <w:r w:rsidR="00015DC7" w:rsidRPr="0081082A">
              <w:rPr>
                <w:rFonts w:ascii="Times New Roman" w:hAnsi="Times New Roman" w:cs="Times New Roman"/>
                <w:b/>
                <w:bCs/>
                <w:i/>
                <w:iCs/>
                <w:lang w:val="sr-Cyrl-RS"/>
              </w:rPr>
              <w:t>6</w:t>
            </w:r>
            <w:r w:rsidRPr="0081082A">
              <w:rPr>
                <w:rFonts w:ascii="Times New Roman" w:hAnsi="Times New Roman" w:cs="Times New Roman"/>
                <w:b/>
                <w:bCs/>
                <w:i/>
                <w:iCs/>
                <w:lang w:val="sr-Cyrl-RS"/>
              </w:rPr>
              <w:t xml:space="preserve"> Унапређење постојећег правног оквира у циљу оптимизације организације интерне ревизије и извештавања ИР</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cs="Times New Roman"/>
                <w:b/>
                <w:bCs/>
                <w:i/>
                <w:iCs/>
                <w:color w:val="000000"/>
                <w:lang w:val="sr-Cyrl-RS"/>
              </w:rPr>
            </w:pPr>
            <w:r w:rsidRPr="0081082A">
              <w:rPr>
                <w:rFonts w:ascii="Times New Roman" w:hAnsi="Times New Roman" w:cs="Times New Roman"/>
                <w:b/>
                <w:bCs/>
                <w:i/>
                <w:iCs/>
                <w:lang w:val="sr-Cyrl-RS"/>
              </w:rPr>
              <w:t>4.2.</w:t>
            </w:r>
            <w:r w:rsidR="00015DC7" w:rsidRPr="0081082A">
              <w:rPr>
                <w:rFonts w:ascii="Times New Roman" w:hAnsi="Times New Roman" w:cs="Times New Roman"/>
                <w:b/>
                <w:bCs/>
                <w:i/>
                <w:iCs/>
                <w:lang w:val="sr-Cyrl-RS"/>
              </w:rPr>
              <w:t>7</w:t>
            </w:r>
            <w:r w:rsidRPr="0081082A">
              <w:rPr>
                <w:rFonts w:ascii="Times New Roman" w:hAnsi="Times New Roman" w:cs="Times New Roman"/>
                <w:b/>
                <w:bCs/>
                <w:i/>
                <w:iCs/>
                <w:lang w:val="sr-Cyrl-RS"/>
              </w:rPr>
              <w:t xml:space="preserve"> Унифицирање  вођења и документовање ангажмана интерне </w:t>
            </w:r>
            <w:r w:rsidRPr="0081082A">
              <w:rPr>
                <w:rFonts w:ascii="Times New Roman" w:hAnsi="Times New Roman" w:cs="Times New Roman"/>
                <w:b/>
                <w:bCs/>
                <w:i/>
                <w:iCs/>
                <w:lang w:val="sr-Cyrl-RS"/>
              </w:rPr>
              <w:lastRenderedPageBreak/>
              <w:t>ревизије и евидентирање и праћење статуса налаза и датих препорука интерне ревизије кроз примену софтвера (веза са 4.3.2)</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Cambria" w:hAnsi="Cambria"/>
                <w:b/>
                <w:color w:val="FFFFFF" w:themeColor="background1"/>
                <w:lang w:val="sr-Cyrl-RS"/>
              </w:rPr>
            </w:pPr>
            <w:r w:rsidRPr="0081082A">
              <w:rPr>
                <w:rFonts w:ascii="Cambria" w:hAnsi="Cambria"/>
                <w:b/>
                <w:color w:val="FFFFFF" w:themeColor="background1"/>
                <w:lang w:val="sr-Cyrl-RS"/>
              </w:rPr>
              <w:lastRenderedPageBreak/>
              <w:t>МЕРА 4.3: ОЈАЧАНО ПРАЋЕЊE ИНТЕРНЕ КОНТРОЛЕ У ЈАВНОМ СЕКТОРУ (ИКЈС)</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FFFFFF" w:themeColor="background1"/>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4.3.1 Пуна примена електронског извештавања путем апликације  (функционална апликација, обуке, обавезност кроз прописе, веза са 4.1.5</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vAlign w:val="center"/>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color w:val="000000"/>
                <w:lang w:val="sr-Cyrl-RS"/>
              </w:rPr>
              <w:t>4.3.2 Успостављање јединственог информационог система за интерну контролу у јавном сектору (Набавка и примена софтвера за вођење и документовање ангажмана интерне ревизије и евидентирање и праћење статуса налаза и датих препорука интерне ревизије, препорука из екстерне оцене квалитета интерне ревизије, препорука из сагледавања квалитета система ФУК-а код КЈС и препорука из КГИ, база интерних ревизора, аутоматизација рада ЦЈХ,  повезивање са регистрима других институција, база полазника обука, база Аналитичких јединица и контакт особа за ФУК и сл уз могућност дефинисата додатних модула после обављене анализе система)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Cambria" w:hAnsi="Cambria"/>
                <w:b/>
                <w:color w:val="FFFFFF" w:themeColor="background1"/>
                <w:lang w:val="sr-Cyrl-RS"/>
              </w:rPr>
            </w:pPr>
            <w:r w:rsidRPr="0081082A">
              <w:rPr>
                <w:rFonts w:ascii="Cambria" w:hAnsi="Cambria"/>
                <w:b/>
                <w:color w:val="FFFFFF" w:themeColor="background1"/>
                <w:lang w:val="sr-Cyrl-RS"/>
              </w:rPr>
              <w:t>МЕРА 4.4</w:t>
            </w:r>
            <w:r w:rsidRPr="0081082A">
              <w:rPr>
                <w:rFonts w:ascii="Cambria" w:hAnsi="Cambria" w:cs="Times New Roman"/>
                <w:b/>
                <w:bCs/>
                <w:color w:val="FFFFFF" w:themeColor="background1"/>
                <w:lang w:val="sr-Cyrl-RS"/>
              </w:rPr>
              <w:t xml:space="preserve"> </w:t>
            </w:r>
            <w:r w:rsidRPr="0081082A">
              <w:rPr>
                <w:rFonts w:ascii="Cambria" w:hAnsi="Cambria"/>
                <w:b/>
                <w:color w:val="FFFFFF" w:themeColor="background1"/>
                <w:lang w:val="sr-Cyrl-RS"/>
              </w:rPr>
              <w:t>МОДЕРНИЗАЦИЈА СИСТЕМА ОБУЧАВАЊА ИЗ ОБЛАСТИ ИФКЈ</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lang w:val="sr-Cyrl-RS"/>
              </w:rPr>
              <w:t>4.4.1 Израда детаљног заједничког плана спровођења, са предложеним изменама прописа, релевантних материјала и процедуре који ће да подрже пребацивање обука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lang w:val="sr-Cyrl-RS"/>
              </w:rPr>
              <w:t>4.4.2</w:t>
            </w:r>
            <w:r w:rsidR="00FA0DA9" w:rsidRPr="0081082A">
              <w:rPr>
                <w:rFonts w:ascii="Times New Roman" w:hAnsi="Times New Roman"/>
                <w:b/>
                <w:i/>
                <w:lang w:val="sr-Cyrl-RS"/>
              </w:rPr>
              <w:t xml:space="preserve"> </w:t>
            </w:r>
            <w:r w:rsidRPr="0081082A">
              <w:rPr>
                <w:rFonts w:ascii="Times New Roman" w:hAnsi="Times New Roman"/>
                <w:b/>
                <w:i/>
                <w:lang w:val="sr-Cyrl-RS"/>
              </w:rPr>
              <w:t xml:space="preserve">Припрема, израда и спровођење </w:t>
            </w:r>
            <w:r w:rsidRPr="0081082A">
              <w:rPr>
                <w:rFonts w:ascii="Times New Roman" w:hAnsi="Times New Roman"/>
                <w:b/>
                <w:i/>
                <w:iCs/>
                <w:lang w:val="sr-Cyrl-RS"/>
              </w:rPr>
              <w:t>побољшаног/процеса сертификације интерних ревизора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lang w:val="sr-Cyrl-RS"/>
              </w:rPr>
              <w:t>4.4.3 Mодернизација обука и тренинг материјала из области ИФКЈ (проширење модула е-учења)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b/>
                <w:i/>
                <w:lang w:val="sr-Cyrl-RS"/>
              </w:rPr>
              <w:t>4.4.4 Припрема и спровођење обука за интерне ревизоре кроз Програм за континуирано стручно  усавршавање интерних ревизора у јавном сектору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Cambria" w:hAnsi="Cambria"/>
                <w:b/>
                <w:color w:val="FFFFFF" w:themeColor="background1"/>
                <w:lang w:val="sr-Cyrl-RS"/>
              </w:rPr>
            </w:pPr>
            <w:r w:rsidRPr="0081082A">
              <w:rPr>
                <w:rFonts w:ascii="Cambria" w:hAnsi="Cambria"/>
                <w:b/>
                <w:color w:val="FFFFFF" w:themeColor="background1"/>
                <w:lang w:val="sr-Cyrl-RS"/>
              </w:rPr>
              <w:t>МЕРА 5.1</w:t>
            </w:r>
            <w:r w:rsidRPr="0081082A">
              <w:rPr>
                <w:rFonts w:ascii="Cambria" w:hAnsi="Cambria" w:cs="Times New Roman"/>
                <w:b/>
                <w:bCs/>
                <w:color w:val="FFFFFF" w:themeColor="background1"/>
                <w:lang w:val="sr-Cyrl-RS"/>
              </w:rPr>
              <w:t xml:space="preserve"> </w:t>
            </w:r>
            <w:r w:rsidR="00211DB0" w:rsidRPr="0081082A">
              <w:rPr>
                <w:rFonts w:ascii="Cambria" w:hAnsi="Cambria"/>
                <w:b/>
                <w:color w:val="FFFFFF" w:themeColor="background1"/>
                <w:lang w:val="sr-Cyrl-RS"/>
              </w:rPr>
              <w:t xml:space="preserve">АНАЛИЗА ПОСТОЈЕЋЕГ СТАЊА У РАЧУНОВОДСТВУ У </w:t>
            </w:r>
            <w:r w:rsidR="00211DB0" w:rsidRPr="0081082A">
              <w:rPr>
                <w:rFonts w:ascii="Cambria" w:hAnsi="Cambria"/>
                <w:b/>
                <w:color w:val="FFFFFF" w:themeColor="background1"/>
                <w:lang w:val="sr-Cyrl-RS"/>
              </w:rPr>
              <w:lastRenderedPageBreak/>
              <w:t>ЈАВНОМ СЕКТОРУ И РАЗВОЈ И ИМПЛЕМЕНТАЦИЈА ПЛАНА УНАПРЕЂЕЊА РАЧУНОВОДСТВА У ЈАВНОМ СЕКТОРУ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lang w:val="sr-Cyrl-RS"/>
              </w:rPr>
            </w:pPr>
            <w:r w:rsidRPr="0081082A">
              <w:rPr>
                <w:rFonts w:ascii="Times New Roman" w:hAnsi="Times New Roman" w:cs="Times New Roman"/>
                <w:b/>
                <w:bCs/>
                <w:i/>
                <w:iCs/>
                <w:lang w:val="sr-Cyrl-RS"/>
              </w:rPr>
              <w:lastRenderedPageBreak/>
              <w:t>5</w:t>
            </w:r>
            <w:r w:rsidRPr="0081082A">
              <w:rPr>
                <w:rFonts w:ascii="Times New Roman" w:hAnsi="Times New Roman"/>
                <w:b/>
                <w:i/>
                <w:lang w:val="sr-Cyrl-RS"/>
              </w:rPr>
              <w:t>.</w:t>
            </w:r>
            <w:r w:rsidRPr="0081082A">
              <w:rPr>
                <w:rFonts w:ascii="Times New Roman" w:hAnsi="Times New Roman" w:cs="Times New Roman"/>
                <w:b/>
                <w:bCs/>
                <w:i/>
                <w:iCs/>
                <w:lang w:val="sr-Cyrl-RS"/>
              </w:rPr>
              <w:t xml:space="preserve">1.1 Израда нацрта плана унапређења  рачуноводства у јавном сектору, у фазама    </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lang w:val="sr-Cyrl-RS"/>
              </w:rPr>
            </w:pPr>
            <w:r w:rsidRPr="0081082A">
              <w:rPr>
                <w:rFonts w:ascii="Times New Roman" w:hAnsi="Times New Roman" w:cs="Times New Roman"/>
                <w:b/>
                <w:bCs/>
                <w:i/>
                <w:iCs/>
                <w:lang w:val="sr-Cyrl-RS"/>
              </w:rPr>
              <w:t>5.1</w:t>
            </w:r>
            <w:r w:rsidRPr="0081082A">
              <w:rPr>
                <w:rFonts w:ascii="Times New Roman" w:hAnsi="Times New Roman"/>
                <w:b/>
                <w:i/>
                <w:lang w:val="sr-Cyrl-RS"/>
              </w:rPr>
              <w:t>.2</w:t>
            </w:r>
            <w:r w:rsidRPr="0081082A">
              <w:rPr>
                <w:rFonts w:ascii="Times New Roman" w:hAnsi="Times New Roman" w:cs="Times New Roman"/>
                <w:b/>
                <w:bCs/>
                <w:i/>
                <w:iCs/>
                <w:lang w:val="sr-Cyrl-RS"/>
              </w:rPr>
              <w:t xml:space="preserve"> Припремне активности за формирање Комисије за примену међународних рачуноводствених стандарда за јавни сектор</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lang w:val="sr-Cyrl-RS"/>
              </w:rPr>
            </w:pPr>
            <w:r w:rsidRPr="0081082A">
              <w:rPr>
                <w:rFonts w:ascii="Times New Roman" w:hAnsi="Times New Roman" w:cs="Times New Roman"/>
                <w:b/>
                <w:bCs/>
                <w:i/>
                <w:iCs/>
                <w:lang w:val="sr-Cyrl-RS"/>
              </w:rPr>
              <w:t xml:space="preserve">5.1.3 Активности  у циљу закључивања  Уговора за превод  и имплементацију МРС ЈС са Савезом рачуновођа и ревизора Србије (чланица  </w:t>
            </w:r>
            <w:r w:rsidRPr="0081082A">
              <w:rPr>
                <w:rFonts w:ascii="Times New Roman" w:hAnsi="Times New Roman"/>
                <w:b/>
                <w:i/>
                <w:lang w:val="sr-Cyrl-RS"/>
              </w:rPr>
              <w:t>IFAC</w:t>
            </w:r>
            <w:r w:rsidRPr="0081082A">
              <w:rPr>
                <w:rFonts w:ascii="Times New Roman" w:hAnsi="Times New Roman" w:cs="Times New Roman"/>
                <w:b/>
                <w:bCs/>
                <w:i/>
                <w:iCs/>
                <w:lang w:val="sr-Cyrl-RS"/>
              </w:rPr>
              <w:t>)</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lang w:val="sr-Cyrl-RS"/>
              </w:rPr>
            </w:pPr>
            <w:r w:rsidRPr="0081082A">
              <w:rPr>
                <w:rFonts w:ascii="Times New Roman" w:hAnsi="Times New Roman" w:cs="Times New Roman"/>
                <w:b/>
                <w:bCs/>
                <w:i/>
                <w:iCs/>
                <w:lang w:val="sr-Cyrl-RS"/>
              </w:rPr>
              <w:t>5.1.4 Реализација Уговора из активности 5.1.3  у циљу омогућавања  имплементације Уредбе о примени међународних рачуноводствених стандарда за јавни сектор</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1471"/>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Cambria" w:hAnsi="Cambria"/>
                <w:b/>
                <w:color w:val="FFFFFF" w:themeColor="background1"/>
                <w:lang w:val="sr-Cyrl-RS"/>
              </w:rPr>
            </w:pPr>
            <w:r w:rsidRPr="0081082A">
              <w:rPr>
                <w:rFonts w:ascii="Cambria" w:hAnsi="Cambria"/>
                <w:b/>
                <w:color w:val="FFFFFF" w:themeColor="background1"/>
                <w:lang w:val="sr-Cyrl-RS"/>
              </w:rPr>
              <w:t>МЕРА 5.2</w:t>
            </w:r>
            <w:r w:rsidRPr="0081082A">
              <w:rPr>
                <w:rFonts w:ascii="Cambria" w:hAnsi="Cambria" w:cs="Times New Roman"/>
                <w:b/>
                <w:bCs/>
                <w:color w:val="FFFFFF" w:themeColor="background1"/>
                <w:lang w:val="sr-Cyrl-RS"/>
              </w:rPr>
              <w:t xml:space="preserve"> </w:t>
            </w:r>
            <w:r w:rsidRPr="0081082A">
              <w:rPr>
                <w:rFonts w:ascii="Cambria" w:hAnsi="Cambria"/>
                <w:b/>
                <w:color w:val="FFFFFF" w:themeColor="background1"/>
                <w:lang w:val="sr-Cyrl-RS"/>
              </w:rPr>
              <w:t>УНАПРЕЂЕЊЕ  ПРОФЕСИОНАЛНЕ  КОМПЕТЕНТНОСТИ  РАЧУНОВОЂА  У  ЈАВНОМ  СЕКТОРУ  СПРОВОЂЕЊЕМ  АДЕКВАТНИХ  ОБУКА</w:t>
            </w:r>
          </w:p>
        </w:tc>
        <w:tc>
          <w:tcPr>
            <w:tcW w:w="303"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Cambria" w:hAnsi="Cambria"/>
                <w:b/>
                <w:color w:val="FFFFFF" w:themeColor="background1"/>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5.2</w:t>
            </w:r>
            <w:r w:rsidRPr="0081082A">
              <w:rPr>
                <w:rFonts w:ascii="Times New Roman" w:hAnsi="Times New Roman"/>
                <w:b/>
                <w:i/>
                <w:lang w:val="sr-Cyrl-RS"/>
              </w:rPr>
              <w:t>.</w:t>
            </w:r>
            <w:r w:rsidRPr="0081082A">
              <w:rPr>
                <w:rFonts w:ascii="Times New Roman" w:hAnsi="Times New Roman" w:cs="Times New Roman"/>
                <w:b/>
                <w:bCs/>
                <w:i/>
                <w:iCs/>
                <w:lang w:val="sr-Cyrl-RS"/>
              </w:rPr>
              <w:t>1 Спровођење обука у циљу унапређења  професионалне компетентности рачуновођа  у јавном сектору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5.2</w:t>
            </w:r>
            <w:r w:rsidRPr="0081082A">
              <w:rPr>
                <w:rFonts w:ascii="Times New Roman" w:hAnsi="Times New Roman"/>
                <w:b/>
                <w:i/>
                <w:lang w:val="sr-Cyrl-RS"/>
              </w:rPr>
              <w:t>.2</w:t>
            </w:r>
            <w:r w:rsidRPr="0081082A">
              <w:rPr>
                <w:rFonts w:ascii="Times New Roman" w:hAnsi="Times New Roman" w:cs="Times New Roman"/>
                <w:b/>
                <w:bCs/>
                <w:i/>
                <w:iCs/>
                <w:lang w:val="sr-Cyrl-RS"/>
              </w:rPr>
              <w:t xml:space="preserve"> Припремне активности за увођење  сертификације за професију рачуновођа у јавном сектору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5.2.3 Сертификовање 200 рачуновођа у јавном сектору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Cambria" w:hAnsi="Cambria"/>
                <w:b/>
                <w:color w:val="FFFFFF" w:themeColor="background1"/>
                <w:lang w:val="sr-Cyrl-RS"/>
              </w:rPr>
            </w:pPr>
            <w:r w:rsidRPr="0081082A">
              <w:rPr>
                <w:rFonts w:ascii="Cambria" w:hAnsi="Cambria"/>
                <w:b/>
                <w:color w:val="FFFFFF" w:themeColor="background1"/>
                <w:lang w:val="sr-Cyrl-RS"/>
              </w:rPr>
              <w:t>МЕРА 5.3</w:t>
            </w:r>
            <w:r w:rsidRPr="0081082A">
              <w:rPr>
                <w:rFonts w:ascii="Cambria" w:hAnsi="Cambria" w:cs="Times New Roman"/>
                <w:b/>
                <w:bCs/>
                <w:color w:val="FFFFFF" w:themeColor="background1"/>
                <w:lang w:val="sr-Cyrl-RS"/>
              </w:rPr>
              <w:t xml:space="preserve"> УНАПРЕЂЕЊЕ ОБУХВАТА РАЧУНОВОДСТВЕНИХ ПОДАТАКА КРОЗ ПРИМЕНУ МЕЂУНАРОДНИХ РАЧУНОВОДСТВЕНИХ СТАНДАРДА ЗА ЈАВНИ СЕКТОР</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5.3.1  Измена релевантне националне регулативе ради њеног међусобног усаглашавања и усаглашавања  са захтевима  IPSAS за готовинску основу и ЕSА 2010</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5337F9">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 xml:space="preserve">5.3.2 Доношење Рачуноводствене политике за финансијско извештавање  у складу са </w:t>
            </w:r>
            <w:r w:rsidR="005337F9" w:rsidRPr="0081082A">
              <w:rPr>
                <w:rFonts w:ascii="Times New Roman" w:hAnsi="Times New Roman" w:cs="Times New Roman"/>
                <w:b/>
                <w:bCs/>
                <w:i/>
                <w:iCs/>
                <w:lang w:val="sr-Cyrl-RS"/>
              </w:rPr>
              <w:t>I</w:t>
            </w:r>
            <w:r w:rsidR="001350E9" w:rsidRPr="0081082A">
              <w:rPr>
                <w:rFonts w:ascii="Times New Roman" w:hAnsi="Times New Roman" w:cs="Times New Roman"/>
                <w:b/>
                <w:bCs/>
                <w:i/>
                <w:iCs/>
                <w:lang w:val="sr-Cyrl-RS"/>
              </w:rPr>
              <w:t>PSA7</w:t>
            </w:r>
            <w:r w:rsidRPr="0081082A">
              <w:rPr>
                <w:rFonts w:ascii="Times New Roman" w:hAnsi="Times New Roman" w:cs="Times New Roman"/>
                <w:b/>
                <w:bCs/>
                <w:i/>
                <w:iCs/>
                <w:lang w:val="sr-Cyrl-RS"/>
              </w:rPr>
              <w:t xml:space="preserve"> за готовинску основу</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lastRenderedPageBreak/>
              <w:t>5.3.3 Припрема Финансијског извештаја заснованог на готовинској основи у складу са IPSAS</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Cambria" w:hAnsi="Cambria"/>
                <w:b/>
                <w:color w:val="FFFFFF" w:themeColor="background1"/>
                <w:lang w:val="sr-Cyrl-RS"/>
              </w:rPr>
            </w:pPr>
            <w:r w:rsidRPr="0081082A">
              <w:rPr>
                <w:rFonts w:ascii="Cambria" w:hAnsi="Cambria"/>
                <w:b/>
                <w:color w:val="FFFFFF" w:themeColor="background1"/>
                <w:lang w:val="sr-Cyrl-RS"/>
              </w:rPr>
              <w:t>МЕРА 6.1</w:t>
            </w:r>
            <w:r w:rsidRPr="0081082A">
              <w:rPr>
                <w:rFonts w:ascii="Cambria" w:hAnsi="Cambria" w:cs="Times New Roman"/>
                <w:b/>
                <w:bCs/>
                <w:color w:val="FFFFFF" w:themeColor="background1"/>
                <w:lang w:val="sr-Cyrl-RS"/>
              </w:rPr>
              <w:t xml:space="preserve"> </w:t>
            </w:r>
            <w:r w:rsidRPr="0081082A">
              <w:rPr>
                <w:rFonts w:ascii="Cambria" w:hAnsi="Cambria"/>
                <w:b/>
                <w:color w:val="FFFFFF" w:themeColor="background1"/>
                <w:lang w:val="sr-Cyrl-RS"/>
              </w:rPr>
              <w:t>УНАПРЕЂЕЊЕ ОБУХВАТА, КВАЛИТЕТА И УТИЦАЈА ЕКСТЕРНИХ РЕВИЗИЈА (У СКЛАДУ СА СТРАТЕШКИМ ПЛАНОМ ДРЖАВНЕ РЕВИЗОРСКЕ ИНСТИТУЦИЈЕ)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6.1.1 Даље јачање екстерне ревизије кроз континуирано унапређење поступака ревизије</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6.1.2 Представљање извештаја о обављеним ревизијама надлежном Одбору и Пододбору ради разматрања налаза и препорука ДРИ и унапређења одговорности и транспарентности у трошењу јавних средстава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vAlign w:val="center"/>
          </w:tcPr>
          <w:p w:rsidR="00CC7517" w:rsidRPr="0081082A" w:rsidRDefault="00CC7517" w:rsidP="00CC7517">
            <w:pPr>
              <w:spacing w:after="0" w:line="240" w:lineRule="auto"/>
              <w:rPr>
                <w:rFonts w:ascii="Cambria" w:hAnsi="Cambria"/>
                <w:b/>
                <w:color w:val="FFFFFF" w:themeColor="background1"/>
                <w:lang w:val="sr-Cyrl-RS"/>
              </w:rPr>
            </w:pPr>
            <w:r w:rsidRPr="0081082A">
              <w:rPr>
                <w:rFonts w:ascii="Cambria" w:hAnsi="Cambria"/>
                <w:b/>
                <w:color w:val="FFFFFF" w:themeColor="background1"/>
                <w:lang w:val="sr-Cyrl-RS"/>
              </w:rPr>
              <w:t>МЕРА 6.2</w:t>
            </w:r>
            <w:r w:rsidRPr="0081082A">
              <w:rPr>
                <w:rFonts w:ascii="Cambria" w:hAnsi="Cambria" w:cs="Times New Roman"/>
                <w:b/>
                <w:bCs/>
                <w:color w:val="FFFFFF" w:themeColor="background1"/>
                <w:lang w:val="sr-Cyrl-RS"/>
              </w:rPr>
              <w:t xml:space="preserve"> </w:t>
            </w:r>
            <w:r w:rsidRPr="0081082A">
              <w:rPr>
                <w:rFonts w:ascii="Cambria" w:hAnsi="Cambria"/>
                <w:b/>
                <w:color w:val="FFFFFF" w:themeColor="background1"/>
                <w:lang w:val="sr-Cyrl-RS"/>
              </w:rPr>
              <w:t>ОБЕЗБЕЂИВАЊЕ ЕФИКАСНОГ СКУПШТИНСКОГ НАДЗОРА НАД ЈАВНИМ ФИНАНСИЈАМА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546A" w:themeFill="text2"/>
            <w:noWrap/>
            <w:vAlign w:val="center"/>
          </w:tcPr>
          <w:p w:rsidR="00CC7517" w:rsidRPr="0081082A" w:rsidRDefault="00CC7517" w:rsidP="00CC7517">
            <w:pPr>
              <w:spacing w:after="0" w:line="240" w:lineRule="auto"/>
              <w:rPr>
                <w:rFonts w:ascii="Times New Roman" w:hAnsi="Times New Roman"/>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6.2.1  Jaчање контролне функције Народне скупштине организацијом седница/састанака Одбора и Пододбора за разматрање извештаја о обављеним ревизијама ДРИ</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6.2.2 Ангажовање према потреби стручних лица у циљу бољег разматрања поступања субјеката по закључцима, налазима и препорукама садржаним у ревизорским извештајима ДРИ</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r>
      <w:tr w:rsidR="00CC7517" w:rsidRPr="0081082A" w:rsidTr="00D54CD3">
        <w:trPr>
          <w:trHeight w:val="525"/>
        </w:trPr>
        <w:tc>
          <w:tcPr>
            <w:tcW w:w="2137"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tcPr>
          <w:p w:rsidR="00CC7517" w:rsidRPr="0081082A" w:rsidRDefault="00CC7517" w:rsidP="00CC7517">
            <w:pPr>
              <w:spacing w:after="0" w:line="240" w:lineRule="auto"/>
              <w:rPr>
                <w:rFonts w:ascii="Times New Roman" w:hAnsi="Times New Roman"/>
                <w:b/>
                <w:i/>
                <w:color w:val="000000"/>
                <w:lang w:val="sr-Cyrl-RS"/>
              </w:rPr>
            </w:pPr>
            <w:r w:rsidRPr="0081082A">
              <w:rPr>
                <w:rFonts w:ascii="Times New Roman" w:hAnsi="Times New Roman" w:cs="Times New Roman"/>
                <w:b/>
                <w:bCs/>
                <w:i/>
                <w:iCs/>
                <w:lang w:val="sr-Cyrl-RS"/>
              </w:rPr>
              <w:t>6.2.3 Организовање јавног слушања поводом представљања предлога закона о буџету и предлога закона о завршном рачуну буџета</w:t>
            </w:r>
          </w:p>
        </w:tc>
        <w:tc>
          <w:tcPr>
            <w:tcW w:w="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5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c>
          <w:tcPr>
            <w:tcW w:w="1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CB9CA" w:themeFill="text2" w:themeFillTint="66"/>
            <w:noWrap/>
            <w:vAlign w:val="center"/>
          </w:tcPr>
          <w:p w:rsidR="00CC7517" w:rsidRPr="0081082A" w:rsidRDefault="00CC7517" w:rsidP="00CC7517">
            <w:pPr>
              <w:spacing w:after="0" w:line="240" w:lineRule="auto"/>
              <w:rPr>
                <w:rFonts w:ascii="Times New Roman" w:hAnsi="Times New Roman"/>
                <w:b/>
                <w:i/>
                <w:color w:val="000000"/>
                <w:lang w:val="sr-Cyrl-RS"/>
              </w:rPr>
            </w:pPr>
          </w:p>
        </w:tc>
      </w:tr>
    </w:tbl>
    <w:p w:rsidR="00C90243" w:rsidRPr="0081082A" w:rsidRDefault="00C90243" w:rsidP="00C90243">
      <w:pPr>
        <w:rPr>
          <w:lang w:val="sr-Cyrl-RS"/>
        </w:rPr>
      </w:pPr>
    </w:p>
    <w:p w:rsidR="00C90243" w:rsidRPr="0081082A" w:rsidRDefault="00C90243" w:rsidP="00721398">
      <w:pPr>
        <w:spacing w:after="100" w:afterAutospacing="1" w:line="240" w:lineRule="auto"/>
        <w:ind w:left="360"/>
        <w:jc w:val="both"/>
        <w:rPr>
          <w:rFonts w:ascii="Times New Roman" w:eastAsia="Calibri" w:hAnsi="Times New Roman" w:cs="Times New Roman"/>
          <w:sz w:val="24"/>
          <w:szCs w:val="24"/>
          <w:lang w:val="sr-Cyrl-RS"/>
        </w:rPr>
      </w:pPr>
    </w:p>
    <w:p w:rsidR="005141CB" w:rsidRPr="0081082A" w:rsidRDefault="005141CB" w:rsidP="007E5C3B">
      <w:pPr>
        <w:spacing w:after="100" w:afterAutospacing="1" w:line="240" w:lineRule="auto"/>
        <w:jc w:val="both"/>
        <w:rPr>
          <w:rFonts w:ascii="Times New Roman" w:eastAsia="Calibri" w:hAnsi="Times New Roman" w:cs="Times New Roman"/>
          <w:sz w:val="24"/>
          <w:szCs w:val="24"/>
          <w:lang w:val="sr-Cyrl-RS"/>
        </w:rPr>
      </w:pPr>
    </w:p>
    <w:p w:rsidR="003632E3" w:rsidRDefault="003632E3" w:rsidP="007E5C3B">
      <w:pPr>
        <w:spacing w:after="100" w:afterAutospacing="1" w:line="240" w:lineRule="auto"/>
        <w:jc w:val="both"/>
        <w:rPr>
          <w:rFonts w:ascii="Times New Roman" w:eastAsia="Calibri" w:hAnsi="Times New Roman" w:cs="Times New Roman"/>
          <w:sz w:val="24"/>
          <w:szCs w:val="24"/>
          <w:lang w:val="sr-Cyrl-RS"/>
        </w:rPr>
      </w:pPr>
    </w:p>
    <w:p w:rsidR="00221D1E" w:rsidRDefault="00221D1E" w:rsidP="007E5C3B">
      <w:pPr>
        <w:spacing w:after="100" w:afterAutospacing="1" w:line="240" w:lineRule="auto"/>
        <w:jc w:val="both"/>
        <w:rPr>
          <w:rFonts w:ascii="Times New Roman" w:eastAsia="Calibri" w:hAnsi="Times New Roman" w:cs="Times New Roman"/>
          <w:sz w:val="24"/>
          <w:szCs w:val="24"/>
          <w:lang w:val="sr-Cyrl-RS"/>
        </w:rPr>
      </w:pPr>
    </w:p>
    <w:p w:rsidR="00221D1E" w:rsidRPr="0081082A" w:rsidRDefault="00221D1E" w:rsidP="007E5C3B">
      <w:pPr>
        <w:spacing w:after="100" w:afterAutospacing="1" w:line="240" w:lineRule="auto"/>
        <w:jc w:val="both"/>
        <w:rPr>
          <w:rFonts w:ascii="Times New Roman" w:eastAsia="Calibri" w:hAnsi="Times New Roman" w:cs="Times New Roman"/>
          <w:sz w:val="24"/>
          <w:szCs w:val="24"/>
          <w:lang w:val="sr-Cyrl-RS"/>
        </w:rPr>
      </w:pPr>
    </w:p>
    <w:p w:rsidR="005141CB" w:rsidRPr="0081082A" w:rsidRDefault="005141CB" w:rsidP="00AC31C6">
      <w:pPr>
        <w:pStyle w:val="Heading1"/>
        <w:spacing w:line="240" w:lineRule="auto"/>
        <w:rPr>
          <w:rFonts w:ascii="Times New Roman" w:hAnsi="Times New Roman"/>
          <w:lang w:val="sr-Cyrl-RS"/>
        </w:rPr>
      </w:pPr>
      <w:r w:rsidRPr="0081082A">
        <w:rPr>
          <w:rFonts w:ascii="Times New Roman" w:hAnsi="Times New Roman"/>
          <w:lang w:val="sr-Cyrl-RS"/>
        </w:rPr>
        <w:lastRenderedPageBreak/>
        <w:t>АНЕКС 2: Преглед финансијских средстава потребних за реализацију Програма</w:t>
      </w:r>
      <w:r w:rsidR="00592C07" w:rsidRPr="0081082A">
        <w:rPr>
          <w:rFonts w:ascii="Times New Roman" w:hAnsi="Times New Roman"/>
          <w:lang w:val="sr-Cyrl-RS"/>
        </w:rPr>
        <w:t>, У ДИНАРИМА.</w:t>
      </w:r>
    </w:p>
    <w:p w:rsidR="0089255F" w:rsidRPr="0081082A" w:rsidRDefault="0089255F" w:rsidP="0089255F">
      <w:pPr>
        <w:pStyle w:val="Heading3"/>
        <w:rPr>
          <w:rFonts w:ascii="Calibri" w:hAnsi="Calibri" w:cs="Calibri"/>
          <w:lang w:val="sr-Cyrl-RS" w:eastAsia="en-GB"/>
        </w:rPr>
      </w:pPr>
      <w:r w:rsidRPr="0081082A">
        <w:rPr>
          <w:rFonts w:ascii="Calibri" w:hAnsi="Calibri" w:cs="Calibri"/>
          <w:lang w:val="sr-Cyrl-RS" w:eastAsia="en-GB"/>
        </w:rPr>
        <w:t>Табела процене трошкова за реализацију мера у Акционом плану ПРУЈФ</w:t>
      </w:r>
    </w:p>
    <w:tbl>
      <w:tblPr>
        <w:tblW w:w="5131" w:type="pct"/>
        <w:tblLayout w:type="fixed"/>
        <w:tblLook w:val="04A0" w:firstRow="1" w:lastRow="0" w:firstColumn="1" w:lastColumn="0" w:noHBand="0" w:noVBand="1"/>
      </w:tblPr>
      <w:tblGrid>
        <w:gridCol w:w="1896"/>
        <w:gridCol w:w="1897"/>
        <w:gridCol w:w="1897"/>
        <w:gridCol w:w="1897"/>
        <w:gridCol w:w="1897"/>
      </w:tblGrid>
      <w:tr w:rsidR="002B617A" w:rsidRPr="0081082A" w:rsidTr="002B617A">
        <w:trPr>
          <w:trHeight w:val="885"/>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335C" w:rsidRPr="0081082A" w:rsidRDefault="002B617A" w:rsidP="002B617A">
            <w:pPr>
              <w:spacing w:after="0"/>
              <w:jc w:val="center"/>
              <w:rPr>
                <w:rFonts w:eastAsia="Times New Roman"/>
                <w:b/>
                <w:color w:val="000000"/>
                <w:lang w:val="sr-Cyrl-RS" w:eastAsia="en-GB"/>
              </w:rPr>
            </w:pPr>
            <w:r w:rsidRPr="0081082A">
              <w:rPr>
                <w:rFonts w:eastAsia="Times New Roman"/>
                <w:b/>
                <w:color w:val="000000"/>
                <w:lang w:val="sr-Cyrl-RS" w:eastAsia="en-GB"/>
              </w:rPr>
              <w:t>Посебни циљеви и мере</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335C" w:rsidRPr="0081082A" w:rsidRDefault="00DE335C" w:rsidP="00C24F6D">
            <w:pPr>
              <w:spacing w:after="0"/>
              <w:jc w:val="center"/>
              <w:rPr>
                <w:rFonts w:eastAsia="Times New Roman"/>
                <w:b/>
                <w:bCs/>
                <w:color w:val="000000"/>
                <w:lang w:val="sr-Cyrl-RS" w:eastAsia="en-GB"/>
              </w:rPr>
            </w:pPr>
            <w:r w:rsidRPr="0081082A">
              <w:rPr>
                <w:rFonts w:eastAsia="Times New Roman"/>
                <w:b/>
                <w:bCs/>
                <w:color w:val="000000"/>
                <w:lang w:val="sr-Cyrl-RS" w:eastAsia="en-GB"/>
              </w:rPr>
              <w:t>Буџетска средства</w:t>
            </w:r>
          </w:p>
        </w:tc>
        <w:tc>
          <w:tcPr>
            <w:tcW w:w="10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E335C" w:rsidRPr="0081082A" w:rsidRDefault="00C51B9C" w:rsidP="009D15B8">
            <w:pPr>
              <w:spacing w:after="0"/>
              <w:jc w:val="center"/>
              <w:rPr>
                <w:rFonts w:eastAsia="Times New Roman"/>
                <w:b/>
                <w:bCs/>
                <w:color w:val="000000"/>
                <w:lang w:val="sr-Cyrl-RS" w:eastAsia="en-GB"/>
              </w:rPr>
            </w:pPr>
            <w:r w:rsidRPr="0081082A">
              <w:rPr>
                <w:rFonts w:eastAsia="Times New Roman"/>
                <w:b/>
                <w:bCs/>
                <w:color w:val="000000"/>
                <w:lang w:val="sr-Cyrl-RS" w:eastAsia="en-GB"/>
              </w:rPr>
              <w:t>С</w:t>
            </w:r>
            <w:r w:rsidR="00DE335C" w:rsidRPr="0081082A">
              <w:rPr>
                <w:rFonts w:eastAsia="Times New Roman"/>
                <w:b/>
                <w:bCs/>
                <w:color w:val="000000"/>
                <w:lang w:val="sr-Cyrl-RS" w:eastAsia="en-GB"/>
              </w:rPr>
              <w:t>редства</w:t>
            </w:r>
            <w:r w:rsidRPr="0081082A">
              <w:rPr>
                <w:rFonts w:eastAsia="Times New Roman"/>
                <w:b/>
                <w:bCs/>
                <w:color w:val="000000"/>
                <w:lang w:val="sr-Cyrl-RS" w:eastAsia="en-GB"/>
              </w:rPr>
              <w:t xml:space="preserve"> развојне помоћи (донације и кре</w:t>
            </w:r>
            <w:r w:rsidR="009D15B8">
              <w:rPr>
                <w:rFonts w:eastAsia="Times New Roman"/>
                <w:b/>
                <w:bCs/>
                <w:color w:val="000000"/>
                <w:lang w:val="sr-Cyrl-RS" w:eastAsia="en-GB"/>
              </w:rPr>
              <w:t>д</w:t>
            </w:r>
            <w:r w:rsidRPr="0081082A">
              <w:rPr>
                <w:rFonts w:eastAsia="Times New Roman"/>
                <w:b/>
                <w:bCs/>
                <w:color w:val="000000"/>
                <w:lang w:val="sr-Cyrl-RS" w:eastAsia="en-GB"/>
              </w:rPr>
              <w:t>ити)</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335C" w:rsidRPr="0081082A" w:rsidRDefault="00DE335C" w:rsidP="00C24F6D">
            <w:pPr>
              <w:spacing w:after="0"/>
              <w:jc w:val="center"/>
              <w:rPr>
                <w:rFonts w:eastAsia="Times New Roman"/>
                <w:b/>
                <w:bCs/>
                <w:color w:val="000000"/>
                <w:lang w:val="sr-Cyrl-RS" w:eastAsia="en-GB"/>
              </w:rPr>
            </w:pPr>
            <w:r w:rsidRPr="0081082A">
              <w:rPr>
                <w:rFonts w:eastAsia="Times New Roman"/>
                <w:b/>
                <w:bCs/>
                <w:color w:val="000000"/>
                <w:lang w:val="sr-Cyrl-RS" w:eastAsia="en-GB"/>
              </w:rPr>
              <w:t>Недостајућа средства</w:t>
            </w:r>
          </w:p>
        </w:tc>
        <w:tc>
          <w:tcPr>
            <w:tcW w:w="10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E335C" w:rsidRPr="0081082A" w:rsidRDefault="00DE335C" w:rsidP="00C24F6D">
            <w:pPr>
              <w:spacing w:after="0"/>
              <w:jc w:val="center"/>
              <w:rPr>
                <w:rFonts w:eastAsia="Times New Roman"/>
                <w:b/>
                <w:bCs/>
                <w:color w:val="000000"/>
                <w:lang w:val="sr-Cyrl-RS" w:eastAsia="en-GB"/>
              </w:rPr>
            </w:pPr>
            <w:r w:rsidRPr="0081082A">
              <w:rPr>
                <w:rFonts w:eastAsia="Times New Roman"/>
                <w:b/>
                <w:bCs/>
                <w:color w:val="000000"/>
                <w:lang w:val="sr-Cyrl-RS" w:eastAsia="en-GB"/>
              </w:rPr>
              <w:t>УКУПНО</w:t>
            </w:r>
          </w:p>
        </w:tc>
      </w:tr>
      <w:tr w:rsidR="002B617A" w:rsidRPr="0081082A" w:rsidTr="002B617A">
        <w:trPr>
          <w:trHeight w:val="368"/>
        </w:trPr>
        <w:tc>
          <w:tcPr>
            <w:tcW w:w="1000" w:type="pct"/>
            <w:tcBorders>
              <w:top w:val="nil"/>
              <w:left w:val="single" w:sz="4" w:space="0" w:color="auto"/>
              <w:bottom w:val="single" w:sz="4" w:space="0" w:color="auto"/>
              <w:right w:val="single" w:sz="4" w:space="0" w:color="auto"/>
            </w:tcBorders>
            <w:shd w:val="clear" w:color="auto" w:fill="2E74B5" w:themeFill="accent1" w:themeFillShade="BF"/>
            <w:noWrap/>
            <w:vAlign w:val="bottom"/>
            <w:hideMark/>
          </w:tcPr>
          <w:p w:rsidR="00DE335C" w:rsidRPr="0081082A" w:rsidRDefault="00DE335C" w:rsidP="00C24F6D">
            <w:pPr>
              <w:spacing w:after="0"/>
              <w:rPr>
                <w:rFonts w:eastAsia="Times New Roman"/>
                <w:b/>
                <w:bCs/>
                <w:color w:val="FFFFFF" w:themeColor="background1"/>
                <w:lang w:val="sr-Cyrl-RS" w:eastAsia="en-GB"/>
              </w:rPr>
            </w:pPr>
            <w:r w:rsidRPr="0081082A">
              <w:rPr>
                <w:rFonts w:eastAsia="Times New Roman"/>
                <w:b/>
                <w:bCs/>
                <w:color w:val="FFFFFF" w:themeColor="background1"/>
                <w:lang w:val="sr-Cyrl-RS" w:eastAsia="en-GB"/>
              </w:rPr>
              <w:t>Посебни циљ 1.</w:t>
            </w:r>
          </w:p>
        </w:tc>
        <w:tc>
          <w:tcPr>
            <w:tcW w:w="1000" w:type="pct"/>
            <w:tcBorders>
              <w:top w:val="nil"/>
              <w:left w:val="nil"/>
              <w:bottom w:val="single" w:sz="4" w:space="0" w:color="auto"/>
              <w:right w:val="single" w:sz="4" w:space="0" w:color="auto"/>
            </w:tcBorders>
            <w:shd w:val="clear" w:color="auto" w:fill="2E74B5" w:themeFill="accent1" w:themeFillShade="BF"/>
            <w:noWrap/>
            <w:vAlign w:val="bottom"/>
            <w:hideMark/>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211.650.000</w:t>
            </w:r>
          </w:p>
        </w:tc>
        <w:tc>
          <w:tcPr>
            <w:tcW w:w="1000" w:type="pct"/>
            <w:tcBorders>
              <w:top w:val="single" w:sz="4" w:space="0" w:color="auto"/>
              <w:left w:val="nil"/>
              <w:bottom w:val="single" w:sz="4" w:space="0" w:color="auto"/>
              <w:right w:val="nil"/>
            </w:tcBorders>
            <w:shd w:val="clear" w:color="auto" w:fill="2E74B5" w:themeFill="accent1" w:themeFillShade="BF"/>
            <w:noWrap/>
            <w:vAlign w:val="bottom"/>
            <w:hideMark/>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67.120.000</w:t>
            </w:r>
          </w:p>
        </w:tc>
        <w:tc>
          <w:tcPr>
            <w:tcW w:w="1000" w:type="pct"/>
            <w:tcBorders>
              <w:top w:val="nil"/>
              <w:left w:val="single" w:sz="8" w:space="0" w:color="auto"/>
              <w:bottom w:val="single" w:sz="4" w:space="0" w:color="auto"/>
              <w:right w:val="single" w:sz="4" w:space="0" w:color="auto"/>
            </w:tcBorders>
            <w:shd w:val="clear" w:color="auto" w:fill="2E74B5" w:themeFill="accent1" w:themeFillShade="BF"/>
            <w:noWrap/>
            <w:vAlign w:val="bottom"/>
            <w:hideMark/>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169.520.000</w:t>
            </w:r>
          </w:p>
        </w:tc>
        <w:tc>
          <w:tcPr>
            <w:tcW w:w="1000" w:type="pct"/>
            <w:tcBorders>
              <w:top w:val="nil"/>
              <w:left w:val="nil"/>
              <w:bottom w:val="single" w:sz="4" w:space="0" w:color="auto"/>
              <w:right w:val="single" w:sz="4" w:space="0" w:color="auto"/>
            </w:tcBorders>
            <w:shd w:val="clear" w:color="auto" w:fill="2E74B5" w:themeFill="accent1" w:themeFillShade="BF"/>
            <w:noWrap/>
            <w:vAlign w:val="bottom"/>
            <w:hideMark/>
          </w:tcPr>
          <w:p w:rsidR="00DE335C" w:rsidRPr="0081082A" w:rsidRDefault="0077150B"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448</w:t>
            </w:r>
            <w:r w:rsidR="00DE335C" w:rsidRPr="0081082A">
              <w:rPr>
                <w:rFonts w:eastAsia="Times New Roman"/>
                <w:b/>
                <w:bCs/>
                <w:color w:val="FFFFFF" w:themeColor="background1"/>
                <w:lang w:val="sr-Cyrl-RS" w:eastAsia="en-GB"/>
              </w:rPr>
              <w:t>.290.000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1.1</w:t>
            </w:r>
          </w:p>
        </w:tc>
        <w:tc>
          <w:tcPr>
            <w:tcW w:w="1000" w:type="pct"/>
            <w:tcBorders>
              <w:top w:val="nil"/>
              <w:left w:val="nil"/>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450.000</w:t>
            </w:r>
          </w:p>
        </w:tc>
        <w:tc>
          <w:tcPr>
            <w:tcW w:w="1000" w:type="pct"/>
            <w:tcBorders>
              <w:top w:val="single" w:sz="4" w:space="0" w:color="auto"/>
              <w:left w:val="nil"/>
              <w:bottom w:val="single" w:sz="4" w:space="0" w:color="auto"/>
              <w:right w:val="nil"/>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bCs/>
                <w:color w:val="000000"/>
                <w:lang w:val="sr-Cyrl-RS" w:eastAsia="en-GB"/>
              </w:rPr>
              <w:t>2.160.000</w:t>
            </w:r>
          </w:p>
        </w:tc>
        <w:tc>
          <w:tcPr>
            <w:tcW w:w="1000" w:type="pct"/>
            <w:tcBorders>
              <w:top w:val="nil"/>
              <w:left w:val="single" w:sz="8"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nil"/>
              <w:left w:val="nil"/>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2.610.000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1.2</w:t>
            </w:r>
          </w:p>
        </w:tc>
        <w:tc>
          <w:tcPr>
            <w:tcW w:w="1000" w:type="pct"/>
            <w:tcBorders>
              <w:top w:val="nil"/>
              <w:left w:val="nil"/>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nil"/>
              <w:bottom w:val="single" w:sz="4" w:space="0" w:color="auto"/>
              <w:right w:val="nil"/>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2.360.000</w:t>
            </w:r>
          </w:p>
        </w:tc>
        <w:tc>
          <w:tcPr>
            <w:tcW w:w="1000" w:type="pct"/>
            <w:tcBorders>
              <w:top w:val="nil"/>
              <w:left w:val="single" w:sz="8"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1.520.000</w:t>
            </w:r>
          </w:p>
        </w:tc>
        <w:tc>
          <w:tcPr>
            <w:tcW w:w="1000" w:type="pct"/>
            <w:tcBorders>
              <w:top w:val="nil"/>
              <w:left w:val="nil"/>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3.880.000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1.3</w:t>
            </w:r>
          </w:p>
        </w:tc>
        <w:tc>
          <w:tcPr>
            <w:tcW w:w="1000" w:type="pct"/>
            <w:tcBorders>
              <w:top w:val="nil"/>
              <w:left w:val="nil"/>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nil"/>
              <w:bottom w:val="single" w:sz="4" w:space="0" w:color="auto"/>
              <w:right w:val="nil"/>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nil"/>
              <w:left w:val="single" w:sz="8"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nil"/>
              <w:left w:val="nil"/>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1.4</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211.200.000</w:t>
            </w:r>
          </w:p>
        </w:tc>
        <w:tc>
          <w:tcPr>
            <w:tcW w:w="1000" w:type="pct"/>
            <w:tcBorders>
              <w:top w:val="single" w:sz="4" w:space="0" w:color="auto"/>
              <w:left w:val="nil"/>
              <w:bottom w:val="single" w:sz="4" w:space="0" w:color="auto"/>
              <w:right w:val="nil"/>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nil"/>
              <w:left w:val="single" w:sz="8"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167.700.000</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377.900.000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1.5</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nil"/>
              <w:bottom w:val="single" w:sz="4" w:space="0" w:color="auto"/>
              <w:right w:val="nil"/>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62.600.000</w:t>
            </w:r>
          </w:p>
        </w:tc>
        <w:tc>
          <w:tcPr>
            <w:tcW w:w="1000" w:type="pct"/>
            <w:tcBorders>
              <w:top w:val="nil"/>
              <w:left w:val="single" w:sz="8"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300.000</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62.900.000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2E74B5" w:themeFill="accent1" w:themeFillShade="BF"/>
            <w:noWrap/>
            <w:vAlign w:val="bottom"/>
            <w:hideMark/>
          </w:tcPr>
          <w:p w:rsidR="00DE335C" w:rsidRPr="0081082A" w:rsidRDefault="00DE335C" w:rsidP="00C24F6D">
            <w:pPr>
              <w:spacing w:after="0"/>
              <w:rPr>
                <w:rFonts w:eastAsia="Times New Roman"/>
                <w:b/>
                <w:bCs/>
                <w:color w:val="FFFFFF" w:themeColor="background1"/>
                <w:lang w:val="sr-Cyrl-RS" w:eastAsia="en-GB"/>
              </w:rPr>
            </w:pPr>
            <w:r w:rsidRPr="0081082A">
              <w:rPr>
                <w:rFonts w:eastAsia="Times New Roman"/>
                <w:b/>
                <w:bCs/>
                <w:color w:val="FFFFFF" w:themeColor="background1"/>
                <w:lang w:val="sr-Cyrl-RS" w:eastAsia="en-GB"/>
              </w:rPr>
              <w:t>Посебни циљ 2.</w:t>
            </w:r>
          </w:p>
        </w:tc>
        <w:tc>
          <w:tcPr>
            <w:tcW w:w="1000" w:type="pct"/>
            <w:tcBorders>
              <w:top w:val="nil"/>
              <w:left w:val="nil"/>
              <w:bottom w:val="single" w:sz="4" w:space="0" w:color="auto"/>
              <w:right w:val="single" w:sz="4" w:space="0" w:color="auto"/>
            </w:tcBorders>
            <w:shd w:val="clear" w:color="auto" w:fill="2E74B5" w:themeFill="accent1" w:themeFillShade="BF"/>
            <w:noWrap/>
            <w:vAlign w:val="bottom"/>
            <w:hideMark/>
          </w:tcPr>
          <w:p w:rsidR="00DE335C" w:rsidRPr="0081082A" w:rsidRDefault="008619D9"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1.261.467</w:t>
            </w:r>
            <w:r w:rsidR="00764862" w:rsidRPr="0081082A">
              <w:rPr>
                <w:rFonts w:eastAsia="Times New Roman"/>
                <w:b/>
                <w:bCs/>
                <w:color w:val="FFFFFF" w:themeColor="background1"/>
                <w:lang w:val="sr-Cyrl-RS" w:eastAsia="en-GB"/>
              </w:rPr>
              <w:t>.000</w:t>
            </w:r>
          </w:p>
        </w:tc>
        <w:tc>
          <w:tcPr>
            <w:tcW w:w="1000" w:type="pct"/>
            <w:tcBorders>
              <w:top w:val="single" w:sz="4" w:space="0" w:color="auto"/>
              <w:left w:val="nil"/>
              <w:bottom w:val="single" w:sz="4" w:space="0" w:color="auto"/>
              <w:right w:val="nil"/>
            </w:tcBorders>
            <w:shd w:val="clear" w:color="auto" w:fill="2E74B5" w:themeFill="accent1" w:themeFillShade="BF"/>
            <w:noWrap/>
            <w:vAlign w:val="bottom"/>
            <w:hideMark/>
          </w:tcPr>
          <w:p w:rsidR="00DE335C" w:rsidRPr="0081082A" w:rsidRDefault="00480567" w:rsidP="00457407">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3.</w:t>
            </w:r>
            <w:r w:rsidR="00457407" w:rsidRPr="0081082A">
              <w:rPr>
                <w:rFonts w:eastAsia="Times New Roman"/>
                <w:b/>
                <w:bCs/>
                <w:color w:val="FFFFFF" w:themeColor="background1"/>
                <w:lang w:val="sr-Cyrl-RS" w:eastAsia="en-GB"/>
              </w:rPr>
              <w:t>212</w:t>
            </w:r>
            <w:r w:rsidR="00054A63" w:rsidRPr="0081082A">
              <w:rPr>
                <w:rFonts w:eastAsia="Times New Roman"/>
                <w:b/>
                <w:bCs/>
                <w:color w:val="FFFFFF" w:themeColor="background1"/>
                <w:lang w:val="sr-Cyrl-RS" w:eastAsia="en-GB"/>
              </w:rPr>
              <w:t>.</w:t>
            </w:r>
            <w:r w:rsidR="00457407" w:rsidRPr="0081082A">
              <w:rPr>
                <w:rFonts w:eastAsia="Times New Roman"/>
                <w:b/>
                <w:bCs/>
                <w:color w:val="FFFFFF" w:themeColor="background1"/>
                <w:lang w:val="sr-Cyrl-RS" w:eastAsia="en-GB"/>
              </w:rPr>
              <w:t>607</w:t>
            </w:r>
            <w:r w:rsidR="00DE335C" w:rsidRPr="0081082A">
              <w:rPr>
                <w:rFonts w:eastAsia="Times New Roman"/>
                <w:b/>
                <w:bCs/>
                <w:color w:val="FFFFFF" w:themeColor="background1"/>
                <w:lang w:val="sr-Cyrl-RS" w:eastAsia="en-GB"/>
              </w:rPr>
              <w:t>.000</w:t>
            </w:r>
          </w:p>
        </w:tc>
        <w:tc>
          <w:tcPr>
            <w:tcW w:w="1000" w:type="pct"/>
            <w:tcBorders>
              <w:top w:val="nil"/>
              <w:left w:val="single" w:sz="8" w:space="0" w:color="auto"/>
              <w:bottom w:val="single" w:sz="4" w:space="0" w:color="auto"/>
              <w:right w:val="single" w:sz="4" w:space="0" w:color="auto"/>
            </w:tcBorders>
            <w:shd w:val="clear" w:color="auto" w:fill="2E74B5" w:themeFill="accent1" w:themeFillShade="BF"/>
            <w:noWrap/>
            <w:vAlign w:val="bottom"/>
            <w:hideMark/>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2</w:t>
            </w:r>
            <w:r w:rsidR="002A543E" w:rsidRPr="0081082A">
              <w:rPr>
                <w:rFonts w:eastAsia="Times New Roman"/>
                <w:b/>
                <w:bCs/>
                <w:color w:val="FFFFFF" w:themeColor="background1"/>
                <w:lang w:val="sr-Cyrl-RS" w:eastAsia="en-GB"/>
              </w:rPr>
              <w:t>.173.407</w:t>
            </w:r>
            <w:r w:rsidRPr="0081082A">
              <w:rPr>
                <w:rFonts w:eastAsia="Times New Roman"/>
                <w:b/>
                <w:bCs/>
                <w:color w:val="FFFFFF" w:themeColor="background1"/>
                <w:lang w:val="sr-Cyrl-RS" w:eastAsia="en-GB"/>
              </w:rPr>
              <w:t>.000</w:t>
            </w:r>
          </w:p>
        </w:tc>
        <w:tc>
          <w:tcPr>
            <w:tcW w:w="1000" w:type="pct"/>
            <w:tcBorders>
              <w:top w:val="nil"/>
              <w:left w:val="nil"/>
              <w:bottom w:val="single" w:sz="4" w:space="0" w:color="auto"/>
              <w:right w:val="single" w:sz="4" w:space="0" w:color="auto"/>
            </w:tcBorders>
            <w:shd w:val="clear" w:color="auto" w:fill="2E74B5" w:themeFill="accent1" w:themeFillShade="BF"/>
            <w:noWrap/>
            <w:vAlign w:val="bottom"/>
            <w:hideMark/>
          </w:tcPr>
          <w:p w:rsidR="00DE335C" w:rsidRPr="0081082A" w:rsidRDefault="00162871" w:rsidP="00A10031">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6.</w:t>
            </w:r>
            <w:r w:rsidR="00A10031" w:rsidRPr="0081082A">
              <w:rPr>
                <w:rFonts w:eastAsia="Times New Roman"/>
                <w:b/>
                <w:bCs/>
                <w:color w:val="FFFFFF" w:themeColor="background1"/>
                <w:lang w:val="sr-Cyrl-RS" w:eastAsia="en-GB"/>
              </w:rPr>
              <w:t>647</w:t>
            </w:r>
            <w:r w:rsidR="001F01D1" w:rsidRPr="0081082A">
              <w:rPr>
                <w:rFonts w:eastAsia="Times New Roman"/>
                <w:b/>
                <w:bCs/>
                <w:color w:val="FFFFFF" w:themeColor="background1"/>
                <w:lang w:val="sr-Cyrl-RS" w:eastAsia="en-GB"/>
              </w:rPr>
              <w:t>.</w:t>
            </w:r>
            <w:r w:rsidR="00A10031" w:rsidRPr="0081082A">
              <w:rPr>
                <w:rFonts w:eastAsia="Times New Roman"/>
                <w:b/>
                <w:bCs/>
                <w:color w:val="FFFFFF" w:themeColor="background1"/>
                <w:lang w:val="sr-Cyrl-RS" w:eastAsia="en-GB"/>
              </w:rPr>
              <w:t>481</w:t>
            </w:r>
            <w:r w:rsidR="001F01D1" w:rsidRPr="0081082A">
              <w:rPr>
                <w:rFonts w:eastAsia="Times New Roman"/>
                <w:b/>
                <w:bCs/>
                <w:color w:val="FFFFFF" w:themeColor="background1"/>
                <w:lang w:val="sr-Cyrl-RS" w:eastAsia="en-GB"/>
              </w:rPr>
              <w:t>.00</w:t>
            </w:r>
            <w:r w:rsidR="00DE335C" w:rsidRPr="0081082A">
              <w:rPr>
                <w:rFonts w:eastAsia="Times New Roman"/>
                <w:b/>
                <w:bCs/>
                <w:color w:val="FFFFFF" w:themeColor="background1"/>
                <w:lang w:val="sr-Cyrl-RS" w:eastAsia="en-GB"/>
              </w:rPr>
              <w:t>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2.1</w:t>
            </w:r>
          </w:p>
        </w:tc>
        <w:tc>
          <w:tcPr>
            <w:tcW w:w="1000" w:type="pct"/>
            <w:tcBorders>
              <w:top w:val="nil"/>
              <w:left w:val="nil"/>
              <w:bottom w:val="single" w:sz="4" w:space="0" w:color="auto"/>
              <w:right w:val="single" w:sz="4" w:space="0" w:color="auto"/>
            </w:tcBorders>
            <w:shd w:val="clear" w:color="auto" w:fill="auto"/>
            <w:noWrap/>
            <w:vAlign w:val="bottom"/>
            <w:hideMark/>
          </w:tcPr>
          <w:p w:rsidR="00DE335C" w:rsidRPr="0081082A" w:rsidRDefault="00764862" w:rsidP="00E91F0A">
            <w:pPr>
              <w:spacing w:after="0"/>
              <w:jc w:val="right"/>
              <w:rPr>
                <w:rFonts w:eastAsia="Times New Roman"/>
                <w:color w:val="000000"/>
                <w:lang w:val="sr-Cyrl-RS" w:eastAsia="en-GB"/>
              </w:rPr>
            </w:pPr>
            <w:r w:rsidRPr="0081082A">
              <w:rPr>
                <w:rFonts w:eastAsia="Times New Roman"/>
                <w:color w:val="000000"/>
                <w:lang w:val="sr-Cyrl-RS" w:eastAsia="en-GB"/>
              </w:rPr>
              <w:t>1.153.</w:t>
            </w:r>
            <w:r w:rsidR="00E91F0A" w:rsidRPr="0081082A">
              <w:rPr>
                <w:rFonts w:eastAsia="Times New Roman"/>
                <w:color w:val="000000"/>
                <w:lang w:val="sr-Cyrl-RS" w:eastAsia="en-GB"/>
              </w:rPr>
              <w:t>152</w:t>
            </w:r>
            <w:r w:rsidRPr="0081082A">
              <w:rPr>
                <w:rFonts w:eastAsia="Times New Roman"/>
                <w:color w:val="000000"/>
                <w:lang w:val="sr-Cyrl-RS" w:eastAsia="en-GB"/>
              </w:rPr>
              <w:t>.000</w:t>
            </w:r>
          </w:p>
        </w:tc>
        <w:tc>
          <w:tcPr>
            <w:tcW w:w="1000" w:type="pct"/>
            <w:tcBorders>
              <w:top w:val="single" w:sz="4" w:space="0" w:color="auto"/>
              <w:left w:val="nil"/>
              <w:bottom w:val="single" w:sz="4" w:space="0" w:color="auto"/>
              <w:right w:val="nil"/>
            </w:tcBorders>
            <w:shd w:val="clear" w:color="auto" w:fill="auto"/>
            <w:noWrap/>
            <w:vAlign w:val="bottom"/>
            <w:hideMark/>
          </w:tcPr>
          <w:p w:rsidR="00DE335C" w:rsidRPr="0081082A" w:rsidRDefault="005A5ABC" w:rsidP="005A5ABC">
            <w:pPr>
              <w:spacing w:after="0"/>
              <w:jc w:val="right"/>
              <w:rPr>
                <w:rFonts w:eastAsia="Times New Roman"/>
                <w:color w:val="000000"/>
                <w:lang w:val="sr-Cyrl-RS" w:eastAsia="en-GB"/>
              </w:rPr>
            </w:pPr>
            <w:r w:rsidRPr="0081082A">
              <w:rPr>
                <w:rFonts w:eastAsia="Times New Roman"/>
                <w:color w:val="000000"/>
                <w:lang w:val="sr-Cyrl-RS" w:eastAsia="en-GB"/>
              </w:rPr>
              <w:t>2</w:t>
            </w:r>
            <w:r w:rsidR="00C3795D" w:rsidRPr="0081082A">
              <w:rPr>
                <w:rFonts w:eastAsia="Times New Roman"/>
                <w:color w:val="000000"/>
                <w:lang w:val="sr-Cyrl-RS" w:eastAsia="en-GB"/>
              </w:rPr>
              <w:t>.</w:t>
            </w:r>
            <w:r w:rsidRPr="0081082A">
              <w:rPr>
                <w:rFonts w:eastAsia="Times New Roman"/>
                <w:color w:val="000000"/>
                <w:lang w:val="sr-Cyrl-RS" w:eastAsia="en-GB"/>
              </w:rPr>
              <w:t>093</w:t>
            </w:r>
            <w:r w:rsidR="00BE679A" w:rsidRPr="0081082A">
              <w:rPr>
                <w:rFonts w:eastAsia="Times New Roman"/>
                <w:color w:val="000000"/>
                <w:lang w:val="sr-Cyrl-RS" w:eastAsia="en-GB"/>
              </w:rPr>
              <w:t>.</w:t>
            </w:r>
            <w:r w:rsidRPr="0081082A">
              <w:rPr>
                <w:rFonts w:eastAsia="Times New Roman"/>
                <w:color w:val="000000"/>
                <w:lang w:val="sr-Cyrl-RS" w:eastAsia="en-GB"/>
              </w:rPr>
              <w:t>547</w:t>
            </w:r>
            <w:r w:rsidR="00DE335C" w:rsidRPr="0081082A">
              <w:rPr>
                <w:rFonts w:eastAsia="Times New Roman"/>
                <w:color w:val="000000"/>
                <w:lang w:val="sr-Cyrl-RS" w:eastAsia="en-GB"/>
              </w:rPr>
              <w:t>.000</w:t>
            </w:r>
          </w:p>
        </w:tc>
        <w:tc>
          <w:tcPr>
            <w:tcW w:w="1000" w:type="pct"/>
            <w:tcBorders>
              <w:top w:val="nil"/>
              <w:left w:val="single" w:sz="8"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1.152.000.000</w:t>
            </w:r>
          </w:p>
        </w:tc>
        <w:tc>
          <w:tcPr>
            <w:tcW w:w="1000" w:type="pct"/>
            <w:tcBorders>
              <w:top w:val="nil"/>
              <w:left w:val="nil"/>
              <w:bottom w:val="single" w:sz="4" w:space="0" w:color="auto"/>
              <w:right w:val="single" w:sz="4" w:space="0" w:color="auto"/>
            </w:tcBorders>
            <w:shd w:val="clear" w:color="auto" w:fill="auto"/>
            <w:noWrap/>
            <w:vAlign w:val="bottom"/>
            <w:hideMark/>
          </w:tcPr>
          <w:p w:rsidR="00DE335C" w:rsidRPr="0081082A" w:rsidRDefault="0009174C" w:rsidP="00966742">
            <w:pPr>
              <w:spacing w:after="0"/>
              <w:jc w:val="right"/>
              <w:rPr>
                <w:rFonts w:eastAsia="Times New Roman"/>
                <w:color w:val="000000"/>
                <w:lang w:val="sr-Cyrl-RS" w:eastAsia="en-GB"/>
              </w:rPr>
            </w:pPr>
            <w:r w:rsidRPr="0081082A">
              <w:rPr>
                <w:rFonts w:eastAsia="Times New Roman"/>
                <w:color w:val="000000"/>
                <w:lang w:val="sr-Cyrl-RS" w:eastAsia="en-GB"/>
              </w:rPr>
              <w:t>4.</w:t>
            </w:r>
            <w:r w:rsidR="00966742" w:rsidRPr="0081082A">
              <w:rPr>
                <w:rFonts w:eastAsia="Times New Roman"/>
                <w:color w:val="000000"/>
                <w:lang w:val="sr-Cyrl-RS" w:eastAsia="en-GB"/>
              </w:rPr>
              <w:t>422</w:t>
            </w:r>
            <w:r w:rsidR="00401A6B" w:rsidRPr="0081082A">
              <w:rPr>
                <w:rFonts w:eastAsia="Times New Roman"/>
                <w:color w:val="000000"/>
                <w:lang w:val="sr-Cyrl-RS" w:eastAsia="en-GB"/>
              </w:rPr>
              <w:t>.</w:t>
            </w:r>
            <w:r w:rsidR="00966742" w:rsidRPr="0081082A">
              <w:rPr>
                <w:rFonts w:eastAsia="Times New Roman"/>
                <w:color w:val="000000"/>
                <w:lang w:val="sr-Cyrl-RS" w:eastAsia="en-GB"/>
              </w:rPr>
              <w:t>250</w:t>
            </w:r>
            <w:r w:rsidR="00401A6B" w:rsidRPr="0081082A">
              <w:rPr>
                <w:rFonts w:eastAsia="Times New Roman"/>
                <w:color w:val="000000"/>
                <w:lang w:val="sr-Cyrl-RS" w:eastAsia="en-GB"/>
              </w:rPr>
              <w:t>.00</w:t>
            </w:r>
            <w:r w:rsidR="00DE335C" w:rsidRPr="0081082A">
              <w:rPr>
                <w:rFonts w:eastAsia="Times New Roman"/>
                <w:color w:val="000000"/>
                <w:lang w:val="sr-Cyrl-RS" w:eastAsia="en-GB"/>
              </w:rPr>
              <w:t>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2.2</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8.496.000</w:t>
            </w:r>
          </w:p>
        </w:tc>
        <w:tc>
          <w:tcPr>
            <w:tcW w:w="1000" w:type="pct"/>
            <w:tcBorders>
              <w:top w:val="single" w:sz="4" w:space="0" w:color="auto"/>
              <w:left w:val="nil"/>
              <w:bottom w:val="single" w:sz="4" w:space="0" w:color="auto"/>
              <w:right w:val="nil"/>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nil"/>
              <w:left w:val="single" w:sz="8"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8.496.000</w:t>
            </w:r>
          </w:p>
        </w:tc>
      </w:tr>
      <w:tr w:rsidR="00A044CF"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rsidR="00A044CF" w:rsidRPr="0081082A" w:rsidRDefault="00A044CF" w:rsidP="00A044CF">
            <w:pPr>
              <w:spacing w:after="0"/>
              <w:rPr>
                <w:rFonts w:eastAsia="Times New Roman"/>
                <w:color w:val="000000"/>
                <w:lang w:val="sr-Cyrl-RS" w:eastAsia="en-GB"/>
              </w:rPr>
            </w:pPr>
            <w:r w:rsidRPr="0081082A">
              <w:rPr>
                <w:rFonts w:eastAsia="Times New Roman"/>
                <w:color w:val="000000"/>
                <w:lang w:val="sr-Cyrl-RS" w:eastAsia="en-GB"/>
              </w:rPr>
              <w:t>Мера 2.3</w:t>
            </w:r>
          </w:p>
        </w:tc>
        <w:tc>
          <w:tcPr>
            <w:tcW w:w="1000" w:type="pct"/>
            <w:tcBorders>
              <w:top w:val="nil"/>
              <w:left w:val="nil"/>
              <w:bottom w:val="single" w:sz="4" w:space="0" w:color="auto"/>
              <w:right w:val="single" w:sz="4" w:space="0" w:color="auto"/>
            </w:tcBorders>
            <w:shd w:val="clear" w:color="auto" w:fill="auto"/>
            <w:noWrap/>
            <w:vAlign w:val="bottom"/>
          </w:tcPr>
          <w:p w:rsidR="00A044CF" w:rsidRPr="0081082A" w:rsidRDefault="00A044CF" w:rsidP="00A044CF">
            <w:pPr>
              <w:spacing w:after="0"/>
              <w:jc w:val="right"/>
              <w:rPr>
                <w:rFonts w:eastAsia="Times New Roman"/>
                <w:color w:val="000000"/>
                <w:lang w:val="sr-Cyrl-RS" w:eastAsia="en-GB"/>
              </w:rPr>
            </w:pPr>
            <w:r w:rsidRPr="0081082A">
              <w:rPr>
                <w:rFonts w:eastAsia="Times New Roman"/>
                <w:color w:val="000000"/>
                <w:lang w:val="sr-Cyrl-RS" w:eastAsia="en-GB"/>
              </w:rPr>
              <w:t>87.300.000</w:t>
            </w:r>
          </w:p>
        </w:tc>
        <w:tc>
          <w:tcPr>
            <w:tcW w:w="1000" w:type="pct"/>
            <w:tcBorders>
              <w:top w:val="single" w:sz="4" w:space="0" w:color="auto"/>
              <w:left w:val="nil"/>
              <w:bottom w:val="single" w:sz="4" w:space="0" w:color="auto"/>
              <w:right w:val="nil"/>
            </w:tcBorders>
            <w:shd w:val="clear" w:color="auto" w:fill="auto"/>
            <w:noWrap/>
            <w:vAlign w:val="bottom"/>
          </w:tcPr>
          <w:p w:rsidR="00A044CF" w:rsidRPr="0081082A" w:rsidRDefault="00A044CF" w:rsidP="00A044CF">
            <w:pPr>
              <w:spacing w:after="0"/>
              <w:jc w:val="right"/>
              <w:rPr>
                <w:rFonts w:eastAsia="Times New Roman"/>
                <w:color w:val="000000"/>
                <w:lang w:val="sr-Cyrl-RS" w:eastAsia="en-GB"/>
              </w:rPr>
            </w:pPr>
            <w:r w:rsidRPr="0081082A">
              <w:rPr>
                <w:rFonts w:eastAsia="Times New Roman"/>
                <w:color w:val="000000"/>
                <w:lang w:val="sr-Cyrl-RS" w:eastAsia="en-GB"/>
              </w:rPr>
              <w:t>1.053.600.000</w:t>
            </w:r>
          </w:p>
        </w:tc>
        <w:tc>
          <w:tcPr>
            <w:tcW w:w="1000" w:type="pct"/>
            <w:tcBorders>
              <w:top w:val="nil"/>
              <w:left w:val="single" w:sz="8" w:space="0" w:color="auto"/>
              <w:bottom w:val="single" w:sz="4" w:space="0" w:color="auto"/>
              <w:right w:val="single" w:sz="4" w:space="0" w:color="auto"/>
            </w:tcBorders>
            <w:shd w:val="clear" w:color="auto" w:fill="auto"/>
            <w:noWrap/>
            <w:vAlign w:val="bottom"/>
          </w:tcPr>
          <w:p w:rsidR="00A044CF" w:rsidRPr="0081082A" w:rsidRDefault="00A044CF" w:rsidP="00A044CF">
            <w:pPr>
              <w:spacing w:after="0"/>
              <w:jc w:val="right"/>
              <w:rPr>
                <w:rFonts w:eastAsia="Times New Roman"/>
                <w:color w:val="000000"/>
                <w:lang w:val="sr-Cyrl-RS" w:eastAsia="en-GB"/>
              </w:rPr>
            </w:pPr>
            <w:r w:rsidRPr="0081082A">
              <w:rPr>
                <w:rFonts w:eastAsia="Times New Roman"/>
                <w:color w:val="000000"/>
                <w:lang w:val="sr-Cyrl-RS" w:eastAsia="en-GB"/>
              </w:rPr>
              <w:t>798.807.000</w:t>
            </w:r>
          </w:p>
        </w:tc>
        <w:tc>
          <w:tcPr>
            <w:tcW w:w="1000" w:type="pct"/>
            <w:tcBorders>
              <w:top w:val="nil"/>
              <w:left w:val="nil"/>
              <w:bottom w:val="single" w:sz="4" w:space="0" w:color="auto"/>
              <w:right w:val="single" w:sz="4" w:space="0" w:color="auto"/>
            </w:tcBorders>
            <w:shd w:val="clear" w:color="auto" w:fill="auto"/>
            <w:noWrap/>
            <w:vAlign w:val="bottom"/>
          </w:tcPr>
          <w:p w:rsidR="00A044CF" w:rsidRPr="0081082A" w:rsidRDefault="00A044CF" w:rsidP="00A044CF">
            <w:pPr>
              <w:spacing w:after="0"/>
              <w:jc w:val="right"/>
              <w:rPr>
                <w:rFonts w:eastAsia="Times New Roman"/>
                <w:color w:val="000000"/>
                <w:lang w:val="sr-Cyrl-RS" w:eastAsia="en-GB"/>
              </w:rPr>
            </w:pPr>
            <w:r w:rsidRPr="0081082A">
              <w:rPr>
                <w:rFonts w:eastAsia="Times New Roman"/>
                <w:color w:val="000000"/>
                <w:lang w:val="sr-Cyrl-RS" w:eastAsia="en-GB"/>
              </w:rPr>
              <w:t>1.939.707.000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2.4</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nil"/>
              <w:bottom w:val="single" w:sz="4" w:space="0" w:color="auto"/>
              <w:right w:val="nil"/>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38.900.000</w:t>
            </w:r>
          </w:p>
        </w:tc>
        <w:tc>
          <w:tcPr>
            <w:tcW w:w="1000" w:type="pct"/>
            <w:tcBorders>
              <w:top w:val="nil"/>
              <w:left w:val="single" w:sz="8"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63.000.000</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101.900.000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2.5</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12.416.000</w:t>
            </w:r>
          </w:p>
        </w:tc>
        <w:tc>
          <w:tcPr>
            <w:tcW w:w="1000" w:type="pct"/>
            <w:tcBorders>
              <w:top w:val="single" w:sz="4" w:space="0" w:color="auto"/>
              <w:left w:val="nil"/>
              <w:bottom w:val="single" w:sz="4" w:space="0" w:color="auto"/>
              <w:right w:val="nil"/>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26.560.000</w:t>
            </w:r>
          </w:p>
        </w:tc>
        <w:tc>
          <w:tcPr>
            <w:tcW w:w="1000" w:type="pct"/>
            <w:tcBorders>
              <w:top w:val="nil"/>
              <w:left w:val="single" w:sz="8"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159.600.000</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198.576.000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2E74B5" w:themeFill="accent1" w:themeFillShade="BF"/>
            <w:noWrap/>
            <w:vAlign w:val="bottom"/>
            <w:hideMark/>
          </w:tcPr>
          <w:p w:rsidR="00DE335C" w:rsidRPr="0081082A" w:rsidRDefault="00DE335C" w:rsidP="00C24F6D">
            <w:pPr>
              <w:spacing w:after="0"/>
              <w:rPr>
                <w:rFonts w:eastAsia="Times New Roman"/>
                <w:b/>
                <w:bCs/>
                <w:color w:val="FFFFFF" w:themeColor="background1"/>
                <w:lang w:val="sr-Cyrl-RS" w:eastAsia="en-GB"/>
              </w:rPr>
            </w:pPr>
            <w:r w:rsidRPr="0081082A">
              <w:rPr>
                <w:rFonts w:eastAsia="Times New Roman"/>
                <w:b/>
                <w:bCs/>
                <w:color w:val="FFFFFF" w:themeColor="background1"/>
                <w:lang w:val="sr-Cyrl-RS" w:eastAsia="en-GB"/>
              </w:rPr>
              <w:t>Посебни циљ 3.</w:t>
            </w:r>
          </w:p>
        </w:tc>
        <w:tc>
          <w:tcPr>
            <w:tcW w:w="1000" w:type="pct"/>
            <w:tcBorders>
              <w:top w:val="nil"/>
              <w:left w:val="nil"/>
              <w:bottom w:val="single" w:sz="4" w:space="0" w:color="auto"/>
              <w:right w:val="single" w:sz="4" w:space="0" w:color="auto"/>
            </w:tcBorders>
            <w:shd w:val="clear" w:color="auto" w:fill="2E74B5" w:themeFill="accent1" w:themeFillShade="BF"/>
            <w:noWrap/>
            <w:vAlign w:val="bottom"/>
          </w:tcPr>
          <w:p w:rsidR="00DE335C" w:rsidRPr="0081082A" w:rsidRDefault="00E645B1"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59.435</w:t>
            </w:r>
            <w:r w:rsidR="00DE335C" w:rsidRPr="0081082A">
              <w:rPr>
                <w:rFonts w:eastAsia="Times New Roman"/>
                <w:b/>
                <w:bCs/>
                <w:color w:val="FFFFFF" w:themeColor="background1"/>
                <w:lang w:val="sr-Cyrl-RS" w:eastAsia="en-GB"/>
              </w:rPr>
              <w:t>.900</w:t>
            </w:r>
          </w:p>
        </w:tc>
        <w:tc>
          <w:tcPr>
            <w:tcW w:w="1000" w:type="pct"/>
            <w:tcBorders>
              <w:top w:val="single" w:sz="4" w:space="0" w:color="auto"/>
              <w:left w:val="nil"/>
              <w:bottom w:val="single" w:sz="4" w:space="0" w:color="auto"/>
              <w:right w:val="nil"/>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36.532.800</w:t>
            </w:r>
          </w:p>
        </w:tc>
        <w:tc>
          <w:tcPr>
            <w:tcW w:w="1000" w:type="pct"/>
            <w:tcBorders>
              <w:top w:val="nil"/>
              <w:left w:val="single" w:sz="8"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169.656.500</w:t>
            </w:r>
          </w:p>
        </w:tc>
        <w:tc>
          <w:tcPr>
            <w:tcW w:w="1000" w:type="pct"/>
            <w:tcBorders>
              <w:top w:val="nil"/>
              <w:left w:val="nil"/>
              <w:bottom w:val="single" w:sz="4" w:space="0" w:color="auto"/>
              <w:right w:val="single" w:sz="4" w:space="0" w:color="auto"/>
            </w:tcBorders>
            <w:shd w:val="clear" w:color="auto" w:fill="2E74B5" w:themeFill="accent1" w:themeFillShade="BF"/>
            <w:noWrap/>
            <w:vAlign w:val="bottom"/>
          </w:tcPr>
          <w:p w:rsidR="00DE335C" w:rsidRPr="0081082A" w:rsidRDefault="0077150B"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265</w:t>
            </w:r>
            <w:r w:rsidR="004E4DD3" w:rsidRPr="0081082A">
              <w:rPr>
                <w:rFonts w:eastAsia="Times New Roman"/>
                <w:b/>
                <w:bCs/>
                <w:color w:val="FFFFFF" w:themeColor="background1"/>
                <w:lang w:val="sr-Cyrl-RS" w:eastAsia="en-GB"/>
              </w:rPr>
              <w:t>.625</w:t>
            </w:r>
            <w:r w:rsidR="00DE335C" w:rsidRPr="0081082A">
              <w:rPr>
                <w:rFonts w:eastAsia="Times New Roman"/>
                <w:b/>
                <w:bCs/>
                <w:color w:val="FFFFFF" w:themeColor="background1"/>
                <w:lang w:val="sr-Cyrl-RS" w:eastAsia="en-GB"/>
              </w:rPr>
              <w:t>.200</w:t>
            </w:r>
          </w:p>
        </w:tc>
      </w:tr>
      <w:tr w:rsidR="002B617A" w:rsidRPr="0081082A" w:rsidTr="002B617A">
        <w:trPr>
          <w:trHeight w:val="288"/>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M 3.1</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E645B1" w:rsidP="00C24F6D">
            <w:pPr>
              <w:spacing w:after="0"/>
              <w:jc w:val="right"/>
              <w:rPr>
                <w:rFonts w:eastAsia="Times New Roman"/>
                <w:color w:val="000000"/>
                <w:lang w:val="sr-Cyrl-RS" w:eastAsia="en-GB"/>
              </w:rPr>
            </w:pPr>
            <w:r w:rsidRPr="0081082A">
              <w:rPr>
                <w:rFonts w:eastAsia="Times New Roman"/>
                <w:color w:val="000000"/>
                <w:lang w:val="sr-Cyrl-RS" w:eastAsia="en-GB"/>
              </w:rPr>
              <w:t>26.516.000</w:t>
            </w:r>
          </w:p>
        </w:tc>
        <w:tc>
          <w:tcPr>
            <w:tcW w:w="1000" w:type="pct"/>
            <w:tcBorders>
              <w:top w:val="single" w:sz="4" w:space="0" w:color="auto"/>
              <w:left w:val="nil"/>
              <w:bottom w:val="single" w:sz="4" w:space="0" w:color="auto"/>
              <w:right w:val="nil"/>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35.400.000</w:t>
            </w:r>
          </w:p>
        </w:tc>
        <w:tc>
          <w:tcPr>
            <w:tcW w:w="1000" w:type="pct"/>
            <w:tcBorders>
              <w:top w:val="nil"/>
              <w:left w:val="single" w:sz="8"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118.000.000</w:t>
            </w:r>
          </w:p>
        </w:tc>
        <w:tc>
          <w:tcPr>
            <w:tcW w:w="1000" w:type="pct"/>
            <w:tcBorders>
              <w:top w:val="nil"/>
              <w:left w:val="nil"/>
              <w:bottom w:val="single" w:sz="4" w:space="0" w:color="auto"/>
              <w:right w:val="single" w:sz="4" w:space="0" w:color="auto"/>
            </w:tcBorders>
            <w:shd w:val="clear" w:color="auto" w:fill="auto"/>
            <w:noWrap/>
            <w:vAlign w:val="bottom"/>
          </w:tcPr>
          <w:p w:rsidR="00DE335C" w:rsidRPr="0081082A" w:rsidRDefault="00E75546" w:rsidP="00C24F6D">
            <w:pPr>
              <w:spacing w:after="0"/>
              <w:jc w:val="right"/>
              <w:rPr>
                <w:rFonts w:eastAsia="Times New Roman"/>
                <w:color w:val="000000"/>
                <w:lang w:val="sr-Cyrl-RS" w:eastAsia="en-GB"/>
              </w:rPr>
            </w:pPr>
            <w:r w:rsidRPr="0081082A">
              <w:rPr>
                <w:rFonts w:eastAsia="Times New Roman"/>
                <w:color w:val="000000"/>
                <w:lang w:val="sr-Cyrl-RS" w:eastAsia="en-GB"/>
              </w:rPr>
              <w:t>179.912</w:t>
            </w:r>
            <w:r w:rsidR="00DE335C" w:rsidRPr="0081082A">
              <w:rPr>
                <w:rFonts w:eastAsia="Times New Roman"/>
                <w:color w:val="000000"/>
                <w:lang w:val="sr-Cyrl-RS" w:eastAsia="en-GB"/>
              </w:rPr>
              <w:t>.000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 3.2</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4.716.000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44.832.000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49.548.000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 3.3</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28.207.900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1.132.800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6.824.500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36.165.200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hideMark/>
          </w:tcPr>
          <w:p w:rsidR="00DE335C" w:rsidRPr="0081082A" w:rsidRDefault="00DE335C" w:rsidP="00C24F6D">
            <w:pPr>
              <w:spacing w:after="0"/>
              <w:rPr>
                <w:rFonts w:eastAsia="Times New Roman"/>
                <w:b/>
                <w:bCs/>
                <w:color w:val="FFFFFF" w:themeColor="background1"/>
                <w:lang w:val="sr-Cyrl-RS" w:eastAsia="en-GB"/>
              </w:rPr>
            </w:pPr>
            <w:r w:rsidRPr="0081082A">
              <w:rPr>
                <w:rFonts w:eastAsia="Times New Roman"/>
                <w:b/>
                <w:bCs/>
                <w:color w:val="FFFFFF" w:themeColor="background1"/>
                <w:lang w:val="sr-Cyrl-RS" w:eastAsia="en-GB"/>
              </w:rPr>
              <w:t>Посебни циљ 4.</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9.960.000</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34.366.800</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275.876.000</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77150B"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320.202.8</w:t>
            </w:r>
            <w:r w:rsidR="00DE335C" w:rsidRPr="0081082A">
              <w:rPr>
                <w:rFonts w:eastAsia="Times New Roman"/>
                <w:b/>
                <w:bCs/>
                <w:color w:val="FFFFFF" w:themeColor="background1"/>
                <w:lang w:val="sr-Cyrl-RS" w:eastAsia="en-GB"/>
              </w:rPr>
              <w:t>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4.1</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8.400.000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62.036.000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70.436.000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4.2</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7.560.000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10.366.800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27.840.000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45.766.000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4.3</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2.400.000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122.400.000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124.800.000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4.4</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15.600.000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63.600.000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79.200.000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hideMark/>
          </w:tcPr>
          <w:p w:rsidR="00DE335C" w:rsidRPr="0081082A" w:rsidRDefault="00DE335C" w:rsidP="00C24F6D">
            <w:pPr>
              <w:spacing w:after="0"/>
              <w:rPr>
                <w:rFonts w:eastAsia="Times New Roman"/>
                <w:b/>
                <w:bCs/>
                <w:color w:val="FFFFFF" w:themeColor="background1"/>
                <w:lang w:val="sr-Cyrl-RS" w:eastAsia="en-GB"/>
              </w:rPr>
            </w:pPr>
            <w:r w:rsidRPr="0081082A">
              <w:rPr>
                <w:rFonts w:eastAsia="Times New Roman"/>
                <w:b/>
                <w:bCs/>
                <w:color w:val="FFFFFF" w:themeColor="background1"/>
                <w:lang w:val="sr-Cyrl-RS" w:eastAsia="en-GB"/>
              </w:rPr>
              <w:t>Посебни циљ 5</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081AC2"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60</w:t>
            </w:r>
            <w:r w:rsidR="00DE335C" w:rsidRPr="0081082A">
              <w:rPr>
                <w:rFonts w:eastAsia="Times New Roman"/>
                <w:b/>
                <w:bCs/>
                <w:color w:val="FFFFFF" w:themeColor="background1"/>
                <w:lang w:val="sr-Cyrl-RS" w:eastAsia="en-GB"/>
              </w:rPr>
              <w:t>.300.000</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450.000</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081AC2"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58</w:t>
            </w:r>
            <w:r w:rsidR="00DE335C" w:rsidRPr="0081082A">
              <w:rPr>
                <w:rFonts w:eastAsia="Times New Roman"/>
                <w:b/>
                <w:bCs/>
                <w:color w:val="FFFFFF" w:themeColor="background1"/>
                <w:lang w:val="sr-Cyrl-RS" w:eastAsia="en-GB"/>
              </w:rPr>
              <w:t>.000.000</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themeColor="background1"/>
                <w:lang w:val="sr-Cyrl-RS" w:eastAsia="en-GB"/>
              </w:rPr>
            </w:pPr>
            <w:r w:rsidRPr="0081082A">
              <w:rPr>
                <w:rFonts w:eastAsia="Times New Roman"/>
                <w:b/>
                <w:bCs/>
                <w:color w:val="FFFFFF" w:themeColor="background1"/>
                <w:lang w:val="sr-Cyrl-RS" w:eastAsia="en-GB"/>
              </w:rPr>
              <w:t>118.750.000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5.1.</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37.800.000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450.000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20.000.000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58.250.000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5.2.</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1350E9" w:rsidP="00C24F6D">
            <w:pPr>
              <w:spacing w:after="0"/>
              <w:jc w:val="right"/>
              <w:rPr>
                <w:rFonts w:eastAsia="Times New Roman"/>
                <w:color w:val="000000"/>
                <w:lang w:val="sr-Cyrl-RS" w:eastAsia="en-GB"/>
              </w:rPr>
            </w:pPr>
            <w:r w:rsidRPr="0081082A">
              <w:rPr>
                <w:rFonts w:eastAsia="Times New Roman"/>
                <w:color w:val="000000"/>
                <w:lang w:val="sr-Cyrl-RS" w:eastAsia="en-GB"/>
              </w:rPr>
              <w:t>17</w:t>
            </w:r>
            <w:r w:rsidR="00DE335C" w:rsidRPr="0081082A">
              <w:rPr>
                <w:rFonts w:eastAsia="Times New Roman"/>
                <w:color w:val="000000"/>
                <w:lang w:val="sr-Cyrl-RS" w:eastAsia="en-GB"/>
              </w:rPr>
              <w:t>.500.000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1350E9" w:rsidP="00C24F6D">
            <w:pPr>
              <w:spacing w:after="0"/>
              <w:jc w:val="right"/>
              <w:rPr>
                <w:rFonts w:eastAsia="Times New Roman"/>
                <w:color w:val="000000"/>
                <w:lang w:val="sr-Cyrl-RS" w:eastAsia="en-GB"/>
              </w:rPr>
            </w:pPr>
            <w:r w:rsidRPr="0081082A">
              <w:rPr>
                <w:rFonts w:eastAsia="Times New Roman"/>
                <w:color w:val="000000"/>
                <w:lang w:val="sr-Cyrl-RS" w:eastAsia="en-GB"/>
              </w:rPr>
              <w:t>38</w:t>
            </w:r>
            <w:r w:rsidR="00DE335C" w:rsidRPr="0081082A">
              <w:rPr>
                <w:rFonts w:eastAsia="Times New Roman"/>
                <w:color w:val="000000"/>
                <w:lang w:val="sr-Cyrl-RS" w:eastAsia="en-GB"/>
              </w:rPr>
              <w:t>.000.000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55.500.000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5.3</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5.000.000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5.000.000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hideMark/>
          </w:tcPr>
          <w:p w:rsidR="00DE335C" w:rsidRPr="0081082A" w:rsidRDefault="00DE335C" w:rsidP="00C24F6D">
            <w:pPr>
              <w:spacing w:after="0"/>
              <w:rPr>
                <w:rFonts w:eastAsia="Times New Roman"/>
                <w:b/>
                <w:bCs/>
                <w:color w:val="FFFFFF"/>
                <w:lang w:val="sr-Cyrl-RS" w:eastAsia="en-GB"/>
              </w:rPr>
            </w:pPr>
            <w:r w:rsidRPr="0081082A">
              <w:rPr>
                <w:rFonts w:eastAsia="Times New Roman"/>
                <w:b/>
                <w:bCs/>
                <w:color w:val="FFFFFF"/>
                <w:lang w:val="sr-Cyrl-RS" w:eastAsia="en-GB"/>
              </w:rPr>
              <w:t>Посебни циљ 6</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lang w:val="sr-Cyrl-RS" w:eastAsia="en-GB"/>
              </w:rPr>
            </w:pPr>
            <w:r w:rsidRPr="0081082A">
              <w:rPr>
                <w:rFonts w:eastAsia="Times New Roman"/>
                <w:b/>
                <w:bCs/>
                <w:color w:val="FFFFFF"/>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lang w:val="sr-Cyrl-RS" w:eastAsia="en-GB"/>
              </w:rPr>
            </w:pPr>
            <w:r w:rsidRPr="0081082A">
              <w:rPr>
                <w:rFonts w:eastAsia="Times New Roman"/>
                <w:b/>
                <w:bCs/>
                <w:color w:val="FFFFFF"/>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lang w:val="sr-Cyrl-RS" w:eastAsia="en-GB"/>
              </w:rPr>
            </w:pPr>
            <w:r w:rsidRPr="0081082A">
              <w:rPr>
                <w:rFonts w:eastAsia="Times New Roman"/>
                <w:b/>
                <w:bCs/>
                <w:color w:val="FFFFFF"/>
                <w:lang w:val="sr-Cyrl-RS" w:eastAsia="en-GB"/>
              </w:rPr>
              <w:t>22.500.000</w:t>
            </w:r>
          </w:p>
        </w:tc>
        <w:tc>
          <w:tcPr>
            <w:tcW w:w="1000" w:type="pct"/>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bottom"/>
          </w:tcPr>
          <w:p w:rsidR="00DE335C" w:rsidRPr="0081082A" w:rsidRDefault="00DE335C" w:rsidP="00C24F6D">
            <w:pPr>
              <w:spacing w:after="0"/>
              <w:jc w:val="right"/>
              <w:rPr>
                <w:rFonts w:eastAsia="Times New Roman"/>
                <w:b/>
                <w:bCs/>
                <w:color w:val="FFFFFF"/>
                <w:lang w:val="sr-Cyrl-RS" w:eastAsia="en-GB"/>
              </w:rPr>
            </w:pPr>
            <w:r w:rsidRPr="0081082A">
              <w:rPr>
                <w:rFonts w:eastAsia="Times New Roman"/>
                <w:b/>
                <w:bCs/>
                <w:color w:val="FFFFFF"/>
                <w:lang w:val="sr-Cyrl-RS" w:eastAsia="en-GB"/>
              </w:rPr>
              <w:t>22.500.000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6.1</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E335C" w:rsidRPr="0081082A" w:rsidRDefault="00DE335C" w:rsidP="00C24F6D">
            <w:pPr>
              <w:spacing w:after="0"/>
              <w:rPr>
                <w:rFonts w:eastAsia="Times New Roman"/>
                <w:color w:val="000000"/>
                <w:lang w:val="sr-Cyrl-RS" w:eastAsia="en-GB"/>
              </w:rPr>
            </w:pPr>
            <w:r w:rsidRPr="0081082A">
              <w:rPr>
                <w:rFonts w:eastAsia="Times New Roman"/>
                <w:color w:val="000000"/>
                <w:lang w:val="sr-Cyrl-RS" w:eastAsia="en-GB"/>
              </w:rPr>
              <w:t>Мера 6.2</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22.500.000</w:t>
            </w:r>
          </w:p>
        </w:tc>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tcPr>
          <w:p w:rsidR="00DE335C" w:rsidRPr="0081082A" w:rsidRDefault="00DE335C" w:rsidP="00C24F6D">
            <w:pPr>
              <w:spacing w:after="0"/>
              <w:jc w:val="right"/>
              <w:rPr>
                <w:rFonts w:eastAsia="Times New Roman"/>
                <w:color w:val="000000"/>
                <w:lang w:val="sr-Cyrl-RS" w:eastAsia="en-GB"/>
              </w:rPr>
            </w:pPr>
            <w:r w:rsidRPr="0081082A">
              <w:rPr>
                <w:rFonts w:eastAsia="Times New Roman"/>
                <w:color w:val="000000"/>
                <w:lang w:val="sr-Cyrl-RS" w:eastAsia="en-GB"/>
              </w:rPr>
              <w:t>22.500.000</w:t>
            </w:r>
          </w:p>
        </w:tc>
      </w:tr>
      <w:tr w:rsidR="002B617A" w:rsidRPr="0081082A" w:rsidTr="002B617A">
        <w:trPr>
          <w:trHeight w:val="288"/>
        </w:trPr>
        <w:tc>
          <w:tcPr>
            <w:tcW w:w="1000" w:type="pct"/>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DE335C" w:rsidRPr="0081082A" w:rsidRDefault="00DE335C" w:rsidP="00C24F6D">
            <w:pPr>
              <w:spacing w:after="0"/>
              <w:rPr>
                <w:rFonts w:eastAsia="Times New Roman"/>
                <w:b/>
                <w:bCs/>
                <w:color w:val="000000"/>
                <w:lang w:val="sr-Cyrl-RS" w:eastAsia="en-GB"/>
              </w:rPr>
            </w:pPr>
            <w:r w:rsidRPr="0081082A">
              <w:rPr>
                <w:rFonts w:eastAsia="Times New Roman"/>
                <w:b/>
                <w:bCs/>
                <w:color w:val="000000"/>
                <w:lang w:val="sr-Cyrl-RS" w:eastAsia="en-GB"/>
              </w:rPr>
              <w:t>УКУПНО</w:t>
            </w:r>
          </w:p>
        </w:tc>
        <w:tc>
          <w:tcPr>
            <w:tcW w:w="1000" w:type="pct"/>
            <w:tcBorders>
              <w:top w:val="single" w:sz="4" w:space="0" w:color="auto"/>
              <w:left w:val="single" w:sz="4" w:space="0" w:color="auto"/>
              <w:bottom w:val="single" w:sz="4" w:space="0" w:color="auto"/>
              <w:right w:val="single" w:sz="4" w:space="0" w:color="auto"/>
            </w:tcBorders>
            <w:shd w:val="clear" w:color="000000" w:fill="D9D9D9"/>
            <w:noWrap/>
            <w:vAlign w:val="bottom"/>
          </w:tcPr>
          <w:p w:rsidR="00DE335C" w:rsidRPr="0081082A" w:rsidRDefault="00035A83" w:rsidP="00C24F6D">
            <w:pPr>
              <w:spacing w:after="0"/>
              <w:jc w:val="right"/>
              <w:rPr>
                <w:rFonts w:eastAsia="Times New Roman"/>
                <w:b/>
                <w:bCs/>
                <w:color w:val="000000"/>
                <w:lang w:val="sr-Cyrl-RS" w:eastAsia="en-GB"/>
              </w:rPr>
            </w:pPr>
            <w:r w:rsidRPr="0081082A">
              <w:rPr>
                <w:rFonts w:eastAsia="Times New Roman"/>
                <w:b/>
                <w:bCs/>
                <w:color w:val="000000"/>
                <w:lang w:val="sr-Cyrl-RS" w:eastAsia="en-GB"/>
              </w:rPr>
              <w:t>1.602.812</w:t>
            </w:r>
            <w:r w:rsidR="00DE335C" w:rsidRPr="0081082A">
              <w:rPr>
                <w:rFonts w:eastAsia="Times New Roman"/>
                <w:b/>
                <w:bCs/>
                <w:color w:val="000000"/>
                <w:lang w:val="sr-Cyrl-RS" w:eastAsia="en-GB"/>
              </w:rPr>
              <w:t>.900</w:t>
            </w:r>
          </w:p>
        </w:tc>
        <w:tc>
          <w:tcPr>
            <w:tcW w:w="1000" w:type="pct"/>
            <w:tcBorders>
              <w:top w:val="single" w:sz="4" w:space="0" w:color="auto"/>
              <w:left w:val="single" w:sz="4" w:space="0" w:color="auto"/>
              <w:bottom w:val="single" w:sz="4" w:space="0" w:color="auto"/>
              <w:right w:val="single" w:sz="4" w:space="0" w:color="auto"/>
            </w:tcBorders>
            <w:shd w:val="clear" w:color="000000" w:fill="D9D9D9"/>
            <w:noWrap/>
            <w:vAlign w:val="bottom"/>
          </w:tcPr>
          <w:p w:rsidR="00DE335C" w:rsidRPr="0081082A" w:rsidRDefault="00650CF4" w:rsidP="00C04042">
            <w:pPr>
              <w:spacing w:after="0"/>
              <w:jc w:val="right"/>
              <w:rPr>
                <w:rFonts w:eastAsia="Times New Roman"/>
                <w:b/>
                <w:bCs/>
                <w:color w:val="000000"/>
                <w:lang w:val="sr-Cyrl-RS" w:eastAsia="en-GB"/>
              </w:rPr>
            </w:pPr>
            <w:r w:rsidRPr="0081082A">
              <w:rPr>
                <w:rFonts w:eastAsia="Times New Roman"/>
                <w:b/>
                <w:bCs/>
                <w:color w:val="000000"/>
                <w:lang w:val="sr-Cyrl-RS" w:eastAsia="en-GB"/>
              </w:rPr>
              <w:t>3.</w:t>
            </w:r>
            <w:r w:rsidR="00C04042" w:rsidRPr="0081082A">
              <w:rPr>
                <w:rFonts w:eastAsia="Times New Roman"/>
                <w:b/>
                <w:bCs/>
                <w:color w:val="000000"/>
                <w:lang w:val="sr-Cyrl-RS" w:eastAsia="en-GB"/>
              </w:rPr>
              <w:t>351</w:t>
            </w:r>
            <w:r w:rsidRPr="0081082A">
              <w:rPr>
                <w:rFonts w:eastAsia="Times New Roman"/>
                <w:b/>
                <w:bCs/>
                <w:color w:val="000000"/>
                <w:lang w:val="sr-Cyrl-RS" w:eastAsia="en-GB"/>
              </w:rPr>
              <w:t>.</w:t>
            </w:r>
            <w:r w:rsidR="00C04042" w:rsidRPr="0081082A">
              <w:rPr>
                <w:rFonts w:eastAsia="Times New Roman"/>
                <w:b/>
                <w:bCs/>
                <w:color w:val="000000"/>
                <w:lang w:val="sr-Cyrl-RS" w:eastAsia="en-GB"/>
              </w:rPr>
              <w:t>076</w:t>
            </w:r>
            <w:r w:rsidR="00DE335C" w:rsidRPr="0081082A">
              <w:rPr>
                <w:rFonts w:eastAsia="Times New Roman"/>
                <w:b/>
                <w:bCs/>
                <w:color w:val="000000"/>
                <w:lang w:val="sr-Cyrl-RS" w:eastAsia="en-GB"/>
              </w:rPr>
              <w:t>.600</w:t>
            </w:r>
          </w:p>
        </w:tc>
        <w:tc>
          <w:tcPr>
            <w:tcW w:w="1000" w:type="pct"/>
            <w:tcBorders>
              <w:top w:val="single" w:sz="4" w:space="0" w:color="auto"/>
              <w:left w:val="single" w:sz="4" w:space="0" w:color="auto"/>
              <w:bottom w:val="single" w:sz="4" w:space="0" w:color="auto"/>
              <w:right w:val="single" w:sz="4" w:space="0" w:color="auto"/>
            </w:tcBorders>
            <w:shd w:val="clear" w:color="000000" w:fill="D9D9D9"/>
            <w:noWrap/>
            <w:vAlign w:val="bottom"/>
          </w:tcPr>
          <w:p w:rsidR="00DE335C" w:rsidRPr="0081082A" w:rsidRDefault="00DE335C" w:rsidP="00C24F6D">
            <w:pPr>
              <w:spacing w:after="0"/>
              <w:jc w:val="right"/>
              <w:rPr>
                <w:rFonts w:eastAsia="Times New Roman"/>
                <w:b/>
                <w:bCs/>
                <w:color w:val="000000"/>
                <w:lang w:val="sr-Cyrl-RS" w:eastAsia="en-GB"/>
              </w:rPr>
            </w:pPr>
            <w:r w:rsidRPr="0081082A">
              <w:rPr>
                <w:rFonts w:eastAsia="Times New Roman"/>
                <w:b/>
                <w:bCs/>
                <w:color w:val="000000"/>
                <w:lang w:val="sr-Cyrl-RS" w:eastAsia="en-GB"/>
              </w:rPr>
              <w:t>2.</w:t>
            </w:r>
            <w:r w:rsidR="00FA5404" w:rsidRPr="0081082A">
              <w:rPr>
                <w:rFonts w:eastAsia="Times New Roman"/>
                <w:b/>
                <w:bCs/>
                <w:color w:val="000000"/>
                <w:lang w:val="sr-Cyrl-RS" w:eastAsia="en-GB"/>
              </w:rPr>
              <w:t>868</w:t>
            </w:r>
            <w:r w:rsidRPr="0081082A">
              <w:rPr>
                <w:rFonts w:eastAsia="Times New Roman"/>
                <w:b/>
                <w:bCs/>
                <w:color w:val="000000"/>
                <w:lang w:val="sr-Cyrl-RS" w:eastAsia="en-GB"/>
              </w:rPr>
              <w:t>.</w:t>
            </w:r>
            <w:r w:rsidR="00FA5404" w:rsidRPr="0081082A">
              <w:rPr>
                <w:rFonts w:eastAsia="Times New Roman"/>
                <w:b/>
                <w:bCs/>
                <w:color w:val="000000"/>
                <w:lang w:val="sr-Cyrl-RS" w:eastAsia="en-GB"/>
              </w:rPr>
              <w:t>959</w:t>
            </w:r>
            <w:r w:rsidRPr="0081082A">
              <w:rPr>
                <w:rFonts w:eastAsia="Times New Roman"/>
                <w:b/>
                <w:bCs/>
                <w:color w:val="000000"/>
                <w:lang w:val="sr-Cyrl-RS" w:eastAsia="en-GB"/>
              </w:rPr>
              <w:t>.500</w:t>
            </w:r>
          </w:p>
        </w:tc>
        <w:tc>
          <w:tcPr>
            <w:tcW w:w="1000" w:type="pct"/>
            <w:tcBorders>
              <w:top w:val="single" w:sz="4" w:space="0" w:color="auto"/>
              <w:left w:val="single" w:sz="4" w:space="0" w:color="auto"/>
              <w:bottom w:val="single" w:sz="4" w:space="0" w:color="auto"/>
              <w:right w:val="single" w:sz="4" w:space="0" w:color="auto"/>
            </w:tcBorders>
            <w:shd w:val="clear" w:color="000000" w:fill="D9D9D9"/>
            <w:noWrap/>
            <w:vAlign w:val="bottom"/>
          </w:tcPr>
          <w:p w:rsidR="00DE335C" w:rsidRPr="0081082A" w:rsidRDefault="00DE335C" w:rsidP="005A4C5B">
            <w:pPr>
              <w:spacing w:after="0"/>
              <w:jc w:val="right"/>
              <w:rPr>
                <w:rFonts w:eastAsia="Times New Roman"/>
                <w:b/>
                <w:bCs/>
                <w:color w:val="000000"/>
                <w:lang w:val="sr-Cyrl-RS" w:eastAsia="en-GB"/>
              </w:rPr>
            </w:pPr>
            <w:r w:rsidRPr="0081082A">
              <w:rPr>
                <w:rFonts w:eastAsia="Times New Roman"/>
                <w:b/>
                <w:bCs/>
                <w:color w:val="000000"/>
                <w:lang w:val="sr-Cyrl-RS" w:eastAsia="en-GB"/>
              </w:rPr>
              <w:t>7.</w:t>
            </w:r>
            <w:r w:rsidR="005A4C5B" w:rsidRPr="0081082A">
              <w:rPr>
                <w:rFonts w:eastAsia="Times New Roman"/>
                <w:b/>
                <w:bCs/>
                <w:color w:val="000000"/>
                <w:lang w:val="sr-Cyrl-RS" w:eastAsia="en-GB"/>
              </w:rPr>
              <w:t>822</w:t>
            </w:r>
            <w:r w:rsidRPr="0081082A">
              <w:rPr>
                <w:rFonts w:eastAsia="Times New Roman"/>
                <w:b/>
                <w:bCs/>
                <w:color w:val="000000"/>
                <w:lang w:val="sr-Cyrl-RS" w:eastAsia="en-GB"/>
              </w:rPr>
              <w:t>.</w:t>
            </w:r>
            <w:r w:rsidR="005A4C5B" w:rsidRPr="0081082A">
              <w:rPr>
                <w:rFonts w:eastAsia="Times New Roman"/>
                <w:b/>
                <w:bCs/>
                <w:color w:val="000000"/>
                <w:lang w:val="sr-Cyrl-RS" w:eastAsia="en-GB"/>
              </w:rPr>
              <w:t>849</w:t>
            </w:r>
            <w:r w:rsidRPr="0081082A">
              <w:rPr>
                <w:rFonts w:eastAsia="Times New Roman"/>
                <w:b/>
                <w:bCs/>
                <w:color w:val="000000"/>
                <w:lang w:val="sr-Cyrl-RS" w:eastAsia="en-GB"/>
              </w:rPr>
              <w:t>.</w:t>
            </w:r>
            <w:r w:rsidR="00360295" w:rsidRPr="0081082A">
              <w:rPr>
                <w:rFonts w:eastAsia="Times New Roman"/>
                <w:b/>
                <w:bCs/>
                <w:color w:val="000000"/>
                <w:lang w:val="sr-Cyrl-RS" w:eastAsia="en-GB"/>
              </w:rPr>
              <w:t>0</w:t>
            </w:r>
            <w:r w:rsidRPr="0081082A">
              <w:rPr>
                <w:rFonts w:eastAsia="Times New Roman"/>
                <w:b/>
                <w:bCs/>
                <w:color w:val="000000"/>
                <w:lang w:val="sr-Cyrl-RS" w:eastAsia="en-GB"/>
              </w:rPr>
              <w:t>00</w:t>
            </w:r>
          </w:p>
        </w:tc>
      </w:tr>
    </w:tbl>
    <w:p w:rsidR="0089255F" w:rsidRPr="0081082A" w:rsidRDefault="0089255F" w:rsidP="0089255F">
      <w:pPr>
        <w:rPr>
          <w:lang w:val="sr-Cyrl-RS"/>
        </w:rPr>
      </w:pPr>
    </w:p>
    <w:p w:rsidR="0089255F" w:rsidRPr="0081082A" w:rsidRDefault="00DC753D" w:rsidP="0089255F">
      <w:pPr>
        <w:rPr>
          <w:lang w:val="sr-Cyrl-RS"/>
        </w:rPr>
      </w:pPr>
      <w:r w:rsidRPr="0081082A">
        <w:rPr>
          <w:noProof/>
        </w:rPr>
        <w:drawing>
          <wp:inline distT="0" distB="0" distL="0" distR="0" wp14:anchorId="49F58E63" wp14:editId="6C645AEE">
            <wp:extent cx="5731510" cy="4328795"/>
            <wp:effectExtent l="0" t="0" r="2540" b="14605"/>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B84559" w:rsidRPr="0081082A" w:rsidRDefault="00C31D6E" w:rsidP="00AE3C4E">
      <w:pPr>
        <w:jc w:val="center"/>
        <w:rPr>
          <w:lang w:val="sr-Cyrl-RS"/>
        </w:rPr>
      </w:pPr>
      <w:r w:rsidRPr="0081082A">
        <w:rPr>
          <w:noProof/>
        </w:rPr>
        <w:drawing>
          <wp:inline distT="0" distB="0" distL="0" distR="0" wp14:anchorId="61015D09" wp14:editId="0C5B16C9">
            <wp:extent cx="5486400" cy="3181350"/>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192373" w:rsidRPr="0081082A" w:rsidRDefault="00192373" w:rsidP="0089255F">
      <w:pPr>
        <w:rPr>
          <w:lang w:val="sr-Cyrl-RS"/>
        </w:rPr>
      </w:pPr>
    </w:p>
    <w:p w:rsidR="00192373" w:rsidRPr="0081082A" w:rsidRDefault="00192373" w:rsidP="00CD4772">
      <w:pPr>
        <w:pStyle w:val="Heading1"/>
        <w:spacing w:line="240" w:lineRule="auto"/>
        <w:rPr>
          <w:rFonts w:ascii="Times New Roman" w:hAnsi="Times New Roman"/>
          <w:lang w:val="sr-Cyrl-RS"/>
        </w:rPr>
      </w:pPr>
      <w:r w:rsidRPr="0081082A">
        <w:rPr>
          <w:rFonts w:ascii="Times New Roman" w:hAnsi="Times New Roman"/>
          <w:lang w:val="sr-Cyrl-RS"/>
        </w:rPr>
        <w:lastRenderedPageBreak/>
        <w:t xml:space="preserve">АНЕКС 3: ПАСОШИ </w:t>
      </w:r>
      <w:r w:rsidR="0077574C" w:rsidRPr="0081082A">
        <w:rPr>
          <w:rFonts w:ascii="Times New Roman" w:hAnsi="Times New Roman"/>
          <w:lang w:val="sr-Cyrl-RS"/>
        </w:rPr>
        <w:t>ПОКАЗАТЕЉА УЧИНКА</w:t>
      </w:r>
    </w:p>
    <w:p w:rsidR="00192373" w:rsidRPr="0081082A" w:rsidRDefault="00192373" w:rsidP="00CD4772">
      <w:pPr>
        <w:pStyle w:val="Heading3"/>
        <w:rPr>
          <w:lang w:val="sr-Cyrl-RS"/>
        </w:rPr>
      </w:pPr>
      <w:bookmarkStart w:id="144" w:name="_Toc68272951"/>
      <w:r w:rsidRPr="0081082A">
        <w:rPr>
          <w:lang w:val="sr-Cyrl-RS"/>
        </w:rPr>
        <w:t>Пасоши показатеља за посебне циљеве и мере Програма реформе управљања јавним финансијама</w:t>
      </w:r>
      <w:bookmarkEnd w:id="144"/>
      <w:r w:rsidRPr="0081082A">
        <w:rPr>
          <w:lang w:val="sr-Cyrl-RS"/>
        </w:rPr>
        <w:t xml:space="preserve"> 2021-2025</w:t>
      </w:r>
    </w:p>
    <w:p w:rsidR="00192373" w:rsidRPr="0081082A" w:rsidRDefault="00192373" w:rsidP="00192373">
      <w:pPr>
        <w:jc w:val="center"/>
        <w:rPr>
          <w:b/>
          <w:color w:val="002060"/>
          <w:lang w:val="sr-Cyrl-RS"/>
        </w:rPr>
      </w:pPr>
      <w:r w:rsidRPr="0081082A">
        <w:rPr>
          <w:b/>
          <w:color w:val="002060"/>
          <w:lang w:val="sr-Cyrl-RS"/>
        </w:rPr>
        <w:t>ПОКАЗАТЕЉИ НА НИВОУ ПОСЕБНИХ ЦИЉЕВА</w:t>
      </w:r>
    </w:p>
    <w:p w:rsidR="00192373" w:rsidRPr="0081082A" w:rsidRDefault="00192373" w:rsidP="00192373">
      <w:pPr>
        <w:spacing w:after="120"/>
        <w:rPr>
          <w:b/>
          <w:bCs/>
          <w:color w:val="2F5496"/>
          <w:lang w:val="sr-Cyrl-RS"/>
        </w:rPr>
      </w:pPr>
      <w:r w:rsidRPr="0081082A">
        <w:rPr>
          <w:b/>
          <w:bCs/>
          <w:color w:val="2F5496"/>
          <w:lang w:val="sr-Cyrl-RS"/>
        </w:rPr>
        <w:t>Показатељ на нивоу посебног циља 1</w:t>
      </w:r>
    </w:p>
    <w:tbl>
      <w:tblPr>
        <w:tblW w:w="5031"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426"/>
        <w:gridCol w:w="1413"/>
        <w:gridCol w:w="387"/>
        <w:gridCol w:w="1041"/>
        <w:gridCol w:w="593"/>
        <w:gridCol w:w="359"/>
        <w:gridCol w:w="433"/>
        <w:gridCol w:w="573"/>
        <w:gridCol w:w="748"/>
        <w:gridCol w:w="1326"/>
      </w:tblGrid>
      <w:tr w:rsidR="00192373" w:rsidRPr="0081082A" w:rsidTr="00D01626">
        <w:tc>
          <w:tcPr>
            <w:tcW w:w="1304" w:type="pct"/>
            <w:tcBorders>
              <w:top w:val="single" w:sz="4" w:space="0" w:color="auto"/>
              <w:lef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Назив индикатора</w:t>
            </w:r>
          </w:p>
        </w:tc>
        <w:tc>
          <w:tcPr>
            <w:tcW w:w="3696" w:type="pct"/>
            <w:gridSpan w:val="9"/>
            <w:tcBorders>
              <w:top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i/>
                <w:lang w:val="sr-Cyrl-RS"/>
              </w:rPr>
            </w:pPr>
            <w:r w:rsidRPr="0081082A">
              <w:rPr>
                <w:b/>
                <w:lang w:val="sr-Cyrl-RS"/>
              </w:rPr>
              <w:t>Информације о учинку за пружање јавних услуга</w:t>
            </w:r>
          </w:p>
        </w:tc>
      </w:tr>
      <w:tr w:rsidR="00192373" w:rsidRPr="0081082A" w:rsidTr="00D01626">
        <w:tc>
          <w:tcPr>
            <w:tcW w:w="1304" w:type="pct"/>
            <w:tcBorders>
              <w:top w:val="single" w:sz="4"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Одговарајући општи циљ, посебан циљ или мера</w:t>
            </w:r>
          </w:p>
        </w:tc>
        <w:tc>
          <w:tcPr>
            <w:tcW w:w="3696" w:type="pct"/>
            <w:gridSpan w:val="9"/>
            <w:tcBorders>
              <w:top w:val="single" w:sz="4" w:space="0" w:color="auto"/>
              <w:right w:val="single" w:sz="4" w:space="0" w:color="auto"/>
            </w:tcBorders>
            <w:shd w:val="clear" w:color="auto" w:fill="auto"/>
          </w:tcPr>
          <w:p w:rsidR="00192373" w:rsidRPr="0081082A" w:rsidRDefault="00192373" w:rsidP="00E94F53">
            <w:pPr>
              <w:tabs>
                <w:tab w:val="right" w:pos="2140"/>
              </w:tabs>
              <w:spacing w:before="0"/>
              <w:rPr>
                <w:rFonts w:eastAsia="Calibri"/>
                <w:lang w:val="sr-Cyrl-RS"/>
              </w:rPr>
            </w:pPr>
            <w:r w:rsidRPr="0081082A">
              <w:rPr>
                <w:rFonts w:eastAsia="Calibri"/>
                <w:b/>
                <w:bCs/>
                <w:lang w:val="sr-Cyrl-RS"/>
              </w:rPr>
              <w:t>Посебан циљ 1</w:t>
            </w:r>
            <w:r w:rsidRPr="0081082A">
              <w:rPr>
                <w:rFonts w:eastAsia="Calibri"/>
                <w:bCs/>
                <w:lang w:val="sr-Cyrl-RS"/>
              </w:rPr>
              <w:t xml:space="preserve">: </w:t>
            </w:r>
            <w:r w:rsidRPr="0081082A">
              <w:rPr>
                <w:lang w:val="sr-Cyrl-RS"/>
              </w:rPr>
              <w:t xml:space="preserve">Даље </w:t>
            </w:r>
            <w:r w:rsidR="00883E33" w:rsidRPr="0081082A">
              <w:rPr>
                <w:lang w:val="sr-Cyrl-RS"/>
              </w:rPr>
              <w:t xml:space="preserve">унапређење програмског буџета, </w:t>
            </w:r>
            <w:r w:rsidR="00E94F53" w:rsidRPr="0081082A">
              <w:rPr>
                <w:lang w:val="sr-Cyrl-RS"/>
              </w:rPr>
              <w:t>управљање јавним</w:t>
            </w:r>
            <w:r w:rsidR="00883E33" w:rsidRPr="0081082A">
              <w:rPr>
                <w:lang w:val="sr-Cyrl-RS"/>
              </w:rPr>
              <w:t xml:space="preserve"> инвестиција</w:t>
            </w:r>
            <w:r w:rsidR="00E94F53" w:rsidRPr="0081082A">
              <w:rPr>
                <w:lang w:val="sr-Cyrl-RS"/>
              </w:rPr>
              <w:t>ма</w:t>
            </w:r>
            <w:r w:rsidR="00883E33" w:rsidRPr="0081082A">
              <w:rPr>
                <w:lang w:val="sr-Cyrl-RS"/>
              </w:rPr>
              <w:t xml:space="preserve"> и праћење фискалних ризика</w:t>
            </w:r>
          </w:p>
        </w:tc>
      </w:tr>
      <w:tr w:rsidR="00192373" w:rsidRPr="0081082A" w:rsidTr="00D01626">
        <w:tc>
          <w:tcPr>
            <w:tcW w:w="1304"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Тип показатеља </w:t>
            </w:r>
          </w:p>
        </w:tc>
        <w:tc>
          <w:tcPr>
            <w:tcW w:w="1847" w:type="pct"/>
            <w:gridSpan w:val="4"/>
            <w:tcBorders>
              <w:right w:val="single" w:sz="4" w:space="0" w:color="auto"/>
            </w:tcBorders>
            <w:shd w:val="clear" w:color="auto" w:fill="auto"/>
          </w:tcPr>
          <w:p w:rsidR="00192373" w:rsidRPr="0081082A" w:rsidRDefault="00192373" w:rsidP="00D01626">
            <w:pPr>
              <w:spacing w:line="256" w:lineRule="auto"/>
              <w:rPr>
                <w:lang w:val="sr-Cyrl-RS"/>
              </w:rPr>
            </w:pPr>
            <w:r w:rsidRPr="0081082A">
              <w:rPr>
                <w:bCs/>
                <w:lang w:val="sr-Cyrl-RS"/>
              </w:rPr>
              <w:t>Квалитативни</w:t>
            </w:r>
            <w:r w:rsidRPr="0081082A">
              <w:rPr>
                <w:lang w:val="sr-Cyrl-RS"/>
              </w:rPr>
              <w:t xml:space="preserve"> </w:t>
            </w:r>
          </w:p>
        </w:tc>
        <w:tc>
          <w:tcPr>
            <w:tcW w:w="1849" w:type="pct"/>
            <w:gridSpan w:val="5"/>
            <w:tcBorders>
              <w:right w:val="single" w:sz="4" w:space="0" w:color="auto"/>
            </w:tcBorders>
            <w:shd w:val="clear" w:color="auto" w:fill="auto"/>
          </w:tcPr>
          <w:p w:rsidR="00192373" w:rsidRPr="0081082A" w:rsidRDefault="00192373" w:rsidP="00D01626">
            <w:pPr>
              <w:spacing w:line="256" w:lineRule="auto"/>
              <w:rPr>
                <w:lang w:val="sr-Cyrl-RS"/>
              </w:rPr>
            </w:pPr>
            <w:r w:rsidRPr="0081082A">
              <w:rPr>
                <w:bCs/>
                <w:lang w:val="sr-Cyrl-RS"/>
              </w:rPr>
              <w:t>Показатељ на нивоу посебног циља ПРУЈФ</w:t>
            </w:r>
          </w:p>
        </w:tc>
      </w:tr>
      <w:tr w:rsidR="00192373" w:rsidRPr="0081082A" w:rsidTr="00D01626">
        <w:tc>
          <w:tcPr>
            <w:tcW w:w="1304"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Јединица мере и природа</w:t>
            </w:r>
          </w:p>
        </w:tc>
        <w:tc>
          <w:tcPr>
            <w:tcW w:w="1847" w:type="pct"/>
            <w:gridSpan w:val="4"/>
            <w:tcBorders>
              <w:right w:val="single" w:sz="4" w:space="0" w:color="auto"/>
            </w:tcBorders>
            <w:shd w:val="clear" w:color="auto" w:fill="auto"/>
          </w:tcPr>
          <w:p w:rsidR="00192373" w:rsidRPr="0081082A" w:rsidRDefault="00192373" w:rsidP="00D01626">
            <w:pPr>
              <w:spacing w:line="256" w:lineRule="auto"/>
              <w:rPr>
                <w:lang w:val="sr-Cyrl-RS"/>
              </w:rPr>
            </w:pPr>
            <w:r w:rsidRPr="0081082A">
              <w:rPr>
                <w:lang w:val="sr-Cyrl-RS"/>
              </w:rPr>
              <w:t>Оцена (A, Б+, Б, Ц+, Ц, Д+, Д)</w:t>
            </w:r>
          </w:p>
        </w:tc>
        <w:tc>
          <w:tcPr>
            <w:tcW w:w="1849" w:type="pct"/>
            <w:gridSpan w:val="5"/>
            <w:tcBorders>
              <w:right w:val="single" w:sz="4" w:space="0" w:color="auto"/>
            </w:tcBorders>
            <w:shd w:val="clear" w:color="auto" w:fill="auto"/>
            <w:vAlign w:val="center"/>
          </w:tcPr>
          <w:p w:rsidR="00192373" w:rsidRPr="0081082A" w:rsidRDefault="00192373" w:rsidP="00D01626">
            <w:pPr>
              <w:spacing w:beforeAutospacing="1" w:after="100" w:afterAutospacing="1" w:line="256" w:lineRule="auto"/>
              <w:ind w:firstLine="75"/>
              <w:rPr>
                <w:lang w:val="sr-Cyrl-RS"/>
              </w:rPr>
            </w:pPr>
            <w:r w:rsidRPr="0081082A">
              <w:rPr>
                <w:lang w:val="sr-Cyrl-RS"/>
              </w:rPr>
              <w:t>А је најбоља вредност</w:t>
            </w:r>
          </w:p>
        </w:tc>
      </w:tr>
      <w:tr w:rsidR="00192373" w:rsidRPr="0081082A" w:rsidTr="00D01626">
        <w:tc>
          <w:tcPr>
            <w:tcW w:w="1304"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Извор података</w:t>
            </w:r>
          </w:p>
        </w:tc>
        <w:tc>
          <w:tcPr>
            <w:tcW w:w="3696" w:type="pct"/>
            <w:gridSpan w:val="9"/>
            <w:tcBorders>
              <w:bottom w:val="single" w:sz="4" w:space="0" w:color="auto"/>
              <w:right w:val="single" w:sz="4" w:space="0" w:color="auto"/>
            </w:tcBorders>
            <w:shd w:val="clear" w:color="auto" w:fill="auto"/>
          </w:tcPr>
          <w:p w:rsidR="00192373" w:rsidRPr="0081082A" w:rsidRDefault="00192373" w:rsidP="00D01626">
            <w:pPr>
              <w:spacing w:line="256" w:lineRule="auto"/>
              <w:rPr>
                <w:bCs/>
                <w:lang w:val="sr-Cyrl-RS"/>
              </w:rPr>
            </w:pPr>
            <w:r w:rsidRPr="0081082A">
              <w:rPr>
                <w:bCs/>
                <w:lang w:val="sr-Cyrl-RS"/>
              </w:rPr>
              <w:t>ПЕФА процена за Републику Србију</w:t>
            </w:r>
          </w:p>
        </w:tc>
      </w:tr>
      <w:tr w:rsidR="00192373" w:rsidRPr="0081082A" w:rsidTr="00D01626">
        <w:tc>
          <w:tcPr>
            <w:tcW w:w="1304"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Назив носиоца прикупљања података</w:t>
            </w:r>
          </w:p>
        </w:tc>
        <w:tc>
          <w:tcPr>
            <w:tcW w:w="3696" w:type="pct"/>
            <w:gridSpan w:val="9"/>
            <w:tcBorders>
              <w:bottom w:val="single" w:sz="4" w:space="0" w:color="auto"/>
              <w:right w:val="single" w:sz="4" w:space="0" w:color="auto"/>
            </w:tcBorders>
            <w:shd w:val="clear" w:color="auto" w:fill="auto"/>
          </w:tcPr>
          <w:p w:rsidR="00192373" w:rsidRPr="0081082A" w:rsidRDefault="00192373" w:rsidP="00D01626">
            <w:pPr>
              <w:spacing w:line="256" w:lineRule="auto"/>
              <w:rPr>
                <w:bCs/>
                <w:lang w:val="sr-Cyrl-RS"/>
              </w:rPr>
            </w:pPr>
            <w:r w:rsidRPr="0081082A">
              <w:rPr>
                <w:bCs/>
                <w:lang w:val="sr-Cyrl-RS"/>
              </w:rPr>
              <w:t>МФ, Сектор буџета</w:t>
            </w:r>
          </w:p>
        </w:tc>
      </w:tr>
      <w:tr w:rsidR="00192373" w:rsidRPr="0081082A" w:rsidTr="00D01626">
        <w:tc>
          <w:tcPr>
            <w:tcW w:w="1304" w:type="pct"/>
            <w:tcBorders>
              <w:top w:val="single" w:sz="4"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Учесталост</w:t>
            </w:r>
          </w:p>
        </w:tc>
        <w:tc>
          <w:tcPr>
            <w:tcW w:w="3696" w:type="pct"/>
            <w:gridSpan w:val="9"/>
            <w:tcBorders>
              <w:top w:val="single" w:sz="4" w:space="0" w:color="auto"/>
              <w:right w:val="single" w:sz="4" w:space="0" w:color="auto"/>
            </w:tcBorders>
            <w:shd w:val="clear" w:color="auto" w:fill="auto"/>
          </w:tcPr>
          <w:p w:rsidR="00192373" w:rsidRPr="0081082A" w:rsidRDefault="00192373" w:rsidP="00D01626">
            <w:pPr>
              <w:spacing w:line="256" w:lineRule="auto"/>
              <w:rPr>
                <w:bCs/>
                <w:lang w:val="sr-Cyrl-RS"/>
              </w:rPr>
            </w:pPr>
            <w:r w:rsidRPr="0081082A">
              <w:rPr>
                <w:bCs/>
                <w:lang w:val="sr-Cyrl-RS"/>
              </w:rPr>
              <w:t>Једном у четири године</w:t>
            </w:r>
          </w:p>
        </w:tc>
      </w:tr>
      <w:tr w:rsidR="00192373" w:rsidRPr="0081082A" w:rsidTr="00D01626">
        <w:trPr>
          <w:trHeight w:val="1181"/>
        </w:trPr>
        <w:tc>
          <w:tcPr>
            <w:tcW w:w="1304" w:type="pct"/>
            <w:tcBorders>
              <w:left w:val="single" w:sz="4" w:space="0" w:color="auto"/>
              <w:bottom w:val="single" w:sz="6"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Кратак опис показатеља и методологије израчунавања</w:t>
            </w:r>
          </w:p>
          <w:p w:rsidR="00192373" w:rsidRPr="0081082A" w:rsidRDefault="00192373" w:rsidP="00D01626">
            <w:pPr>
              <w:tabs>
                <w:tab w:val="right" w:pos="2140"/>
              </w:tabs>
              <w:spacing w:before="0"/>
              <w:rPr>
                <w:rFonts w:eastAsia="Calibri"/>
                <w:b/>
                <w:lang w:val="sr-Cyrl-RS"/>
              </w:rPr>
            </w:pPr>
            <w:r w:rsidRPr="0081082A">
              <w:rPr>
                <w:rFonts w:eastAsia="Calibri"/>
                <w:b/>
                <w:bCs/>
                <w:lang w:val="sr-Cyrl-RS"/>
              </w:rPr>
              <w:t>(формуле/једначине)</w:t>
            </w:r>
          </w:p>
        </w:tc>
        <w:tc>
          <w:tcPr>
            <w:tcW w:w="3696" w:type="pct"/>
            <w:gridSpan w:val="9"/>
            <w:tcBorders>
              <w:right w:val="single" w:sz="4" w:space="0" w:color="auto"/>
            </w:tcBorders>
            <w:shd w:val="clear" w:color="auto" w:fill="auto"/>
          </w:tcPr>
          <w:p w:rsidR="00192373" w:rsidRPr="0081082A" w:rsidRDefault="00192373" w:rsidP="00D01626">
            <w:pPr>
              <w:spacing w:line="256" w:lineRule="auto"/>
              <w:rPr>
                <w:lang w:val="sr-Cyrl-RS"/>
              </w:rPr>
            </w:pPr>
            <w:r w:rsidRPr="0081082A">
              <w:rPr>
                <w:lang w:val="sr-Cyrl-RS"/>
              </w:rPr>
              <w:t>Овим показатељем из ПЕФА процене се испитују информације о учинку у погледу пружања јавних услуга које се наводе у предлогу буџета извршне власти или његовој пратећој документацији, као и документацији уз извештаје који се подносе на крају године.</w:t>
            </w:r>
          </w:p>
        </w:tc>
      </w:tr>
      <w:tr w:rsidR="00192373" w:rsidRPr="0081082A" w:rsidTr="00D01626">
        <w:tc>
          <w:tcPr>
            <w:tcW w:w="1304" w:type="pct"/>
            <w:vMerge w:val="restart"/>
            <w:tcBorders>
              <w:top w:val="single" w:sz="6" w:space="0" w:color="auto"/>
              <w:left w:val="single" w:sz="4"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Подаци о полазној вредности и години кад је измерена, као и о ранијем тренду</w:t>
            </w:r>
          </w:p>
        </w:tc>
        <w:tc>
          <w:tcPr>
            <w:tcW w:w="2581" w:type="pct"/>
            <w:gridSpan w:val="7"/>
            <w:tcBorders>
              <w:top w:val="single" w:sz="6" w:space="0" w:color="auto"/>
            </w:tcBorders>
            <w:shd w:val="clear" w:color="auto" w:fill="auto"/>
            <w:vAlign w:val="center"/>
          </w:tcPr>
          <w:p w:rsidR="00192373" w:rsidRPr="0081082A" w:rsidRDefault="00192373" w:rsidP="00D01626">
            <w:pPr>
              <w:tabs>
                <w:tab w:val="right" w:pos="2140"/>
              </w:tabs>
              <w:spacing w:before="0"/>
              <w:rPr>
                <w:rFonts w:eastAsia="Calibri"/>
                <w:bCs/>
                <w:lang w:val="sr-Cyrl-RS"/>
              </w:rPr>
            </w:pPr>
            <w:r w:rsidRPr="0081082A">
              <w:rPr>
                <w:rFonts w:eastAsia="Calibri"/>
                <w:lang w:val="sr-Cyrl-RS"/>
              </w:rPr>
              <w:t>Ранији тренд</w:t>
            </w:r>
          </w:p>
        </w:tc>
        <w:tc>
          <w:tcPr>
            <w:tcW w:w="1115" w:type="pct"/>
            <w:gridSpan w:val="2"/>
            <w:tcBorders>
              <w:top w:val="single" w:sz="6" w:space="0" w:color="auto"/>
              <w:right w:val="single" w:sz="4" w:space="0" w:color="auto"/>
            </w:tcBorders>
            <w:shd w:val="clear" w:color="auto" w:fill="auto"/>
            <w:vAlign w:val="center"/>
          </w:tcPr>
          <w:p w:rsidR="00192373" w:rsidRPr="0081082A" w:rsidRDefault="00192373" w:rsidP="00D01626">
            <w:pPr>
              <w:tabs>
                <w:tab w:val="right" w:pos="2140"/>
              </w:tabs>
              <w:spacing w:before="0"/>
              <w:jc w:val="center"/>
              <w:rPr>
                <w:rFonts w:eastAsia="Calibri"/>
                <w:bCs/>
                <w:lang w:val="sr-Cyrl-RS"/>
              </w:rPr>
            </w:pPr>
            <w:r w:rsidRPr="0081082A">
              <w:rPr>
                <w:rFonts w:eastAsia="Calibri"/>
                <w:lang w:val="sr-Cyrl-RS"/>
              </w:rPr>
              <w:t>Полазна вредност</w:t>
            </w:r>
          </w:p>
        </w:tc>
      </w:tr>
      <w:tr w:rsidR="00192373" w:rsidRPr="0081082A" w:rsidTr="00D01626">
        <w:tc>
          <w:tcPr>
            <w:tcW w:w="1304"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968"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2016.</w:t>
            </w:r>
          </w:p>
        </w:tc>
        <w:tc>
          <w:tcPr>
            <w:tcW w:w="1072"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2018.</w:t>
            </w:r>
          </w:p>
        </w:tc>
        <w:tc>
          <w:tcPr>
            <w:tcW w:w="943"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2019.</w:t>
            </w:r>
          </w:p>
        </w:tc>
        <w:tc>
          <w:tcPr>
            <w:tcW w:w="713" w:type="pct"/>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 xml:space="preserve">2020. </w:t>
            </w:r>
          </w:p>
        </w:tc>
      </w:tr>
      <w:tr w:rsidR="00192373" w:rsidRPr="0081082A" w:rsidTr="00D01626">
        <w:tc>
          <w:tcPr>
            <w:tcW w:w="1304"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968" w:type="pct"/>
            <w:gridSpan w:val="2"/>
            <w:shd w:val="clear" w:color="auto" w:fill="auto"/>
          </w:tcPr>
          <w:p w:rsidR="00192373" w:rsidRPr="0081082A" w:rsidRDefault="00192373" w:rsidP="00D01626">
            <w:pPr>
              <w:tabs>
                <w:tab w:val="right" w:pos="2140"/>
              </w:tabs>
              <w:spacing w:before="0"/>
              <w:jc w:val="center"/>
              <w:rPr>
                <w:rFonts w:eastAsia="Calibri"/>
                <w:bCs/>
                <w:lang w:val="sr-Cyrl-RS"/>
              </w:rPr>
            </w:pPr>
          </w:p>
        </w:tc>
        <w:tc>
          <w:tcPr>
            <w:tcW w:w="1072" w:type="pct"/>
            <w:gridSpan w:val="3"/>
            <w:shd w:val="clear" w:color="auto" w:fill="auto"/>
          </w:tcPr>
          <w:p w:rsidR="00192373" w:rsidRPr="0081082A" w:rsidRDefault="00192373" w:rsidP="00D01626">
            <w:pPr>
              <w:tabs>
                <w:tab w:val="right" w:pos="2140"/>
              </w:tabs>
              <w:spacing w:before="0"/>
              <w:jc w:val="center"/>
              <w:rPr>
                <w:rFonts w:eastAsia="Calibri"/>
                <w:bCs/>
                <w:lang w:val="sr-Cyrl-RS"/>
              </w:rPr>
            </w:pPr>
          </w:p>
        </w:tc>
        <w:tc>
          <w:tcPr>
            <w:tcW w:w="943" w:type="pct"/>
            <w:gridSpan w:val="3"/>
            <w:shd w:val="clear" w:color="auto" w:fill="auto"/>
          </w:tcPr>
          <w:p w:rsidR="00192373" w:rsidRPr="0081082A" w:rsidRDefault="00192373" w:rsidP="00D01626">
            <w:pPr>
              <w:tabs>
                <w:tab w:val="right" w:pos="2140"/>
              </w:tabs>
              <w:spacing w:before="0"/>
              <w:jc w:val="center"/>
              <w:rPr>
                <w:rFonts w:eastAsia="Calibri"/>
                <w:bCs/>
                <w:lang w:val="sr-Cyrl-RS"/>
              </w:rPr>
            </w:pPr>
          </w:p>
        </w:tc>
        <w:tc>
          <w:tcPr>
            <w:tcW w:w="713" w:type="pct"/>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Ц+</w:t>
            </w:r>
          </w:p>
        </w:tc>
      </w:tr>
      <w:tr w:rsidR="00192373" w:rsidRPr="0081082A" w:rsidTr="00D01626">
        <w:tc>
          <w:tcPr>
            <w:tcW w:w="1304" w:type="pct"/>
            <w:vMerge w:val="restart"/>
            <w:tcBorders>
              <w:left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Подаци о циљној вредност</w:t>
            </w:r>
          </w:p>
        </w:tc>
        <w:tc>
          <w:tcPr>
            <w:tcW w:w="760"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68"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5"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0"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3"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c>
          <w:tcPr>
            <w:tcW w:w="1304"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760" w:type="pct"/>
            <w:shd w:val="clear" w:color="auto" w:fill="auto"/>
            <w:vAlign w:val="center"/>
          </w:tcPr>
          <w:p w:rsidR="00192373" w:rsidRPr="0081082A" w:rsidRDefault="00192373" w:rsidP="00D01626">
            <w:pPr>
              <w:spacing w:line="256" w:lineRule="auto"/>
              <w:rPr>
                <w:lang w:val="sr-Cyrl-RS"/>
              </w:rPr>
            </w:pPr>
            <w:r w:rsidRPr="0081082A">
              <w:rPr>
                <w:lang w:val="sr-Cyrl-RS"/>
              </w:rPr>
              <w:t xml:space="preserve">          /</w:t>
            </w:r>
          </w:p>
        </w:tc>
        <w:tc>
          <w:tcPr>
            <w:tcW w:w="768" w:type="pct"/>
            <w:gridSpan w:val="2"/>
            <w:shd w:val="clear" w:color="auto" w:fill="auto"/>
            <w:vAlign w:val="center"/>
          </w:tcPr>
          <w:p w:rsidR="00192373" w:rsidRPr="0081082A" w:rsidRDefault="00192373" w:rsidP="00D01626">
            <w:pPr>
              <w:spacing w:line="256" w:lineRule="auto"/>
              <w:rPr>
                <w:lang w:val="sr-Cyrl-RS"/>
              </w:rPr>
            </w:pPr>
            <w:r w:rsidRPr="0081082A">
              <w:rPr>
                <w:lang w:val="sr-Cyrl-RS"/>
              </w:rPr>
              <w:t xml:space="preserve">          /</w:t>
            </w:r>
          </w:p>
        </w:tc>
        <w:tc>
          <w:tcPr>
            <w:tcW w:w="745" w:type="pct"/>
            <w:gridSpan w:val="3"/>
            <w:shd w:val="clear" w:color="auto" w:fill="auto"/>
            <w:vAlign w:val="center"/>
          </w:tcPr>
          <w:p w:rsidR="00192373" w:rsidRPr="0081082A" w:rsidRDefault="00192373" w:rsidP="00D01626">
            <w:pPr>
              <w:spacing w:before="0"/>
              <w:jc w:val="center"/>
              <w:rPr>
                <w:rFonts w:eastAsia="Calibri"/>
                <w:bCs/>
                <w:lang w:val="sr-Cyrl-RS"/>
              </w:rPr>
            </w:pPr>
            <w:r w:rsidRPr="0081082A">
              <w:rPr>
                <w:rFonts w:eastAsia="Calibri"/>
                <w:bCs/>
                <w:lang w:val="sr-Cyrl-RS"/>
              </w:rPr>
              <w:t>/</w:t>
            </w:r>
          </w:p>
        </w:tc>
        <w:tc>
          <w:tcPr>
            <w:tcW w:w="710" w:type="pct"/>
            <w:gridSpan w:val="2"/>
            <w:shd w:val="clear" w:color="auto" w:fill="auto"/>
            <w:vAlign w:val="center"/>
          </w:tcPr>
          <w:p w:rsidR="00192373" w:rsidRPr="0081082A" w:rsidRDefault="00192373" w:rsidP="00D01626">
            <w:pPr>
              <w:spacing w:before="0"/>
              <w:jc w:val="center"/>
              <w:rPr>
                <w:rFonts w:eastAsia="Calibri"/>
                <w:bCs/>
                <w:lang w:val="sr-Cyrl-RS"/>
              </w:rPr>
            </w:pPr>
            <w:r w:rsidRPr="0081082A">
              <w:rPr>
                <w:rFonts w:eastAsia="Calibri"/>
                <w:bCs/>
                <w:lang w:val="sr-Cyrl-RS"/>
              </w:rPr>
              <w:t>/</w:t>
            </w:r>
          </w:p>
        </w:tc>
        <w:tc>
          <w:tcPr>
            <w:tcW w:w="713" w:type="pct"/>
            <w:tcBorders>
              <w:right w:val="single" w:sz="4" w:space="0" w:color="auto"/>
            </w:tcBorders>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Б</w:t>
            </w:r>
          </w:p>
        </w:tc>
      </w:tr>
      <w:tr w:rsidR="00192373" w:rsidRPr="0081082A" w:rsidTr="00D01626">
        <w:tc>
          <w:tcPr>
            <w:tcW w:w="1304" w:type="pct"/>
            <w:tcBorders>
              <w:left w:val="single" w:sz="4" w:space="0" w:color="auto"/>
              <w:bottom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Процена успешности:</w:t>
            </w:r>
          </w:p>
        </w:tc>
        <w:tc>
          <w:tcPr>
            <w:tcW w:w="3696" w:type="pct"/>
            <w:gridSpan w:val="9"/>
            <w:tcBorders>
              <w:bottom w:val="single" w:sz="4" w:space="0" w:color="auto"/>
              <w:right w:val="single" w:sz="4" w:space="0" w:color="auto"/>
            </w:tcBorders>
            <w:shd w:val="clear" w:color="auto" w:fill="auto"/>
          </w:tcPr>
          <w:p w:rsidR="00192373" w:rsidRPr="0081082A" w:rsidRDefault="00192373" w:rsidP="00D01626">
            <w:pPr>
              <w:tabs>
                <w:tab w:val="right" w:pos="2140"/>
              </w:tabs>
              <w:spacing w:before="0"/>
              <w:rPr>
                <w:rFonts w:eastAsia="Calibri"/>
                <w:bCs/>
                <w:color w:val="000000" w:themeColor="text1"/>
                <w:lang w:val="sr-Cyrl-RS"/>
              </w:rPr>
            </w:pPr>
            <w:r w:rsidRPr="0081082A">
              <w:rPr>
                <w:rFonts w:eastAsia="Calibri"/>
                <w:bCs/>
                <w:color w:val="000000" w:themeColor="text1"/>
                <w:lang w:val="sr-Cyrl-RS"/>
              </w:rPr>
              <w:t xml:space="preserve">Оцена је базирана на ПЕФА анализи и одступање није прихватљиво. </w:t>
            </w:r>
          </w:p>
          <w:p w:rsidR="00192373" w:rsidRPr="0081082A" w:rsidRDefault="00192373" w:rsidP="00D01626">
            <w:pPr>
              <w:tabs>
                <w:tab w:val="right" w:pos="2140"/>
              </w:tabs>
              <w:spacing w:before="0"/>
              <w:rPr>
                <w:rFonts w:eastAsia="Calibri"/>
                <w:bCs/>
                <w:lang w:val="sr-Cyrl-RS"/>
              </w:rPr>
            </w:pPr>
          </w:p>
        </w:tc>
      </w:tr>
    </w:tbl>
    <w:p w:rsidR="00192373" w:rsidRPr="0081082A" w:rsidRDefault="00192373" w:rsidP="00192373">
      <w:pPr>
        <w:spacing w:after="120"/>
        <w:rPr>
          <w:b/>
          <w:bCs/>
          <w:color w:val="2F5496"/>
          <w:lang w:val="sr-Cyrl-RS"/>
        </w:rPr>
      </w:pPr>
    </w:p>
    <w:p w:rsidR="004A7992" w:rsidRPr="0081082A" w:rsidRDefault="004A7992" w:rsidP="00192373">
      <w:pPr>
        <w:spacing w:after="120"/>
        <w:rPr>
          <w:b/>
          <w:bCs/>
          <w:color w:val="2F5496"/>
          <w:lang w:val="sr-Cyrl-RS"/>
        </w:rPr>
      </w:pPr>
    </w:p>
    <w:p w:rsidR="004A7992" w:rsidRPr="0081082A" w:rsidRDefault="004A7992"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lastRenderedPageBreak/>
        <w:t>Показатељ</w:t>
      </w:r>
      <w:r w:rsidR="004A7992" w:rsidRPr="0081082A">
        <w:rPr>
          <w:b/>
          <w:bCs/>
          <w:color w:val="2F5496"/>
          <w:lang w:val="sr-Cyrl-RS"/>
        </w:rPr>
        <w:t>и</w:t>
      </w:r>
      <w:r w:rsidRPr="0081082A">
        <w:rPr>
          <w:b/>
          <w:bCs/>
          <w:color w:val="2F5496"/>
          <w:lang w:val="sr-Cyrl-RS"/>
        </w:rPr>
        <w:t xml:space="preserve"> на нивоу посебног циља 2</w:t>
      </w:r>
    </w:p>
    <w:tbl>
      <w:tblPr>
        <w:tblW w:w="5031"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239"/>
        <w:gridCol w:w="1559"/>
        <w:gridCol w:w="415"/>
        <w:gridCol w:w="1142"/>
        <w:gridCol w:w="476"/>
        <w:gridCol w:w="526"/>
        <w:gridCol w:w="435"/>
        <w:gridCol w:w="1211"/>
        <w:gridCol w:w="1296"/>
      </w:tblGrid>
      <w:tr w:rsidR="00192373" w:rsidRPr="0081082A" w:rsidTr="00D01626">
        <w:tc>
          <w:tcPr>
            <w:tcW w:w="1204" w:type="pct"/>
            <w:tcBorders>
              <w:top w:val="single" w:sz="4" w:space="0" w:color="auto"/>
              <w:lef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Назив индикатора</w:t>
            </w:r>
          </w:p>
        </w:tc>
        <w:tc>
          <w:tcPr>
            <w:tcW w:w="3796" w:type="pct"/>
            <w:gridSpan w:val="8"/>
            <w:tcBorders>
              <w:top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b/>
                <w:lang w:val="sr-Cyrl-RS"/>
              </w:rPr>
            </w:pPr>
            <w:r w:rsidRPr="0081082A">
              <w:rPr>
                <w:b/>
                <w:lang w:val="sr-Cyrl-RS"/>
              </w:rPr>
              <w:t>Стварни приходи и расходи буџета опште државе на годишњем нивоу су у опсегу 5% од пројектованих у фискалној стратегији</w:t>
            </w:r>
          </w:p>
        </w:tc>
      </w:tr>
      <w:tr w:rsidR="00192373" w:rsidRPr="0081082A" w:rsidTr="00D01626">
        <w:tc>
          <w:tcPr>
            <w:tcW w:w="1204" w:type="pct"/>
            <w:tcBorders>
              <w:top w:val="single" w:sz="4"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Одговарајући општи циљ, посебан циљ или мера</w:t>
            </w:r>
          </w:p>
        </w:tc>
        <w:tc>
          <w:tcPr>
            <w:tcW w:w="3796" w:type="pct"/>
            <w:gridSpan w:val="8"/>
            <w:tcBorders>
              <w:top w:val="single" w:sz="4" w:space="0" w:color="auto"/>
              <w:right w:val="single" w:sz="4" w:space="0" w:color="auto"/>
            </w:tcBorders>
            <w:shd w:val="clear" w:color="auto" w:fill="auto"/>
          </w:tcPr>
          <w:p w:rsidR="00192373" w:rsidRPr="0081082A" w:rsidRDefault="00192373" w:rsidP="00D01626">
            <w:pPr>
              <w:tabs>
                <w:tab w:val="right" w:pos="2140"/>
              </w:tabs>
              <w:spacing w:before="0"/>
              <w:rPr>
                <w:rFonts w:eastAsia="Calibri"/>
                <w:lang w:val="sr-Cyrl-RS"/>
              </w:rPr>
            </w:pPr>
            <w:r w:rsidRPr="0081082A">
              <w:rPr>
                <w:rFonts w:eastAsia="Calibri"/>
                <w:b/>
                <w:bCs/>
                <w:lang w:val="sr-Cyrl-RS"/>
              </w:rPr>
              <w:t>Посебан циљ 2:</w:t>
            </w:r>
            <w:r w:rsidRPr="0081082A">
              <w:rPr>
                <w:rFonts w:eastAsia="Calibri"/>
                <w:bCs/>
                <w:lang w:val="sr-Cyrl-RS"/>
              </w:rPr>
              <w:t xml:space="preserve"> </w:t>
            </w:r>
            <w:r w:rsidRPr="0081082A">
              <w:rPr>
                <w:lang w:val="sr-Cyrl-RS"/>
              </w:rPr>
              <w:t>Ефикасно прикупљање и управљање буџетским средствима</w:t>
            </w:r>
          </w:p>
        </w:tc>
      </w:tr>
      <w:tr w:rsidR="00192373" w:rsidRPr="0081082A" w:rsidTr="00D01626">
        <w:tc>
          <w:tcPr>
            <w:tcW w:w="1204"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Тип показатеља </w:t>
            </w:r>
          </w:p>
        </w:tc>
        <w:tc>
          <w:tcPr>
            <w:tcW w:w="1931" w:type="pct"/>
            <w:gridSpan w:val="4"/>
            <w:tcBorders>
              <w:right w:val="single" w:sz="4" w:space="0" w:color="auto"/>
            </w:tcBorders>
            <w:shd w:val="clear" w:color="auto" w:fill="auto"/>
          </w:tcPr>
          <w:p w:rsidR="00192373" w:rsidRPr="0081082A" w:rsidRDefault="00192373" w:rsidP="00D01626">
            <w:pPr>
              <w:ind w:hanging="29"/>
              <w:rPr>
                <w:lang w:val="sr-Cyrl-RS"/>
              </w:rPr>
            </w:pPr>
            <w:r w:rsidRPr="0081082A">
              <w:rPr>
                <w:lang w:val="sr-Cyrl-RS"/>
              </w:rPr>
              <w:t>Квалитативни</w:t>
            </w:r>
          </w:p>
          <w:p w:rsidR="00192373" w:rsidRPr="0081082A" w:rsidRDefault="00192373" w:rsidP="00D01626">
            <w:pPr>
              <w:rPr>
                <w:lang w:val="sr-Cyrl-RS"/>
              </w:rPr>
            </w:pPr>
          </w:p>
        </w:tc>
        <w:tc>
          <w:tcPr>
            <w:tcW w:w="1864" w:type="pct"/>
            <w:gridSpan w:val="4"/>
            <w:tcBorders>
              <w:right w:val="single" w:sz="4" w:space="0" w:color="auto"/>
            </w:tcBorders>
            <w:shd w:val="clear" w:color="auto" w:fill="auto"/>
          </w:tcPr>
          <w:p w:rsidR="00192373" w:rsidRPr="0081082A" w:rsidRDefault="00192373" w:rsidP="00D01626">
            <w:pPr>
              <w:rPr>
                <w:sz w:val="22"/>
                <w:szCs w:val="22"/>
                <w:lang w:val="sr-Cyrl-RS"/>
              </w:rPr>
            </w:pPr>
            <w:r w:rsidRPr="0081082A">
              <w:rPr>
                <w:lang w:val="sr-Cyrl-RS"/>
              </w:rPr>
              <w:t>Ниво посебног циља ПРУЈФ</w:t>
            </w:r>
          </w:p>
        </w:tc>
      </w:tr>
      <w:tr w:rsidR="00192373" w:rsidRPr="0081082A" w:rsidTr="00D01626">
        <w:tc>
          <w:tcPr>
            <w:tcW w:w="1204" w:type="pct"/>
            <w:tcBorders>
              <w:top w:val="single" w:sz="6"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Јединица мере и природа</w:t>
            </w:r>
          </w:p>
        </w:tc>
        <w:tc>
          <w:tcPr>
            <w:tcW w:w="1931" w:type="pct"/>
            <w:gridSpan w:val="4"/>
            <w:tcBorders>
              <w:top w:val="single" w:sz="6" w:space="0" w:color="auto"/>
              <w:right w:val="single" w:sz="4" w:space="0" w:color="auto"/>
            </w:tcBorders>
            <w:shd w:val="clear" w:color="auto" w:fill="auto"/>
          </w:tcPr>
          <w:p w:rsidR="00192373" w:rsidRPr="0081082A" w:rsidRDefault="00192373" w:rsidP="00D01626">
            <w:pPr>
              <w:ind w:hanging="29"/>
              <w:rPr>
                <w:lang w:val="sr-Cyrl-RS"/>
              </w:rPr>
            </w:pPr>
            <w:r w:rsidRPr="0081082A">
              <w:rPr>
                <w:lang w:val="sr-Cyrl-RS"/>
              </w:rPr>
              <w:t>Проценат</w:t>
            </w:r>
          </w:p>
          <w:p w:rsidR="00192373" w:rsidRPr="0081082A" w:rsidRDefault="00192373" w:rsidP="00D01626">
            <w:pPr>
              <w:ind w:hanging="29"/>
              <w:rPr>
                <w:lang w:val="sr-Cyrl-RS"/>
              </w:rPr>
            </w:pPr>
          </w:p>
        </w:tc>
        <w:tc>
          <w:tcPr>
            <w:tcW w:w="1864" w:type="pct"/>
            <w:gridSpan w:val="4"/>
            <w:tcBorders>
              <w:top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Побољшано планирање и управљање буџетским средствима</w:t>
            </w:r>
          </w:p>
          <w:p w:rsidR="00192373" w:rsidRPr="0081082A" w:rsidRDefault="00192373" w:rsidP="00D01626">
            <w:pPr>
              <w:rPr>
                <w:lang w:val="sr-Cyrl-RS"/>
              </w:rPr>
            </w:pPr>
          </w:p>
        </w:tc>
      </w:tr>
      <w:tr w:rsidR="00192373" w:rsidRPr="0081082A" w:rsidTr="00D01626">
        <w:tc>
          <w:tcPr>
            <w:tcW w:w="1204"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Извор података</w:t>
            </w:r>
          </w:p>
        </w:tc>
        <w:tc>
          <w:tcPr>
            <w:tcW w:w="3796" w:type="pct"/>
            <w:gridSpan w:val="8"/>
            <w:tcBorders>
              <w:bottom w:val="single" w:sz="4" w:space="0" w:color="auto"/>
              <w:right w:val="single" w:sz="4" w:space="0" w:color="auto"/>
            </w:tcBorders>
            <w:shd w:val="clear" w:color="auto" w:fill="auto"/>
          </w:tcPr>
          <w:p w:rsidR="00192373" w:rsidRPr="0081082A" w:rsidRDefault="00192373" w:rsidP="00D01626">
            <w:pPr>
              <w:ind w:hanging="29"/>
              <w:rPr>
                <w:lang w:val="sr-Cyrl-RS"/>
              </w:rPr>
            </w:pPr>
            <w:r w:rsidRPr="0081082A">
              <w:rPr>
                <w:lang w:val="sr-Cyrl-RS"/>
              </w:rPr>
              <w:t>Фискална стратегија и макроекономски и фискални подаци (сајт Министарства финансија)</w:t>
            </w:r>
          </w:p>
        </w:tc>
      </w:tr>
      <w:tr w:rsidR="00192373" w:rsidRPr="0081082A" w:rsidTr="00D01626">
        <w:tc>
          <w:tcPr>
            <w:tcW w:w="1204"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Назив носиоца прикупљања података</w:t>
            </w:r>
          </w:p>
        </w:tc>
        <w:tc>
          <w:tcPr>
            <w:tcW w:w="3796" w:type="pct"/>
            <w:gridSpan w:val="8"/>
            <w:tcBorders>
              <w:bottom w:val="single" w:sz="4" w:space="0" w:color="auto"/>
              <w:right w:val="single" w:sz="4" w:space="0" w:color="auto"/>
            </w:tcBorders>
            <w:shd w:val="clear" w:color="auto" w:fill="auto"/>
          </w:tcPr>
          <w:p w:rsidR="00192373" w:rsidRPr="0081082A" w:rsidRDefault="00192373" w:rsidP="00D01626">
            <w:pPr>
              <w:ind w:hanging="29"/>
              <w:rPr>
                <w:lang w:val="sr-Cyrl-RS"/>
              </w:rPr>
            </w:pPr>
            <w:r w:rsidRPr="0081082A">
              <w:rPr>
                <w:lang w:val="sr-Cyrl-RS"/>
              </w:rPr>
              <w:t>Сектор за макроекономске и фискалне анализе и пројекције и Сектор за међународну сарадњу и европске интеграције Министарства финансија</w:t>
            </w:r>
          </w:p>
          <w:p w:rsidR="00192373" w:rsidRPr="0081082A" w:rsidRDefault="00192373" w:rsidP="00D01626">
            <w:pPr>
              <w:ind w:hanging="29"/>
              <w:rPr>
                <w:lang w:val="sr-Cyrl-RS"/>
              </w:rPr>
            </w:pPr>
          </w:p>
        </w:tc>
      </w:tr>
      <w:tr w:rsidR="00192373" w:rsidRPr="0081082A" w:rsidTr="00D01626">
        <w:tc>
          <w:tcPr>
            <w:tcW w:w="1204" w:type="pct"/>
            <w:tcBorders>
              <w:top w:val="single" w:sz="4"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Учесталост</w:t>
            </w:r>
          </w:p>
        </w:tc>
        <w:tc>
          <w:tcPr>
            <w:tcW w:w="3796" w:type="pct"/>
            <w:gridSpan w:val="8"/>
            <w:tcBorders>
              <w:top w:val="single" w:sz="4" w:space="0" w:color="auto"/>
              <w:right w:val="single" w:sz="4" w:space="0" w:color="auto"/>
            </w:tcBorders>
            <w:shd w:val="clear" w:color="auto" w:fill="auto"/>
          </w:tcPr>
          <w:p w:rsidR="00192373" w:rsidRPr="0081082A" w:rsidRDefault="00192373" w:rsidP="00D01626">
            <w:pPr>
              <w:ind w:hanging="29"/>
              <w:rPr>
                <w:lang w:val="sr-Cyrl-RS"/>
              </w:rPr>
            </w:pPr>
            <w:r w:rsidRPr="0081082A">
              <w:rPr>
                <w:lang w:val="sr-Cyrl-RS"/>
              </w:rPr>
              <w:t>Једном годишње</w:t>
            </w:r>
          </w:p>
        </w:tc>
      </w:tr>
      <w:tr w:rsidR="00192373" w:rsidRPr="0081082A" w:rsidTr="00D01626">
        <w:trPr>
          <w:trHeight w:val="1181"/>
        </w:trPr>
        <w:tc>
          <w:tcPr>
            <w:tcW w:w="1204" w:type="pct"/>
            <w:tcBorders>
              <w:left w:val="single" w:sz="4" w:space="0" w:color="auto"/>
              <w:bottom w:val="single" w:sz="6"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Кратак опис показатеља и методологије израчунавања</w:t>
            </w:r>
          </w:p>
          <w:p w:rsidR="00192373" w:rsidRPr="0081082A" w:rsidRDefault="00192373" w:rsidP="00D01626">
            <w:pPr>
              <w:tabs>
                <w:tab w:val="right" w:pos="2140"/>
              </w:tabs>
              <w:spacing w:before="0"/>
              <w:rPr>
                <w:rFonts w:eastAsia="Calibri"/>
                <w:b/>
                <w:lang w:val="sr-Cyrl-RS"/>
              </w:rPr>
            </w:pPr>
            <w:r w:rsidRPr="0081082A">
              <w:rPr>
                <w:rFonts w:eastAsia="Calibri"/>
                <w:b/>
                <w:bCs/>
                <w:lang w:val="sr-Cyrl-RS"/>
              </w:rPr>
              <w:t>(формуле/једначине)</w:t>
            </w:r>
          </w:p>
        </w:tc>
        <w:tc>
          <w:tcPr>
            <w:tcW w:w="3796" w:type="pct"/>
            <w:gridSpan w:val="8"/>
            <w:tcBorders>
              <w:right w:val="single" w:sz="4" w:space="0" w:color="auto"/>
            </w:tcBorders>
            <w:shd w:val="clear" w:color="auto" w:fill="auto"/>
          </w:tcPr>
          <w:p w:rsidR="00192373" w:rsidRPr="0081082A" w:rsidRDefault="00192373" w:rsidP="00D01626">
            <w:pPr>
              <w:ind w:hanging="29"/>
              <w:rPr>
                <w:lang w:val="sr-Cyrl-RS"/>
              </w:rPr>
            </w:pPr>
            <w:r w:rsidRPr="0081082A">
              <w:rPr>
                <w:lang w:val="sr-Cyrl-RS"/>
              </w:rPr>
              <w:t xml:space="preserve">Показатељ </w:t>
            </w:r>
            <w:r w:rsidR="00090F6B" w:rsidRPr="0081082A">
              <w:rPr>
                <w:lang w:val="sr-Cyrl-RS"/>
              </w:rPr>
              <w:t>прати фискалне</w:t>
            </w:r>
            <w:r w:rsidRPr="0081082A">
              <w:rPr>
                <w:lang w:val="sr-Cyrl-RS"/>
              </w:rPr>
              <w:t xml:space="preserve"> пројекције стварних прихода и расхода приказаних у Фискалној стратегији чиме се мери и унапређује планирање јавних прихода и расхода, као и кредибилитет фискалних пројекција. Због разлике између резултата стварног прихода и расхода и пројектованих појединачних цифара у Фискалној стратегији, предвиђено је да ће стварни приходи и расходи од 2021. године до 2025. године години бити у оквиру од 5% марже фискалних пројекција за приходе и расходе у Фискалној стратегији која се усваја на годишњем нивоу. </w:t>
            </w:r>
          </w:p>
          <w:p w:rsidR="00192373" w:rsidRPr="0081082A" w:rsidRDefault="00192373" w:rsidP="00D01626">
            <w:pPr>
              <w:rPr>
                <w:lang w:val="sr-Cyrl-RS"/>
              </w:rPr>
            </w:pPr>
          </w:p>
        </w:tc>
      </w:tr>
      <w:tr w:rsidR="00192373" w:rsidRPr="0081082A" w:rsidTr="00D01626">
        <w:tc>
          <w:tcPr>
            <w:tcW w:w="1204" w:type="pct"/>
            <w:vMerge w:val="restart"/>
            <w:tcBorders>
              <w:top w:val="single" w:sz="6" w:space="0" w:color="auto"/>
              <w:left w:val="single" w:sz="4"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Подаци о полазној вредности и години кад је измерена, као и о ранијем тренду</w:t>
            </w:r>
          </w:p>
        </w:tc>
        <w:tc>
          <w:tcPr>
            <w:tcW w:w="2214" w:type="pct"/>
            <w:gridSpan w:val="5"/>
            <w:tcBorders>
              <w:top w:val="single" w:sz="6" w:space="0" w:color="auto"/>
            </w:tcBorders>
            <w:shd w:val="clear" w:color="auto" w:fill="auto"/>
            <w:vAlign w:val="center"/>
          </w:tcPr>
          <w:p w:rsidR="00192373" w:rsidRPr="0081082A" w:rsidRDefault="00192373" w:rsidP="00D01626">
            <w:pPr>
              <w:tabs>
                <w:tab w:val="right" w:pos="2140"/>
              </w:tabs>
              <w:spacing w:before="0"/>
              <w:rPr>
                <w:rFonts w:eastAsia="Calibri"/>
                <w:bCs/>
                <w:lang w:val="sr-Cyrl-RS"/>
              </w:rPr>
            </w:pPr>
            <w:r w:rsidRPr="0081082A">
              <w:rPr>
                <w:rFonts w:eastAsia="Calibri"/>
                <w:lang w:val="sr-Cyrl-RS"/>
              </w:rPr>
              <w:t>Ранији тренд</w:t>
            </w:r>
          </w:p>
        </w:tc>
        <w:tc>
          <w:tcPr>
            <w:tcW w:w="1582" w:type="pct"/>
            <w:gridSpan w:val="3"/>
            <w:tcBorders>
              <w:top w:val="single" w:sz="6" w:space="0" w:color="auto"/>
              <w:right w:val="single" w:sz="4" w:space="0" w:color="auto"/>
            </w:tcBorders>
            <w:shd w:val="clear" w:color="auto" w:fill="auto"/>
            <w:vAlign w:val="center"/>
          </w:tcPr>
          <w:p w:rsidR="00192373" w:rsidRPr="0081082A" w:rsidRDefault="00192373" w:rsidP="00D01626">
            <w:pPr>
              <w:tabs>
                <w:tab w:val="right" w:pos="2140"/>
              </w:tabs>
              <w:spacing w:before="0"/>
              <w:jc w:val="center"/>
              <w:rPr>
                <w:rFonts w:eastAsia="Calibri"/>
                <w:bCs/>
                <w:lang w:val="sr-Cyrl-RS"/>
              </w:rPr>
            </w:pPr>
            <w:r w:rsidRPr="0081082A">
              <w:rPr>
                <w:rFonts w:eastAsia="Calibri"/>
                <w:lang w:val="sr-Cyrl-RS"/>
              </w:rPr>
              <w:t>Полазна вредност</w:t>
            </w:r>
          </w:p>
        </w:tc>
      </w:tr>
      <w:tr w:rsidR="00192373" w:rsidRPr="0081082A" w:rsidTr="00D01626">
        <w:tc>
          <w:tcPr>
            <w:tcW w:w="1204"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61"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2016.</w:t>
            </w:r>
          </w:p>
        </w:tc>
        <w:tc>
          <w:tcPr>
            <w:tcW w:w="1153"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2017.</w:t>
            </w:r>
          </w:p>
        </w:tc>
        <w:tc>
          <w:tcPr>
            <w:tcW w:w="884"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2018.</w:t>
            </w:r>
          </w:p>
        </w:tc>
        <w:tc>
          <w:tcPr>
            <w:tcW w:w="698" w:type="pct"/>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 xml:space="preserve">2019. </w:t>
            </w:r>
          </w:p>
        </w:tc>
      </w:tr>
      <w:tr w:rsidR="00192373" w:rsidRPr="0081082A" w:rsidTr="00D01626">
        <w:trPr>
          <w:trHeight w:val="728"/>
        </w:trPr>
        <w:tc>
          <w:tcPr>
            <w:tcW w:w="1204"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61" w:type="pct"/>
            <w:gridSpan w:val="2"/>
            <w:shd w:val="clear" w:color="auto" w:fill="auto"/>
          </w:tcPr>
          <w:p w:rsidR="00192373" w:rsidRPr="0081082A" w:rsidRDefault="00192373" w:rsidP="00D01626">
            <w:pPr>
              <w:tabs>
                <w:tab w:val="right" w:pos="2140"/>
              </w:tabs>
              <w:spacing w:before="0"/>
              <w:jc w:val="center"/>
              <w:rPr>
                <w:rFonts w:eastAsia="Calibri"/>
                <w:bCs/>
                <w:lang w:val="sr-Cyrl-RS"/>
              </w:rPr>
            </w:pPr>
          </w:p>
        </w:tc>
        <w:tc>
          <w:tcPr>
            <w:tcW w:w="1153" w:type="pct"/>
            <w:gridSpan w:val="3"/>
            <w:shd w:val="clear" w:color="auto" w:fill="auto"/>
          </w:tcPr>
          <w:p w:rsidR="00192373" w:rsidRPr="0081082A" w:rsidRDefault="00192373" w:rsidP="00D01626">
            <w:pPr>
              <w:tabs>
                <w:tab w:val="right" w:pos="2140"/>
              </w:tabs>
              <w:spacing w:before="0"/>
              <w:jc w:val="center"/>
              <w:rPr>
                <w:rFonts w:eastAsia="Calibri"/>
                <w:bCs/>
                <w:lang w:val="sr-Cyrl-RS"/>
              </w:rPr>
            </w:pPr>
          </w:p>
        </w:tc>
        <w:tc>
          <w:tcPr>
            <w:tcW w:w="884" w:type="pct"/>
            <w:gridSpan w:val="2"/>
            <w:shd w:val="clear" w:color="auto" w:fill="auto"/>
          </w:tcPr>
          <w:p w:rsidR="00192373" w:rsidRPr="0081082A" w:rsidRDefault="00192373" w:rsidP="00D01626">
            <w:pPr>
              <w:tabs>
                <w:tab w:val="right" w:pos="2140"/>
              </w:tabs>
              <w:spacing w:before="0"/>
              <w:jc w:val="center"/>
              <w:rPr>
                <w:rFonts w:eastAsia="Calibri"/>
                <w:bCs/>
                <w:lang w:val="sr-Cyrl-RS"/>
              </w:rPr>
            </w:pPr>
          </w:p>
        </w:tc>
        <w:tc>
          <w:tcPr>
            <w:tcW w:w="698" w:type="pct"/>
            <w:tcBorders>
              <w:right w:val="single" w:sz="4" w:space="0" w:color="auto"/>
            </w:tcBorders>
            <w:shd w:val="clear" w:color="auto" w:fill="auto"/>
          </w:tcPr>
          <w:p w:rsidR="00192373" w:rsidRPr="0081082A" w:rsidRDefault="00192373" w:rsidP="00D01626">
            <w:pPr>
              <w:tabs>
                <w:tab w:val="right" w:pos="2140"/>
              </w:tabs>
              <w:spacing w:before="0"/>
              <w:jc w:val="center"/>
              <w:rPr>
                <w:lang w:val="sr-Cyrl-RS"/>
              </w:rPr>
            </w:pPr>
            <w:r w:rsidRPr="0081082A">
              <w:rPr>
                <w:lang w:val="sr-Cyrl-RS"/>
              </w:rPr>
              <w:t>У опсегу од 5%</w:t>
            </w:r>
          </w:p>
          <w:p w:rsidR="00192373" w:rsidRPr="0081082A" w:rsidRDefault="00192373" w:rsidP="00D01626">
            <w:pPr>
              <w:tabs>
                <w:tab w:val="right" w:pos="2140"/>
              </w:tabs>
              <w:spacing w:before="0"/>
              <w:jc w:val="center"/>
              <w:rPr>
                <w:rFonts w:eastAsia="Calibri"/>
                <w:bCs/>
                <w:lang w:val="sr-Cyrl-RS"/>
              </w:rPr>
            </w:pPr>
          </w:p>
        </w:tc>
      </w:tr>
      <w:tr w:rsidR="00192373" w:rsidRPr="0081082A" w:rsidTr="00D01626">
        <w:trPr>
          <w:trHeight w:val="548"/>
        </w:trPr>
        <w:tc>
          <w:tcPr>
            <w:tcW w:w="1204" w:type="pct"/>
            <w:vMerge w:val="restart"/>
            <w:tcBorders>
              <w:left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 xml:space="preserve">Подаци о циљној </w:t>
            </w:r>
            <w:r w:rsidRPr="0081082A">
              <w:rPr>
                <w:rFonts w:eastAsia="Calibri"/>
                <w:b/>
                <w:lang w:val="sr-Cyrl-RS"/>
              </w:rPr>
              <w:lastRenderedPageBreak/>
              <w:t>вредност</w:t>
            </w:r>
          </w:p>
        </w:tc>
        <w:tc>
          <w:tcPr>
            <w:tcW w:w="838"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lastRenderedPageBreak/>
              <w:t>2021.</w:t>
            </w:r>
          </w:p>
        </w:tc>
        <w:tc>
          <w:tcPr>
            <w:tcW w:w="837"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73"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651"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698"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c>
          <w:tcPr>
            <w:tcW w:w="1204"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838" w:type="pct"/>
            <w:shd w:val="clear" w:color="auto" w:fill="auto"/>
            <w:vAlign w:val="center"/>
          </w:tcPr>
          <w:p w:rsidR="00192373" w:rsidRPr="0081082A" w:rsidRDefault="00192373" w:rsidP="00D01626">
            <w:pPr>
              <w:shd w:val="clear" w:color="auto" w:fill="FFFFFF"/>
              <w:rPr>
                <w:lang w:val="sr-Cyrl-RS"/>
              </w:rPr>
            </w:pPr>
            <w:r w:rsidRPr="0081082A">
              <w:rPr>
                <w:lang w:val="sr-Cyrl-RS"/>
              </w:rPr>
              <w:t>У опсегу од 5%</w:t>
            </w:r>
          </w:p>
        </w:tc>
        <w:tc>
          <w:tcPr>
            <w:tcW w:w="837" w:type="pct"/>
            <w:gridSpan w:val="2"/>
            <w:shd w:val="clear" w:color="auto" w:fill="auto"/>
            <w:vAlign w:val="center"/>
          </w:tcPr>
          <w:p w:rsidR="00192373" w:rsidRPr="0081082A" w:rsidRDefault="00192373" w:rsidP="00D01626">
            <w:pPr>
              <w:shd w:val="clear" w:color="auto" w:fill="FFFFFF"/>
              <w:rPr>
                <w:lang w:val="sr-Cyrl-RS"/>
              </w:rPr>
            </w:pPr>
            <w:r w:rsidRPr="0081082A">
              <w:rPr>
                <w:lang w:val="sr-Cyrl-RS"/>
              </w:rPr>
              <w:t>У опсегу од 5%</w:t>
            </w:r>
          </w:p>
        </w:tc>
        <w:tc>
          <w:tcPr>
            <w:tcW w:w="773" w:type="pct"/>
            <w:gridSpan w:val="3"/>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У опсегу од 5%</w:t>
            </w:r>
          </w:p>
        </w:tc>
        <w:tc>
          <w:tcPr>
            <w:tcW w:w="651" w:type="pct"/>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У опсегу од 5%</w:t>
            </w:r>
          </w:p>
        </w:tc>
        <w:tc>
          <w:tcPr>
            <w:tcW w:w="698" w:type="pct"/>
            <w:tcBorders>
              <w:right w:val="single" w:sz="4" w:space="0" w:color="auto"/>
            </w:tcBorders>
            <w:shd w:val="clear" w:color="auto" w:fill="auto"/>
            <w:vAlign w:val="center"/>
          </w:tcPr>
          <w:p w:rsidR="00192373" w:rsidRPr="0081082A" w:rsidRDefault="00192373" w:rsidP="00D01626">
            <w:pPr>
              <w:shd w:val="clear" w:color="auto" w:fill="FFFFFF"/>
              <w:rPr>
                <w:lang w:val="sr-Cyrl-RS"/>
              </w:rPr>
            </w:pPr>
            <w:r w:rsidRPr="0081082A">
              <w:rPr>
                <w:lang w:val="sr-Cyrl-RS"/>
              </w:rPr>
              <w:t>У опсегу од 5%</w:t>
            </w:r>
          </w:p>
          <w:p w:rsidR="00192373" w:rsidRPr="0081082A" w:rsidRDefault="00192373" w:rsidP="00D01626">
            <w:pPr>
              <w:spacing w:before="0"/>
              <w:jc w:val="center"/>
              <w:rPr>
                <w:rFonts w:eastAsia="Calibri"/>
                <w:bCs/>
                <w:lang w:val="sr-Cyrl-RS"/>
              </w:rPr>
            </w:pPr>
          </w:p>
        </w:tc>
      </w:tr>
      <w:tr w:rsidR="00192373" w:rsidRPr="0081082A" w:rsidTr="00D01626">
        <w:tc>
          <w:tcPr>
            <w:tcW w:w="1204" w:type="pct"/>
            <w:tcBorders>
              <w:left w:val="single" w:sz="4" w:space="0" w:color="auto"/>
              <w:bottom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lastRenderedPageBreak/>
              <w:t>Процена успешности:</w:t>
            </w:r>
          </w:p>
        </w:tc>
        <w:tc>
          <w:tcPr>
            <w:tcW w:w="3796" w:type="pct"/>
            <w:gridSpan w:val="8"/>
            <w:tcBorders>
              <w:bottom w:val="single" w:sz="4" w:space="0" w:color="auto"/>
              <w:right w:val="single" w:sz="4" w:space="0" w:color="auto"/>
            </w:tcBorders>
            <w:shd w:val="clear" w:color="auto" w:fill="auto"/>
          </w:tcPr>
          <w:p w:rsidR="00192373" w:rsidRPr="0081082A" w:rsidRDefault="00192373" w:rsidP="00D01626">
            <w:pPr>
              <w:tabs>
                <w:tab w:val="right" w:pos="2140"/>
              </w:tabs>
              <w:spacing w:before="0"/>
              <w:rPr>
                <w:rFonts w:eastAsia="Calibri"/>
                <w:bCs/>
                <w:lang w:val="sr-Cyrl-RS"/>
              </w:rPr>
            </w:pPr>
            <w:r w:rsidRPr="0081082A">
              <w:rPr>
                <w:rFonts w:eastAsia="Calibri"/>
                <w:bCs/>
                <w:lang w:val="sr-Cyrl-RS"/>
              </w:rPr>
              <w:t>Кредибилитет фискалних пројекција</w:t>
            </w:r>
          </w:p>
        </w:tc>
      </w:tr>
    </w:tbl>
    <w:p w:rsidR="00192373" w:rsidRPr="0081082A" w:rsidRDefault="00192373" w:rsidP="00192373">
      <w:pPr>
        <w:spacing w:before="0" w:after="160" w:line="259" w:lineRule="auto"/>
        <w:rPr>
          <w:rFonts w:ascii="Calibri" w:eastAsia="Calibri" w:hAnsi="Calibri"/>
          <w:sz w:val="22"/>
          <w:szCs w:val="22"/>
          <w:lang w:val="sr-Cyrl-RS"/>
        </w:rPr>
      </w:pPr>
    </w:p>
    <w:tbl>
      <w:tblPr>
        <w:tblW w:w="5031"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270"/>
        <w:gridCol w:w="50"/>
        <w:gridCol w:w="1629"/>
        <w:gridCol w:w="424"/>
        <w:gridCol w:w="904"/>
        <w:gridCol w:w="465"/>
        <w:gridCol w:w="197"/>
        <w:gridCol w:w="658"/>
        <w:gridCol w:w="1034"/>
        <w:gridCol w:w="292"/>
        <w:gridCol w:w="1376"/>
      </w:tblGrid>
      <w:tr w:rsidR="00192373" w:rsidRPr="0081082A" w:rsidTr="0077574C">
        <w:tc>
          <w:tcPr>
            <w:tcW w:w="1220" w:type="pct"/>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Назив показатеља</w:t>
            </w:r>
          </w:p>
        </w:tc>
        <w:tc>
          <w:tcPr>
            <w:tcW w:w="3780" w:type="pct"/>
            <w:gridSpan w:val="10"/>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b/>
                <w:lang w:val="sr-Cyrl-RS"/>
              </w:rPr>
            </w:pPr>
            <w:r w:rsidRPr="0081082A">
              <w:rPr>
                <w:b/>
                <w:lang w:val="sr-Cyrl-RS"/>
              </w:rPr>
              <w:t>Годишњи трошкови сервисирања јавног дуга (плаћања камата – нето износ) као % БДП</w:t>
            </w:r>
          </w:p>
        </w:tc>
      </w:tr>
      <w:tr w:rsidR="00192373" w:rsidRPr="0081082A" w:rsidTr="0077574C">
        <w:tc>
          <w:tcPr>
            <w:tcW w:w="1220" w:type="pct"/>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Одговарајући општи циљ, посебан циљ или мера</w:t>
            </w:r>
          </w:p>
        </w:tc>
        <w:tc>
          <w:tcPr>
            <w:tcW w:w="3780" w:type="pct"/>
            <w:gridSpan w:val="10"/>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77574C" w:rsidP="00D01626">
            <w:pPr>
              <w:tabs>
                <w:tab w:val="right" w:pos="2140"/>
              </w:tabs>
              <w:spacing w:before="0"/>
              <w:rPr>
                <w:b/>
                <w:lang w:val="sr-Cyrl-RS"/>
              </w:rPr>
            </w:pPr>
            <w:r w:rsidRPr="0081082A">
              <w:rPr>
                <w:rFonts w:eastAsia="Calibri"/>
                <w:b/>
                <w:bCs/>
                <w:lang w:val="sr-Cyrl-RS"/>
              </w:rPr>
              <w:t>Посебан циљ 2:</w:t>
            </w:r>
            <w:r w:rsidRPr="0081082A">
              <w:rPr>
                <w:rFonts w:eastAsia="Calibri"/>
                <w:bCs/>
                <w:lang w:val="sr-Cyrl-RS"/>
              </w:rPr>
              <w:t xml:space="preserve"> </w:t>
            </w:r>
            <w:r w:rsidRPr="0081082A">
              <w:rPr>
                <w:lang w:val="sr-Cyrl-RS"/>
              </w:rPr>
              <w:t>Ефикасно прикупљање и управљање буџетским средствима</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jc w:val="center"/>
        </w:trPr>
        <w:tc>
          <w:tcPr>
            <w:tcW w:w="1247" w:type="pct"/>
            <w:gridSpan w:val="2"/>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40"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912"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trHeight w:val="373"/>
          <w:jc w:val="center"/>
        </w:trPr>
        <w:tc>
          <w:tcPr>
            <w:tcW w:w="1247" w:type="pct"/>
            <w:gridSpan w:val="2"/>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40"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912"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управљања јавним дугом, пожељна је мања вредност</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jc w:val="center"/>
        </w:trPr>
        <w:tc>
          <w:tcPr>
            <w:tcW w:w="1247" w:type="pct"/>
            <w:gridSpan w:val="2"/>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53"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 xml:space="preserve">Годишњи извештај о раду Управе за јавни дуг </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jc w:val="center"/>
        </w:trPr>
        <w:tc>
          <w:tcPr>
            <w:tcW w:w="1247" w:type="pct"/>
            <w:gridSpan w:val="2"/>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5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Управа за јавни дуг</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jc w:val="center"/>
        </w:trPr>
        <w:tc>
          <w:tcPr>
            <w:tcW w:w="1247" w:type="pct"/>
            <w:gridSpan w:val="2"/>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5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trHeight w:val="274"/>
          <w:jc w:val="center"/>
        </w:trPr>
        <w:tc>
          <w:tcPr>
            <w:tcW w:w="1247" w:type="pct"/>
            <w:gridSpan w:val="2"/>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53"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проценат годишњих трошкова сервисирања јавног дуга кроз плаћање камата, као проценат БДП-а. Узимајући у обзир ефекте пандемије </w:t>
            </w:r>
            <w:r w:rsidR="009A0BC7" w:rsidRPr="0081082A">
              <w:rPr>
                <w:rFonts w:eastAsia="Calibri"/>
                <w:lang w:val="sr-Cyrl-RS"/>
              </w:rPr>
              <w:t xml:space="preserve">болести </w:t>
            </w:r>
            <w:r w:rsidR="007D4736" w:rsidRPr="007D4736">
              <w:rPr>
                <w:rFonts w:eastAsia="Calibri" w:cs="Times New Roman"/>
                <w:lang w:val="sr-Cyrl-RS"/>
              </w:rPr>
              <w:t>Ковид</w:t>
            </w:r>
            <w:r w:rsidR="00662B88" w:rsidRPr="007D4736">
              <w:rPr>
                <w:rFonts w:eastAsia="Calibri" w:cs="Times New Roman"/>
                <w:lang w:val="sr-Cyrl-RS"/>
              </w:rPr>
              <w:t>-19</w:t>
            </w:r>
            <w:r w:rsidRPr="0081082A">
              <w:rPr>
                <w:rFonts w:eastAsia="Calibri"/>
                <w:lang w:val="sr-Cyrl-RS"/>
              </w:rPr>
              <w:t xml:space="preserve"> на путању јавног дуга у Републици Србији, очекује се да ће мања вредност трошкова сервисирања јавног дуга пратити целокупно смањење јавног дуга као проценат БДП-а, што доприноси стабилности система јавних финансија, будући да одрживост јавног дуга представља један од његових кључних елемената </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trHeight w:val="413"/>
          <w:jc w:val="center"/>
        </w:trPr>
        <w:tc>
          <w:tcPr>
            <w:tcW w:w="1247" w:type="pct"/>
            <w:gridSpan w:val="2"/>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55"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97"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trHeight w:val="137"/>
          <w:jc w:val="center"/>
        </w:trPr>
        <w:tc>
          <w:tcPr>
            <w:tcW w:w="1247" w:type="pct"/>
            <w:gridSpan w:val="2"/>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104"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42"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91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97"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trHeight w:val="323"/>
          <w:jc w:val="center"/>
        </w:trPr>
        <w:tc>
          <w:tcPr>
            <w:tcW w:w="1247" w:type="pct"/>
            <w:gridSpan w:val="2"/>
            <w:vMerge/>
            <w:shd w:val="clear" w:color="auto" w:fill="auto"/>
          </w:tcPr>
          <w:p w:rsidR="00192373" w:rsidRPr="0081082A" w:rsidRDefault="00192373" w:rsidP="00D01626">
            <w:pPr>
              <w:spacing w:before="50" w:after="50"/>
              <w:rPr>
                <w:rFonts w:eastAsia="Calibri"/>
                <w:b/>
                <w:bCs/>
                <w:lang w:val="sr-Cyrl-RS"/>
              </w:rPr>
            </w:pPr>
          </w:p>
        </w:tc>
        <w:tc>
          <w:tcPr>
            <w:tcW w:w="1104"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2"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1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9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1.9%</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trHeight w:val="274"/>
          <w:jc w:val="center"/>
        </w:trPr>
        <w:tc>
          <w:tcPr>
            <w:tcW w:w="1247" w:type="pct"/>
            <w:gridSpan w:val="2"/>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87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4"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0"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3"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3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trHeight w:val="160"/>
          <w:jc w:val="center"/>
        </w:trPr>
        <w:tc>
          <w:tcPr>
            <w:tcW w:w="1247" w:type="pct"/>
            <w:gridSpan w:val="2"/>
            <w:vMerge/>
            <w:shd w:val="clear" w:color="auto" w:fill="auto"/>
          </w:tcPr>
          <w:p w:rsidR="00192373" w:rsidRPr="0081082A" w:rsidRDefault="00192373" w:rsidP="00D01626">
            <w:pPr>
              <w:spacing w:before="50" w:after="50"/>
              <w:rPr>
                <w:rFonts w:eastAsia="Calibri"/>
                <w:b/>
                <w:bCs/>
                <w:lang w:val="sr-Cyrl-RS"/>
              </w:rPr>
            </w:pPr>
          </w:p>
        </w:tc>
        <w:tc>
          <w:tcPr>
            <w:tcW w:w="876" w:type="pct"/>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      1.9%</w:t>
            </w:r>
          </w:p>
        </w:tc>
        <w:tc>
          <w:tcPr>
            <w:tcW w:w="714"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1.9%</w:t>
            </w:r>
          </w:p>
        </w:tc>
        <w:tc>
          <w:tcPr>
            <w:tcW w:w="710"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3"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39"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1.7%</w:t>
            </w:r>
          </w:p>
        </w:tc>
      </w:tr>
      <w:tr w:rsidR="00192373" w:rsidRPr="0081082A" w:rsidTr="0077574C">
        <w:tblPrEx>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Ex>
        <w:trPr>
          <w:trHeight w:val="1025"/>
          <w:jc w:val="center"/>
        </w:trPr>
        <w:tc>
          <w:tcPr>
            <w:tcW w:w="1247" w:type="pct"/>
            <w:gridSpan w:val="2"/>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53"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Смањење годишњих трошкова сервисирања јавног дуга као проценат БДП-а, одступање od 0,1% поена је прихватљиво</w:t>
            </w:r>
          </w:p>
        </w:tc>
      </w:tr>
    </w:tbl>
    <w:p w:rsidR="00192373" w:rsidRPr="0081082A" w:rsidRDefault="00192373" w:rsidP="00192373">
      <w:pPr>
        <w:spacing w:before="0" w:after="160" w:line="259" w:lineRule="auto"/>
        <w:rPr>
          <w:rFonts w:ascii="Calibri" w:eastAsia="Calibri" w:hAnsi="Calibri"/>
          <w:sz w:val="22"/>
          <w:szCs w:val="22"/>
          <w:lang w:val="sr-Cyrl-RS"/>
        </w:rPr>
      </w:pPr>
    </w:p>
    <w:tbl>
      <w:tblPr>
        <w:tblW w:w="5031"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271"/>
        <w:gridCol w:w="1490"/>
        <w:gridCol w:w="387"/>
        <w:gridCol w:w="1094"/>
        <w:gridCol w:w="459"/>
        <w:gridCol w:w="513"/>
        <w:gridCol w:w="433"/>
        <w:gridCol w:w="1300"/>
        <w:gridCol w:w="20"/>
        <w:gridCol w:w="1332"/>
      </w:tblGrid>
      <w:tr w:rsidR="00192373" w:rsidRPr="0081082A" w:rsidTr="00D01626">
        <w:tc>
          <w:tcPr>
            <w:tcW w:w="1221" w:type="pct"/>
            <w:tcBorders>
              <w:top w:val="single" w:sz="4" w:space="0" w:color="auto"/>
              <w:left w:val="single" w:sz="4" w:space="0" w:color="auto"/>
            </w:tcBorders>
            <w:shd w:val="clear" w:color="auto" w:fill="FFFFFF" w:themeFill="background1"/>
            <w:vAlign w:val="center"/>
          </w:tcPr>
          <w:p w:rsidR="00192373" w:rsidRPr="0081082A" w:rsidRDefault="00192373" w:rsidP="0077574C">
            <w:pPr>
              <w:tabs>
                <w:tab w:val="right" w:pos="2140"/>
              </w:tabs>
              <w:spacing w:before="0"/>
              <w:jc w:val="center"/>
              <w:rPr>
                <w:rFonts w:eastAsia="Calibri"/>
                <w:b/>
                <w:lang w:val="sr-Cyrl-RS"/>
              </w:rPr>
            </w:pPr>
            <w:r w:rsidRPr="0081082A">
              <w:rPr>
                <w:rFonts w:eastAsia="Calibri"/>
                <w:b/>
                <w:lang w:val="sr-Cyrl-RS"/>
              </w:rPr>
              <w:t xml:space="preserve">Назив </w:t>
            </w:r>
            <w:r w:rsidR="0077574C" w:rsidRPr="0081082A">
              <w:rPr>
                <w:rFonts w:eastAsia="Calibri"/>
                <w:b/>
                <w:lang w:val="sr-Cyrl-RS"/>
              </w:rPr>
              <w:t>показатеља</w:t>
            </w:r>
          </w:p>
        </w:tc>
        <w:tc>
          <w:tcPr>
            <w:tcW w:w="3779" w:type="pct"/>
            <w:gridSpan w:val="9"/>
            <w:tcBorders>
              <w:top w:val="single" w:sz="4" w:space="0" w:color="auto"/>
              <w:right w:val="single" w:sz="4" w:space="0" w:color="auto"/>
            </w:tcBorders>
            <w:shd w:val="clear" w:color="auto" w:fill="FFFFFF" w:themeFill="background1"/>
            <w:vAlign w:val="center"/>
          </w:tcPr>
          <w:p w:rsidR="00192373" w:rsidRPr="0081082A" w:rsidRDefault="00192373" w:rsidP="0077574C">
            <w:pPr>
              <w:tabs>
                <w:tab w:val="right" w:pos="2140"/>
              </w:tabs>
              <w:spacing w:before="0"/>
              <w:jc w:val="center"/>
              <w:rPr>
                <w:b/>
                <w:lang w:val="sr-Cyrl-RS"/>
              </w:rPr>
            </w:pPr>
            <w:r w:rsidRPr="0081082A">
              <w:rPr>
                <w:b/>
                <w:lang w:val="sr-Cyrl-RS"/>
              </w:rPr>
              <w:t>Просечно трајање отвореног поступка</w:t>
            </w:r>
          </w:p>
        </w:tc>
      </w:tr>
      <w:tr w:rsidR="00192373" w:rsidRPr="0081082A" w:rsidTr="00D01626">
        <w:tc>
          <w:tcPr>
            <w:tcW w:w="1221" w:type="pct"/>
            <w:tcBorders>
              <w:top w:val="single" w:sz="4" w:space="0" w:color="auto"/>
              <w:left w:val="single" w:sz="4" w:space="0" w:color="auto"/>
            </w:tcBorders>
            <w:shd w:val="clear" w:color="auto" w:fill="FFFFFF" w:themeFill="background1"/>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Одговарајући општи циљ, посебан циљ или мера</w:t>
            </w:r>
          </w:p>
        </w:tc>
        <w:tc>
          <w:tcPr>
            <w:tcW w:w="3779" w:type="pct"/>
            <w:gridSpan w:val="9"/>
            <w:tcBorders>
              <w:top w:val="single" w:sz="4" w:space="0" w:color="auto"/>
              <w:right w:val="single" w:sz="4" w:space="0" w:color="auto"/>
            </w:tcBorders>
            <w:shd w:val="clear" w:color="auto" w:fill="FFFFFF" w:themeFill="background1"/>
          </w:tcPr>
          <w:p w:rsidR="00192373" w:rsidRPr="0081082A" w:rsidRDefault="00192373" w:rsidP="00D01626">
            <w:pPr>
              <w:tabs>
                <w:tab w:val="right" w:pos="2140"/>
              </w:tabs>
              <w:spacing w:before="0"/>
              <w:rPr>
                <w:rFonts w:eastAsia="Calibri"/>
                <w:lang w:val="sr-Cyrl-RS"/>
              </w:rPr>
            </w:pPr>
            <w:r w:rsidRPr="0081082A">
              <w:rPr>
                <w:rFonts w:eastAsia="Calibri"/>
                <w:b/>
                <w:bCs/>
                <w:lang w:val="sr-Cyrl-RS"/>
              </w:rPr>
              <w:t>Посебан циљ 2:</w:t>
            </w:r>
            <w:r w:rsidRPr="0081082A">
              <w:rPr>
                <w:rFonts w:eastAsia="Calibri"/>
                <w:bCs/>
                <w:lang w:val="sr-Cyrl-RS"/>
              </w:rPr>
              <w:t xml:space="preserve"> </w:t>
            </w:r>
            <w:r w:rsidRPr="0081082A">
              <w:rPr>
                <w:lang w:val="sr-Cyrl-RS"/>
              </w:rPr>
              <w:t>Ефикасно прикупљање и управљање буџетским средствима</w:t>
            </w:r>
          </w:p>
        </w:tc>
      </w:tr>
      <w:tr w:rsidR="00192373" w:rsidRPr="0081082A" w:rsidTr="00D01626">
        <w:tc>
          <w:tcPr>
            <w:tcW w:w="1221" w:type="pct"/>
            <w:tcBorders>
              <w:left w:val="single" w:sz="4" w:space="0" w:color="auto"/>
            </w:tcBorders>
            <w:shd w:val="clear" w:color="auto" w:fill="FFFFFF" w:themeFill="background1"/>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Тип показатеља </w:t>
            </w:r>
          </w:p>
        </w:tc>
        <w:tc>
          <w:tcPr>
            <w:tcW w:w="1844" w:type="pct"/>
            <w:gridSpan w:val="4"/>
            <w:tcBorders>
              <w:right w:val="single" w:sz="4" w:space="0" w:color="auto"/>
            </w:tcBorders>
            <w:shd w:val="clear" w:color="auto" w:fill="FFFFFF" w:themeFill="background1"/>
          </w:tcPr>
          <w:p w:rsidR="00192373" w:rsidRPr="0081082A" w:rsidRDefault="00192373" w:rsidP="00D01626">
            <w:pPr>
              <w:ind w:hanging="29"/>
              <w:rPr>
                <w:lang w:val="sr-Cyrl-RS"/>
              </w:rPr>
            </w:pPr>
            <w:r w:rsidRPr="0081082A">
              <w:rPr>
                <w:color w:val="000000" w:themeColor="text1"/>
                <w:lang w:val="sr-Cyrl-RS"/>
              </w:rPr>
              <w:t>Квантитативни</w:t>
            </w:r>
          </w:p>
        </w:tc>
        <w:tc>
          <w:tcPr>
            <w:tcW w:w="1935" w:type="pct"/>
            <w:gridSpan w:val="5"/>
            <w:tcBorders>
              <w:right w:val="single" w:sz="4" w:space="0" w:color="auto"/>
            </w:tcBorders>
            <w:shd w:val="clear" w:color="auto" w:fill="auto"/>
          </w:tcPr>
          <w:p w:rsidR="00192373" w:rsidRPr="0081082A" w:rsidRDefault="00192373" w:rsidP="00D01626">
            <w:pPr>
              <w:rPr>
                <w:sz w:val="22"/>
                <w:szCs w:val="22"/>
                <w:highlight w:val="yellow"/>
                <w:lang w:val="sr-Cyrl-RS"/>
              </w:rPr>
            </w:pPr>
            <w:r w:rsidRPr="0081082A">
              <w:rPr>
                <w:lang w:val="sr-Cyrl-RS"/>
              </w:rPr>
              <w:t>Ниво посебног циља ПРУЈФ, мања вредност је боља</w:t>
            </w:r>
          </w:p>
        </w:tc>
      </w:tr>
      <w:tr w:rsidR="00192373" w:rsidRPr="0081082A" w:rsidTr="00D01626">
        <w:tc>
          <w:tcPr>
            <w:tcW w:w="1221" w:type="pct"/>
            <w:tcBorders>
              <w:top w:val="single" w:sz="6" w:space="0" w:color="auto"/>
              <w:left w:val="single" w:sz="4" w:space="0" w:color="auto"/>
            </w:tcBorders>
            <w:shd w:val="clear" w:color="auto" w:fill="FFFFFF" w:themeFill="background1"/>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Јединица мере и природа</w:t>
            </w:r>
          </w:p>
        </w:tc>
        <w:tc>
          <w:tcPr>
            <w:tcW w:w="1844" w:type="pct"/>
            <w:gridSpan w:val="4"/>
            <w:tcBorders>
              <w:top w:val="single" w:sz="6" w:space="0" w:color="auto"/>
              <w:right w:val="single" w:sz="4" w:space="0" w:color="auto"/>
            </w:tcBorders>
            <w:shd w:val="clear" w:color="auto" w:fill="FFFFFF" w:themeFill="background1"/>
          </w:tcPr>
          <w:p w:rsidR="00192373" w:rsidRPr="0081082A" w:rsidRDefault="00192373" w:rsidP="00D01626">
            <w:pPr>
              <w:ind w:hanging="29"/>
              <w:rPr>
                <w:lang w:val="sr-Cyrl-RS"/>
              </w:rPr>
            </w:pPr>
            <w:r w:rsidRPr="0081082A">
              <w:rPr>
                <w:lang w:val="sr-Cyrl-RS"/>
              </w:rPr>
              <w:t>Дан</w:t>
            </w:r>
          </w:p>
          <w:p w:rsidR="00192373" w:rsidRPr="0081082A" w:rsidRDefault="00192373" w:rsidP="00D01626">
            <w:pPr>
              <w:ind w:hanging="29"/>
              <w:rPr>
                <w:lang w:val="sr-Cyrl-RS"/>
              </w:rPr>
            </w:pPr>
          </w:p>
        </w:tc>
        <w:tc>
          <w:tcPr>
            <w:tcW w:w="1935" w:type="pct"/>
            <w:gridSpan w:val="5"/>
            <w:tcBorders>
              <w:top w:val="single" w:sz="6" w:space="0" w:color="auto"/>
              <w:right w:val="single" w:sz="4" w:space="0" w:color="auto"/>
            </w:tcBorders>
            <w:shd w:val="clear" w:color="auto" w:fill="auto"/>
          </w:tcPr>
          <w:p w:rsidR="00192373" w:rsidRPr="0081082A" w:rsidRDefault="00192373" w:rsidP="00D01626">
            <w:pPr>
              <w:rPr>
                <w:highlight w:val="yellow"/>
                <w:lang w:val="sr-Cyrl-RS"/>
              </w:rPr>
            </w:pPr>
          </w:p>
        </w:tc>
      </w:tr>
      <w:tr w:rsidR="00192373" w:rsidRPr="0081082A" w:rsidTr="00D01626">
        <w:tc>
          <w:tcPr>
            <w:tcW w:w="1221" w:type="pct"/>
            <w:tcBorders>
              <w:left w:val="single" w:sz="4" w:space="0" w:color="auto"/>
              <w:bottom w:val="single" w:sz="4" w:space="0" w:color="auto"/>
            </w:tcBorders>
            <w:shd w:val="clear" w:color="auto" w:fill="FFFFFF" w:themeFill="background1"/>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Извор података</w:t>
            </w:r>
          </w:p>
        </w:tc>
        <w:tc>
          <w:tcPr>
            <w:tcW w:w="3779" w:type="pct"/>
            <w:gridSpan w:val="9"/>
            <w:tcBorders>
              <w:bottom w:val="single" w:sz="4" w:space="0" w:color="auto"/>
              <w:right w:val="single" w:sz="4" w:space="0" w:color="auto"/>
            </w:tcBorders>
            <w:shd w:val="clear" w:color="auto" w:fill="FFFFFF" w:themeFill="background1"/>
          </w:tcPr>
          <w:p w:rsidR="00192373" w:rsidRPr="0081082A" w:rsidRDefault="00192373" w:rsidP="00D01626">
            <w:pPr>
              <w:ind w:hanging="29"/>
              <w:rPr>
                <w:lang w:val="sr-Cyrl-RS"/>
              </w:rPr>
            </w:pPr>
            <w:r w:rsidRPr="0081082A">
              <w:rPr>
                <w:rFonts w:eastAsia="Times New Roman"/>
                <w:color w:val="000000"/>
                <w:sz w:val="16"/>
                <w:szCs w:val="16"/>
                <w:lang w:val="sr-Cyrl-RS" w:eastAsia="en-GB"/>
              </w:rPr>
              <w:t>Годишњи извештај о јавним набавкама</w:t>
            </w:r>
          </w:p>
        </w:tc>
      </w:tr>
      <w:tr w:rsidR="00192373" w:rsidRPr="0081082A" w:rsidTr="00D01626">
        <w:tc>
          <w:tcPr>
            <w:tcW w:w="1221" w:type="pct"/>
            <w:tcBorders>
              <w:left w:val="single" w:sz="4" w:space="0" w:color="auto"/>
              <w:bottom w:val="single" w:sz="4" w:space="0" w:color="auto"/>
            </w:tcBorders>
            <w:shd w:val="clear" w:color="auto" w:fill="FFFFFF" w:themeFill="background1"/>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Назив носиоца прикупљања података</w:t>
            </w:r>
          </w:p>
        </w:tc>
        <w:tc>
          <w:tcPr>
            <w:tcW w:w="3779" w:type="pct"/>
            <w:gridSpan w:val="9"/>
            <w:tcBorders>
              <w:bottom w:val="single" w:sz="4" w:space="0" w:color="auto"/>
              <w:right w:val="single" w:sz="4" w:space="0" w:color="auto"/>
            </w:tcBorders>
            <w:shd w:val="clear" w:color="auto" w:fill="FFFFFF" w:themeFill="background1"/>
          </w:tcPr>
          <w:p w:rsidR="00192373" w:rsidRPr="0081082A" w:rsidRDefault="00192373" w:rsidP="00D01626">
            <w:pPr>
              <w:ind w:hanging="29"/>
              <w:rPr>
                <w:lang w:val="sr-Cyrl-RS"/>
              </w:rPr>
            </w:pPr>
            <w:r w:rsidRPr="0081082A">
              <w:rPr>
                <w:lang w:val="sr-Cyrl-RS"/>
              </w:rPr>
              <w:t>Канцеларија за јавне набавке</w:t>
            </w:r>
          </w:p>
        </w:tc>
      </w:tr>
      <w:tr w:rsidR="00192373" w:rsidRPr="0081082A" w:rsidTr="00D01626">
        <w:tc>
          <w:tcPr>
            <w:tcW w:w="1221" w:type="pct"/>
            <w:tcBorders>
              <w:top w:val="single" w:sz="4" w:space="0" w:color="auto"/>
              <w:left w:val="single" w:sz="4" w:space="0" w:color="auto"/>
            </w:tcBorders>
            <w:shd w:val="clear" w:color="auto" w:fill="FFFFFF" w:themeFill="background1"/>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Учесталост</w:t>
            </w:r>
          </w:p>
        </w:tc>
        <w:tc>
          <w:tcPr>
            <w:tcW w:w="3779" w:type="pct"/>
            <w:gridSpan w:val="9"/>
            <w:tcBorders>
              <w:top w:val="single" w:sz="4" w:space="0" w:color="auto"/>
              <w:right w:val="single" w:sz="4" w:space="0" w:color="auto"/>
            </w:tcBorders>
            <w:shd w:val="clear" w:color="auto" w:fill="FFFFFF" w:themeFill="background1"/>
          </w:tcPr>
          <w:p w:rsidR="00192373" w:rsidRPr="0081082A" w:rsidRDefault="00192373" w:rsidP="00D01626">
            <w:pPr>
              <w:ind w:hanging="29"/>
              <w:rPr>
                <w:lang w:val="sr-Cyrl-RS"/>
              </w:rPr>
            </w:pPr>
            <w:r w:rsidRPr="0081082A">
              <w:rPr>
                <w:lang w:val="sr-Cyrl-RS"/>
              </w:rPr>
              <w:t>Једном годишње</w:t>
            </w:r>
          </w:p>
        </w:tc>
      </w:tr>
      <w:tr w:rsidR="00192373" w:rsidRPr="0081082A" w:rsidTr="00D01626">
        <w:trPr>
          <w:trHeight w:val="1181"/>
        </w:trPr>
        <w:tc>
          <w:tcPr>
            <w:tcW w:w="1221" w:type="pct"/>
            <w:tcBorders>
              <w:left w:val="single" w:sz="4" w:space="0" w:color="auto"/>
              <w:bottom w:val="single" w:sz="6"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Кратак опис показатеља и методологије израчунавања</w:t>
            </w:r>
          </w:p>
          <w:p w:rsidR="00192373" w:rsidRPr="0081082A" w:rsidRDefault="00192373" w:rsidP="00D01626">
            <w:pPr>
              <w:tabs>
                <w:tab w:val="right" w:pos="2140"/>
              </w:tabs>
              <w:spacing w:before="0"/>
              <w:rPr>
                <w:rFonts w:eastAsia="Calibri"/>
                <w:b/>
                <w:lang w:val="sr-Cyrl-RS"/>
              </w:rPr>
            </w:pPr>
            <w:r w:rsidRPr="0081082A">
              <w:rPr>
                <w:rFonts w:eastAsia="Calibri"/>
                <w:b/>
                <w:bCs/>
                <w:lang w:val="sr-Cyrl-RS"/>
              </w:rPr>
              <w:t>(формуле/једначине)</w:t>
            </w:r>
          </w:p>
        </w:tc>
        <w:tc>
          <w:tcPr>
            <w:tcW w:w="3779" w:type="pct"/>
            <w:gridSpan w:val="9"/>
            <w:tcBorders>
              <w:right w:val="single" w:sz="4" w:space="0" w:color="auto"/>
            </w:tcBorders>
            <w:shd w:val="clear" w:color="auto" w:fill="auto"/>
          </w:tcPr>
          <w:p w:rsidR="00192373" w:rsidRPr="0081082A" w:rsidRDefault="00192373" w:rsidP="00D01626">
            <w:pPr>
              <w:ind w:hanging="29"/>
              <w:rPr>
                <w:lang w:val="sr-Cyrl-RS"/>
              </w:rPr>
            </w:pPr>
            <w:r w:rsidRPr="0081082A">
              <w:rPr>
                <w:lang w:val="sr-Cyrl-RS"/>
              </w:rPr>
              <w:t>Показатељ представља просечну дужину трајања отвореног поступка</w:t>
            </w:r>
            <w:r w:rsidR="00A545D2" w:rsidRPr="0081082A">
              <w:rPr>
                <w:lang w:val="sr-Cyrl-RS"/>
              </w:rPr>
              <w:t>,</w:t>
            </w:r>
            <w:r w:rsidRPr="0081082A">
              <w:rPr>
                <w:lang w:val="sr-Cyrl-RS"/>
              </w:rPr>
              <w:t xml:space="preserve"> односно приказује колико се дужина трајања отвореног поступка скраћује из године у годину. </w:t>
            </w:r>
          </w:p>
        </w:tc>
      </w:tr>
      <w:tr w:rsidR="00192373" w:rsidRPr="0081082A" w:rsidTr="00D01626">
        <w:tc>
          <w:tcPr>
            <w:tcW w:w="1221" w:type="pct"/>
            <w:vMerge w:val="restart"/>
            <w:tcBorders>
              <w:top w:val="single" w:sz="6" w:space="0" w:color="auto"/>
              <w:left w:val="single" w:sz="4"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Подаци о полазној вредности и години кад је измерена, као и о ранијем тренду</w:t>
            </w:r>
          </w:p>
        </w:tc>
        <w:tc>
          <w:tcPr>
            <w:tcW w:w="2120" w:type="pct"/>
            <w:gridSpan w:val="5"/>
            <w:tcBorders>
              <w:top w:val="single" w:sz="6" w:space="0" w:color="auto"/>
            </w:tcBorders>
            <w:shd w:val="clear" w:color="auto" w:fill="auto"/>
            <w:vAlign w:val="center"/>
          </w:tcPr>
          <w:p w:rsidR="00192373" w:rsidRPr="0081082A" w:rsidRDefault="00192373" w:rsidP="00D01626">
            <w:pPr>
              <w:tabs>
                <w:tab w:val="right" w:pos="2140"/>
              </w:tabs>
              <w:spacing w:before="0"/>
              <w:rPr>
                <w:rFonts w:eastAsia="Calibri"/>
                <w:bCs/>
                <w:lang w:val="sr-Cyrl-RS"/>
              </w:rPr>
            </w:pPr>
            <w:r w:rsidRPr="0081082A">
              <w:rPr>
                <w:rFonts w:eastAsia="Calibri"/>
                <w:lang w:val="sr-Cyrl-RS"/>
              </w:rPr>
              <w:t>Ранији тренд</w:t>
            </w:r>
          </w:p>
        </w:tc>
        <w:tc>
          <w:tcPr>
            <w:tcW w:w="1659" w:type="pct"/>
            <w:gridSpan w:val="4"/>
            <w:tcBorders>
              <w:top w:val="single" w:sz="6" w:space="0" w:color="auto"/>
              <w:right w:val="single" w:sz="4" w:space="0" w:color="auto"/>
            </w:tcBorders>
            <w:shd w:val="clear" w:color="auto" w:fill="auto"/>
            <w:vAlign w:val="center"/>
          </w:tcPr>
          <w:p w:rsidR="00192373" w:rsidRPr="0081082A" w:rsidRDefault="00192373" w:rsidP="00D01626">
            <w:pPr>
              <w:tabs>
                <w:tab w:val="right" w:pos="2140"/>
              </w:tabs>
              <w:spacing w:before="0"/>
              <w:jc w:val="center"/>
              <w:rPr>
                <w:rFonts w:eastAsia="Calibri"/>
                <w:bCs/>
                <w:lang w:val="sr-Cyrl-RS"/>
              </w:rPr>
            </w:pPr>
            <w:r w:rsidRPr="0081082A">
              <w:rPr>
                <w:rFonts w:eastAsia="Calibri"/>
                <w:lang w:val="sr-Cyrl-RS"/>
              </w:rPr>
              <w:t>Полазна вредност</w:t>
            </w:r>
          </w:p>
        </w:tc>
      </w:tr>
      <w:tr w:rsidR="00192373" w:rsidRPr="0081082A" w:rsidTr="00D01626">
        <w:tc>
          <w:tcPr>
            <w:tcW w:w="1221"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09"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2016.</w:t>
            </w:r>
          </w:p>
        </w:tc>
        <w:tc>
          <w:tcPr>
            <w:tcW w:w="1111"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2017.</w:t>
            </w:r>
          </w:p>
        </w:tc>
        <w:tc>
          <w:tcPr>
            <w:tcW w:w="932"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2019.</w:t>
            </w:r>
          </w:p>
        </w:tc>
        <w:tc>
          <w:tcPr>
            <w:tcW w:w="727"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 xml:space="preserve">2020. </w:t>
            </w:r>
          </w:p>
        </w:tc>
      </w:tr>
      <w:tr w:rsidR="00192373" w:rsidRPr="0081082A" w:rsidTr="00D01626">
        <w:tc>
          <w:tcPr>
            <w:tcW w:w="1221"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09" w:type="pct"/>
            <w:gridSpan w:val="2"/>
            <w:shd w:val="clear" w:color="auto" w:fill="auto"/>
          </w:tcPr>
          <w:p w:rsidR="00192373" w:rsidRPr="0081082A" w:rsidRDefault="00192373" w:rsidP="00D01626">
            <w:pPr>
              <w:tabs>
                <w:tab w:val="right" w:pos="2140"/>
              </w:tabs>
              <w:spacing w:before="0"/>
              <w:jc w:val="center"/>
              <w:rPr>
                <w:rFonts w:eastAsia="Calibri"/>
                <w:bCs/>
                <w:lang w:val="sr-Cyrl-RS"/>
              </w:rPr>
            </w:pPr>
          </w:p>
        </w:tc>
        <w:tc>
          <w:tcPr>
            <w:tcW w:w="1111" w:type="pct"/>
            <w:gridSpan w:val="3"/>
            <w:shd w:val="clear" w:color="auto" w:fill="auto"/>
          </w:tcPr>
          <w:p w:rsidR="00192373" w:rsidRPr="0081082A" w:rsidRDefault="00192373" w:rsidP="00D01626">
            <w:pPr>
              <w:tabs>
                <w:tab w:val="right" w:pos="2140"/>
              </w:tabs>
              <w:spacing w:before="0"/>
              <w:jc w:val="center"/>
              <w:rPr>
                <w:rFonts w:eastAsia="Calibri"/>
                <w:bCs/>
                <w:lang w:val="sr-Cyrl-RS"/>
              </w:rPr>
            </w:pPr>
          </w:p>
        </w:tc>
        <w:tc>
          <w:tcPr>
            <w:tcW w:w="932" w:type="pct"/>
            <w:gridSpan w:val="2"/>
            <w:shd w:val="clear" w:color="auto" w:fill="auto"/>
          </w:tcPr>
          <w:p w:rsidR="00192373" w:rsidRPr="0081082A" w:rsidRDefault="00192373" w:rsidP="00D01626">
            <w:pPr>
              <w:tabs>
                <w:tab w:val="right" w:pos="2140"/>
              </w:tabs>
              <w:spacing w:before="0" w:line="360" w:lineRule="auto"/>
              <w:jc w:val="center"/>
              <w:rPr>
                <w:rFonts w:eastAsia="Calibri"/>
                <w:bCs/>
                <w:lang w:val="sr-Cyrl-RS"/>
              </w:rPr>
            </w:pPr>
          </w:p>
        </w:tc>
        <w:tc>
          <w:tcPr>
            <w:tcW w:w="727"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lang w:val="sr-Cyrl-RS"/>
              </w:rPr>
              <w:t>52</w:t>
            </w:r>
          </w:p>
        </w:tc>
      </w:tr>
      <w:tr w:rsidR="00192373" w:rsidRPr="0081082A" w:rsidTr="00D01626">
        <w:tc>
          <w:tcPr>
            <w:tcW w:w="1221" w:type="pct"/>
            <w:vMerge w:val="restart"/>
            <w:tcBorders>
              <w:left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Подаци о циљној вредност</w:t>
            </w:r>
          </w:p>
        </w:tc>
        <w:tc>
          <w:tcPr>
            <w:tcW w:w="801"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6"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56"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0"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6"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c>
          <w:tcPr>
            <w:tcW w:w="1221"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801" w:type="pct"/>
            <w:shd w:val="clear" w:color="auto" w:fill="auto"/>
            <w:vAlign w:val="center"/>
          </w:tcPr>
          <w:p w:rsidR="00192373" w:rsidRPr="0081082A" w:rsidRDefault="00192373" w:rsidP="00D01626">
            <w:pPr>
              <w:shd w:val="clear" w:color="auto" w:fill="FFFFFF"/>
              <w:jc w:val="center"/>
              <w:rPr>
                <w:lang w:val="sr-Cyrl-RS"/>
              </w:rPr>
            </w:pPr>
            <w:r w:rsidRPr="0081082A">
              <w:rPr>
                <w:lang w:val="sr-Cyrl-RS"/>
              </w:rPr>
              <w:t>50</w:t>
            </w:r>
          </w:p>
        </w:tc>
        <w:tc>
          <w:tcPr>
            <w:tcW w:w="796" w:type="pct"/>
            <w:gridSpan w:val="2"/>
            <w:shd w:val="clear" w:color="auto" w:fill="auto"/>
            <w:vAlign w:val="center"/>
          </w:tcPr>
          <w:p w:rsidR="00192373" w:rsidRPr="0081082A" w:rsidRDefault="00192373" w:rsidP="00D01626">
            <w:pPr>
              <w:shd w:val="clear" w:color="auto" w:fill="FFFFFF"/>
              <w:jc w:val="center"/>
              <w:rPr>
                <w:lang w:val="sr-Cyrl-RS"/>
              </w:rPr>
            </w:pPr>
            <w:r w:rsidRPr="0081082A">
              <w:rPr>
                <w:lang w:val="sr-Cyrl-RS"/>
              </w:rPr>
              <w:t>48</w:t>
            </w:r>
          </w:p>
        </w:tc>
        <w:tc>
          <w:tcPr>
            <w:tcW w:w="756" w:type="pct"/>
            <w:gridSpan w:val="3"/>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46</w:t>
            </w:r>
          </w:p>
        </w:tc>
        <w:tc>
          <w:tcPr>
            <w:tcW w:w="710" w:type="pct"/>
            <w:gridSpan w:val="2"/>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45</w:t>
            </w:r>
          </w:p>
        </w:tc>
        <w:tc>
          <w:tcPr>
            <w:tcW w:w="716" w:type="pct"/>
            <w:tcBorders>
              <w:right w:val="single" w:sz="4" w:space="0" w:color="auto"/>
            </w:tcBorders>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44</w:t>
            </w:r>
          </w:p>
        </w:tc>
      </w:tr>
      <w:tr w:rsidR="00192373" w:rsidRPr="0081082A" w:rsidTr="00D01626">
        <w:tc>
          <w:tcPr>
            <w:tcW w:w="1221" w:type="pct"/>
            <w:tcBorders>
              <w:left w:val="single" w:sz="4" w:space="0" w:color="auto"/>
              <w:bottom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Процена успешности:</w:t>
            </w:r>
          </w:p>
        </w:tc>
        <w:tc>
          <w:tcPr>
            <w:tcW w:w="3779" w:type="pct"/>
            <w:gridSpan w:val="9"/>
            <w:tcBorders>
              <w:bottom w:val="single" w:sz="4" w:space="0" w:color="auto"/>
              <w:right w:val="single" w:sz="4" w:space="0" w:color="auto"/>
            </w:tcBorders>
            <w:shd w:val="clear" w:color="auto" w:fill="auto"/>
          </w:tcPr>
          <w:p w:rsidR="00192373" w:rsidRPr="0081082A" w:rsidRDefault="00192373" w:rsidP="00D01626">
            <w:pPr>
              <w:tabs>
                <w:tab w:val="right" w:pos="2140"/>
              </w:tabs>
              <w:spacing w:before="0"/>
              <w:rPr>
                <w:rFonts w:eastAsia="Calibri"/>
                <w:bCs/>
                <w:lang w:val="sr-Cyrl-RS"/>
              </w:rPr>
            </w:pPr>
            <w:r w:rsidRPr="0081082A">
              <w:rPr>
                <w:rFonts w:eastAsia="Calibri"/>
                <w:bCs/>
                <w:lang w:val="sr-Cyrl-RS"/>
              </w:rPr>
              <w:t>Одступање од 1 дана је прихватљиво</w:t>
            </w:r>
          </w:p>
        </w:tc>
      </w:tr>
    </w:tbl>
    <w:p w:rsidR="00192373" w:rsidRPr="0081082A" w:rsidRDefault="00192373" w:rsidP="00192373">
      <w:pPr>
        <w:spacing w:before="0" w:after="160" w:line="259" w:lineRule="auto"/>
        <w:rPr>
          <w:rFonts w:ascii="Calibri" w:eastAsia="Calibri" w:hAnsi="Calibri"/>
          <w:sz w:val="22"/>
          <w:szCs w:val="22"/>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Показатељи на нивоу посебног циља 3.</w:t>
      </w:r>
    </w:p>
    <w:tbl>
      <w:tblPr>
        <w:tblW w:w="5031"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285"/>
        <w:gridCol w:w="1497"/>
        <w:gridCol w:w="394"/>
        <w:gridCol w:w="1095"/>
        <w:gridCol w:w="461"/>
        <w:gridCol w:w="506"/>
        <w:gridCol w:w="433"/>
        <w:gridCol w:w="567"/>
        <w:gridCol w:w="722"/>
        <w:gridCol w:w="28"/>
        <w:gridCol w:w="1311"/>
      </w:tblGrid>
      <w:tr w:rsidR="00192373" w:rsidRPr="0081082A" w:rsidTr="00D01626">
        <w:tc>
          <w:tcPr>
            <w:tcW w:w="1228" w:type="pct"/>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Назив индикатора</w:t>
            </w:r>
          </w:p>
        </w:tc>
        <w:tc>
          <w:tcPr>
            <w:tcW w:w="3772" w:type="pct"/>
            <w:gridSpan w:val="10"/>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b/>
                <w:lang w:val="sr-Cyrl-RS"/>
              </w:rPr>
            </w:pPr>
            <w:r w:rsidRPr="0081082A">
              <w:rPr>
                <w:b/>
                <w:lang w:val="sr-Cyrl-RS"/>
              </w:rPr>
              <w:t>Просечан број незаконитости и неправилности по контроли у односу на укупан број извршених контрола (Показатељ на општем нивоу мери ефикасност буџетске инспекције, потребно је задржати га будући да број незаконитости зависи искључиво од буџетске инспекције, док спровођење мера зависи од других регулаторних органа (судова).</w:t>
            </w:r>
          </w:p>
        </w:tc>
      </w:tr>
      <w:tr w:rsidR="00192373" w:rsidRPr="0081082A" w:rsidTr="00D01626">
        <w:tc>
          <w:tcPr>
            <w:tcW w:w="1228" w:type="pct"/>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Одговарајући општи </w:t>
            </w:r>
            <w:r w:rsidRPr="0081082A">
              <w:rPr>
                <w:rFonts w:eastAsia="Calibri"/>
                <w:b/>
                <w:lang w:val="sr-Cyrl-RS"/>
              </w:rPr>
              <w:lastRenderedPageBreak/>
              <w:t>циљ, посебан циљ или мера</w:t>
            </w:r>
          </w:p>
        </w:tc>
        <w:tc>
          <w:tcPr>
            <w:tcW w:w="3772" w:type="pct"/>
            <w:gridSpan w:val="10"/>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b/>
                <w:lang w:val="sr-Cyrl-RS"/>
              </w:rPr>
            </w:pPr>
            <w:r w:rsidRPr="0081082A">
              <w:rPr>
                <w:b/>
                <w:lang w:val="sr-Cyrl-RS"/>
              </w:rPr>
              <w:lastRenderedPageBreak/>
              <w:t xml:space="preserve">Посебан циљ 3: Унапређење буџетске дисциплине и транспарентније </w:t>
            </w:r>
            <w:r w:rsidRPr="0081082A">
              <w:rPr>
                <w:b/>
                <w:lang w:val="sr-Cyrl-RS"/>
              </w:rPr>
              <w:lastRenderedPageBreak/>
              <w:t>коришћење јавних средстава</w:t>
            </w:r>
          </w:p>
        </w:tc>
      </w:tr>
      <w:tr w:rsidR="00192373" w:rsidRPr="0081082A" w:rsidTr="00D01626">
        <w:tc>
          <w:tcPr>
            <w:tcW w:w="1228"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lastRenderedPageBreak/>
              <w:t xml:space="preserve">Тип показатеља </w:t>
            </w:r>
          </w:p>
        </w:tc>
        <w:tc>
          <w:tcPr>
            <w:tcW w:w="1854" w:type="pct"/>
            <w:gridSpan w:val="4"/>
            <w:tcBorders>
              <w:right w:val="single" w:sz="4" w:space="0" w:color="auto"/>
            </w:tcBorders>
            <w:shd w:val="clear" w:color="auto" w:fill="auto"/>
          </w:tcPr>
          <w:p w:rsidR="00192373" w:rsidRPr="0081082A" w:rsidRDefault="00192373" w:rsidP="00D01626">
            <w:pPr>
              <w:rPr>
                <w:lang w:val="sr-Cyrl-RS"/>
              </w:rPr>
            </w:pPr>
            <w:r w:rsidRPr="0081082A">
              <w:rPr>
                <w:lang w:val="sr-Cyrl-RS"/>
              </w:rPr>
              <w:t>Квантитативни</w:t>
            </w:r>
          </w:p>
        </w:tc>
        <w:tc>
          <w:tcPr>
            <w:tcW w:w="1918" w:type="pct"/>
            <w:gridSpan w:val="6"/>
            <w:tcBorders>
              <w:right w:val="single" w:sz="4" w:space="0" w:color="auto"/>
            </w:tcBorders>
            <w:shd w:val="clear" w:color="auto" w:fill="auto"/>
          </w:tcPr>
          <w:p w:rsidR="00192373" w:rsidRPr="0081082A" w:rsidRDefault="00192373" w:rsidP="00D01626">
            <w:pPr>
              <w:rPr>
                <w:lang w:val="sr-Cyrl-RS"/>
              </w:rPr>
            </w:pPr>
            <w:r w:rsidRPr="0081082A">
              <w:rPr>
                <w:lang w:val="sr-Cyrl-RS"/>
              </w:rPr>
              <w:t>Ниво посебног циља ПРУЈФ</w:t>
            </w:r>
          </w:p>
        </w:tc>
      </w:tr>
      <w:tr w:rsidR="00192373" w:rsidRPr="0081082A" w:rsidTr="00D01626">
        <w:tc>
          <w:tcPr>
            <w:tcW w:w="1228" w:type="pct"/>
            <w:tcBorders>
              <w:top w:val="single" w:sz="6"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Јединица мере и природа</w:t>
            </w:r>
          </w:p>
        </w:tc>
        <w:tc>
          <w:tcPr>
            <w:tcW w:w="1854" w:type="pct"/>
            <w:gridSpan w:val="4"/>
            <w:tcBorders>
              <w:top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Број</w:t>
            </w:r>
          </w:p>
        </w:tc>
        <w:tc>
          <w:tcPr>
            <w:tcW w:w="1918" w:type="pct"/>
            <w:gridSpan w:val="6"/>
            <w:tcBorders>
              <w:top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Мања вредност је боља</w:t>
            </w:r>
          </w:p>
        </w:tc>
      </w:tr>
      <w:tr w:rsidR="00192373" w:rsidRPr="0081082A" w:rsidTr="00D01626">
        <w:tc>
          <w:tcPr>
            <w:tcW w:w="1228"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Извор података</w:t>
            </w:r>
          </w:p>
        </w:tc>
        <w:tc>
          <w:tcPr>
            <w:tcW w:w="3772" w:type="pct"/>
            <w:gridSpan w:val="10"/>
            <w:tcBorders>
              <w:bottom w:val="single" w:sz="4" w:space="0" w:color="auto"/>
              <w:right w:val="single" w:sz="4" w:space="0" w:color="auto"/>
            </w:tcBorders>
            <w:shd w:val="clear" w:color="auto" w:fill="auto"/>
          </w:tcPr>
          <w:p w:rsidR="00192373" w:rsidRPr="0081082A" w:rsidRDefault="00192373" w:rsidP="00D01626">
            <w:pPr>
              <w:rPr>
                <w:lang w:val="sr-Cyrl-RS"/>
              </w:rPr>
            </w:pPr>
            <w:r w:rsidRPr="0081082A">
              <w:rPr>
                <w:lang w:val="sr-Cyrl-RS"/>
              </w:rPr>
              <w:t>Годишњи извештај о раду буџетске инспекције</w:t>
            </w:r>
          </w:p>
        </w:tc>
      </w:tr>
      <w:tr w:rsidR="00192373" w:rsidRPr="0081082A" w:rsidTr="00D01626">
        <w:tc>
          <w:tcPr>
            <w:tcW w:w="1228" w:type="pct"/>
            <w:tcBorders>
              <w:left w:val="single" w:sz="4" w:space="0" w:color="auto"/>
              <w:bottom w:val="single" w:sz="6"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Назив носиоца прикупљања података</w:t>
            </w:r>
          </w:p>
        </w:tc>
        <w:tc>
          <w:tcPr>
            <w:tcW w:w="3772" w:type="pct"/>
            <w:gridSpan w:val="10"/>
            <w:tcBorders>
              <w:bottom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МФ, Сектор за буџетску инспекцију</w:t>
            </w:r>
          </w:p>
        </w:tc>
      </w:tr>
      <w:tr w:rsidR="00192373" w:rsidRPr="0081082A" w:rsidTr="00D01626">
        <w:tc>
          <w:tcPr>
            <w:tcW w:w="1228" w:type="pct"/>
            <w:tcBorders>
              <w:top w:val="single" w:sz="6"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Учесталост</w:t>
            </w:r>
          </w:p>
        </w:tc>
        <w:tc>
          <w:tcPr>
            <w:tcW w:w="3772" w:type="pct"/>
            <w:gridSpan w:val="10"/>
            <w:tcBorders>
              <w:top w:val="single" w:sz="6" w:space="0" w:color="auto"/>
              <w:bottom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Једном годишње</w:t>
            </w:r>
          </w:p>
        </w:tc>
      </w:tr>
      <w:tr w:rsidR="00192373" w:rsidRPr="0081082A" w:rsidTr="00D01626">
        <w:trPr>
          <w:trHeight w:val="1181"/>
        </w:trPr>
        <w:tc>
          <w:tcPr>
            <w:tcW w:w="1228" w:type="pct"/>
            <w:tcBorders>
              <w:top w:val="single" w:sz="6" w:space="0" w:color="auto"/>
              <w:left w:val="single" w:sz="4" w:space="0" w:color="auto"/>
              <w:bottom w:val="single" w:sz="6"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Кратак опис показатеља и методологије израчунавања</w:t>
            </w:r>
          </w:p>
          <w:p w:rsidR="00192373" w:rsidRPr="0081082A" w:rsidRDefault="00192373" w:rsidP="00D01626">
            <w:pPr>
              <w:tabs>
                <w:tab w:val="right" w:pos="2140"/>
              </w:tabs>
              <w:spacing w:before="0"/>
              <w:rPr>
                <w:rFonts w:eastAsia="Calibri"/>
                <w:b/>
                <w:lang w:val="sr-Cyrl-RS"/>
              </w:rPr>
            </w:pPr>
            <w:r w:rsidRPr="0081082A">
              <w:rPr>
                <w:rFonts w:eastAsia="Calibri"/>
                <w:b/>
                <w:bCs/>
                <w:lang w:val="sr-Cyrl-RS"/>
              </w:rPr>
              <w:t>(формуле/једначине)</w:t>
            </w:r>
          </w:p>
        </w:tc>
        <w:tc>
          <w:tcPr>
            <w:tcW w:w="3772" w:type="pct"/>
            <w:gridSpan w:val="10"/>
            <w:tcBorders>
              <w:top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 xml:space="preserve">Просечан број незаконитости и неправилности по контроли у односу на укупан број извршених контрола израчунава се на следећи начин: </w:t>
            </w:r>
          </w:p>
          <w:p w:rsidR="00192373" w:rsidRPr="0081082A" w:rsidRDefault="00192373" w:rsidP="00D01626">
            <w:pPr>
              <w:rPr>
                <w:lang w:val="sr-Cyrl-RS"/>
              </w:rPr>
            </w:pPr>
            <w:r w:rsidRPr="0081082A">
              <w:rPr>
                <w:lang w:val="sr-Cyrl-RS"/>
              </w:rPr>
              <w:t>Укупан број незаконитости и неправилности на годишњем нивоу дели се са бројем спроведених контрола на годишњем нивоу.</w:t>
            </w:r>
          </w:p>
        </w:tc>
      </w:tr>
      <w:tr w:rsidR="00192373" w:rsidRPr="0081082A" w:rsidTr="00D01626">
        <w:tc>
          <w:tcPr>
            <w:tcW w:w="1228" w:type="pct"/>
            <w:vMerge w:val="restart"/>
            <w:tcBorders>
              <w:top w:val="single" w:sz="6" w:space="0" w:color="auto"/>
              <w:left w:val="single" w:sz="4"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Подаци о полазној вредности и години кад је измерена, као и о ранијем тренду</w:t>
            </w:r>
          </w:p>
        </w:tc>
        <w:tc>
          <w:tcPr>
            <w:tcW w:w="2664" w:type="pct"/>
            <w:gridSpan w:val="7"/>
            <w:tcBorders>
              <w:top w:val="single" w:sz="6" w:space="0" w:color="auto"/>
            </w:tcBorders>
            <w:shd w:val="clear" w:color="auto" w:fill="auto"/>
            <w:vAlign w:val="center"/>
          </w:tcPr>
          <w:p w:rsidR="00192373" w:rsidRPr="0081082A" w:rsidRDefault="00192373" w:rsidP="00D01626">
            <w:pPr>
              <w:tabs>
                <w:tab w:val="right" w:pos="2140"/>
              </w:tabs>
              <w:spacing w:before="0"/>
              <w:rPr>
                <w:rFonts w:eastAsia="Calibri"/>
                <w:bCs/>
                <w:lang w:val="sr-Cyrl-RS"/>
              </w:rPr>
            </w:pPr>
            <w:r w:rsidRPr="0081082A">
              <w:rPr>
                <w:rFonts w:eastAsia="Calibri"/>
                <w:lang w:val="sr-Cyrl-RS"/>
              </w:rPr>
              <w:t>Ранији тренд</w:t>
            </w:r>
          </w:p>
        </w:tc>
        <w:tc>
          <w:tcPr>
            <w:tcW w:w="1108" w:type="pct"/>
            <w:gridSpan w:val="3"/>
            <w:tcBorders>
              <w:top w:val="single" w:sz="6" w:space="0" w:color="auto"/>
              <w:right w:val="single" w:sz="4" w:space="0" w:color="auto"/>
            </w:tcBorders>
            <w:shd w:val="clear" w:color="auto" w:fill="auto"/>
            <w:vAlign w:val="center"/>
          </w:tcPr>
          <w:p w:rsidR="00192373" w:rsidRPr="0081082A" w:rsidRDefault="00192373" w:rsidP="00D01626">
            <w:pPr>
              <w:tabs>
                <w:tab w:val="right" w:pos="2140"/>
              </w:tabs>
              <w:spacing w:before="0"/>
              <w:jc w:val="center"/>
              <w:rPr>
                <w:rFonts w:eastAsia="Calibri"/>
                <w:bCs/>
                <w:lang w:val="sr-Cyrl-RS"/>
              </w:rPr>
            </w:pPr>
            <w:r w:rsidRPr="0081082A">
              <w:rPr>
                <w:rFonts w:eastAsia="Calibri"/>
                <w:lang w:val="sr-Cyrl-RS"/>
              </w:rPr>
              <w:t>Полазна вредност</w:t>
            </w:r>
          </w:p>
        </w:tc>
      </w:tr>
      <w:tr w:rsidR="00192373" w:rsidRPr="0081082A" w:rsidTr="00D01626">
        <w:tc>
          <w:tcPr>
            <w:tcW w:w="1228"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17"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2017.</w:t>
            </w:r>
          </w:p>
        </w:tc>
        <w:tc>
          <w:tcPr>
            <w:tcW w:w="1109"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2018.</w:t>
            </w:r>
          </w:p>
        </w:tc>
        <w:tc>
          <w:tcPr>
            <w:tcW w:w="926"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2019.</w:t>
            </w:r>
          </w:p>
        </w:tc>
        <w:tc>
          <w:tcPr>
            <w:tcW w:w="720"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 xml:space="preserve">2020. </w:t>
            </w:r>
          </w:p>
        </w:tc>
      </w:tr>
      <w:tr w:rsidR="00192373" w:rsidRPr="0081082A" w:rsidTr="00D01626">
        <w:tc>
          <w:tcPr>
            <w:tcW w:w="1228"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17" w:type="pct"/>
            <w:gridSpan w:val="2"/>
            <w:shd w:val="clear" w:color="auto" w:fill="auto"/>
          </w:tcPr>
          <w:p w:rsidR="00192373" w:rsidRPr="0081082A" w:rsidRDefault="00CD4772" w:rsidP="00D01626">
            <w:pPr>
              <w:tabs>
                <w:tab w:val="right" w:pos="2140"/>
              </w:tabs>
              <w:spacing w:before="0"/>
              <w:jc w:val="center"/>
              <w:rPr>
                <w:rFonts w:eastAsia="Calibri"/>
                <w:bCs/>
                <w:lang w:val="sr-Cyrl-RS"/>
              </w:rPr>
            </w:pPr>
            <w:r w:rsidRPr="0081082A">
              <w:rPr>
                <w:rFonts w:eastAsia="Calibri"/>
                <w:bCs/>
                <w:lang w:val="sr-Cyrl-RS"/>
              </w:rPr>
              <w:t>6</w:t>
            </w:r>
          </w:p>
        </w:tc>
        <w:tc>
          <w:tcPr>
            <w:tcW w:w="1109" w:type="pct"/>
            <w:gridSpan w:val="3"/>
            <w:shd w:val="clear" w:color="auto" w:fill="auto"/>
          </w:tcPr>
          <w:p w:rsidR="00192373" w:rsidRPr="0081082A" w:rsidRDefault="00CD4772" w:rsidP="00D01626">
            <w:pPr>
              <w:tabs>
                <w:tab w:val="right" w:pos="2140"/>
              </w:tabs>
              <w:spacing w:before="0"/>
              <w:jc w:val="center"/>
              <w:rPr>
                <w:rFonts w:eastAsia="Calibri"/>
                <w:bCs/>
                <w:lang w:val="sr-Cyrl-RS"/>
              </w:rPr>
            </w:pPr>
            <w:r w:rsidRPr="0081082A">
              <w:rPr>
                <w:rFonts w:eastAsia="Calibri"/>
                <w:bCs/>
                <w:lang w:val="sr-Cyrl-RS"/>
              </w:rPr>
              <w:t>6</w:t>
            </w:r>
          </w:p>
        </w:tc>
        <w:tc>
          <w:tcPr>
            <w:tcW w:w="926" w:type="pct"/>
            <w:gridSpan w:val="3"/>
            <w:shd w:val="clear" w:color="auto" w:fill="auto"/>
          </w:tcPr>
          <w:p w:rsidR="00192373" w:rsidRPr="0081082A" w:rsidRDefault="00CD4772" w:rsidP="00D01626">
            <w:pPr>
              <w:tabs>
                <w:tab w:val="right" w:pos="2140"/>
              </w:tabs>
              <w:spacing w:before="0"/>
              <w:jc w:val="center"/>
              <w:rPr>
                <w:rFonts w:eastAsia="Calibri"/>
                <w:bCs/>
                <w:lang w:val="sr-Cyrl-RS"/>
              </w:rPr>
            </w:pPr>
            <w:r w:rsidRPr="0081082A">
              <w:rPr>
                <w:rFonts w:eastAsia="Calibri"/>
                <w:bCs/>
                <w:lang w:val="sr-Cyrl-RS"/>
              </w:rPr>
              <w:t>3</w:t>
            </w:r>
          </w:p>
        </w:tc>
        <w:tc>
          <w:tcPr>
            <w:tcW w:w="720"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lang w:val="sr-Cyrl-RS"/>
              </w:rPr>
              <w:t>2</w:t>
            </w:r>
          </w:p>
        </w:tc>
      </w:tr>
      <w:tr w:rsidR="00192373" w:rsidRPr="0081082A" w:rsidTr="00D01626">
        <w:tc>
          <w:tcPr>
            <w:tcW w:w="1228" w:type="pct"/>
            <w:vMerge w:val="restart"/>
            <w:tcBorders>
              <w:left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Подаци о циљној вредност</w:t>
            </w:r>
          </w:p>
        </w:tc>
        <w:tc>
          <w:tcPr>
            <w:tcW w:w="805"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801"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53"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08"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05"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467"/>
        </w:trPr>
        <w:tc>
          <w:tcPr>
            <w:tcW w:w="1228"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805" w:type="pct"/>
            <w:shd w:val="clear" w:color="auto" w:fill="auto"/>
          </w:tcPr>
          <w:p w:rsidR="00192373" w:rsidRPr="0081082A" w:rsidRDefault="00192373" w:rsidP="00D01626">
            <w:pPr>
              <w:shd w:val="clear" w:color="auto" w:fill="FFFFFF"/>
              <w:jc w:val="center"/>
              <w:rPr>
                <w:lang w:val="sr-Cyrl-RS"/>
              </w:rPr>
            </w:pPr>
            <w:r w:rsidRPr="0081082A">
              <w:rPr>
                <w:lang w:val="sr-Cyrl-RS"/>
              </w:rPr>
              <w:t>2</w:t>
            </w:r>
          </w:p>
          <w:p w:rsidR="00192373" w:rsidRPr="0081082A" w:rsidRDefault="00192373" w:rsidP="00D01626">
            <w:pPr>
              <w:shd w:val="clear" w:color="auto" w:fill="FFFFFF"/>
              <w:rPr>
                <w:lang w:val="sr-Cyrl-RS"/>
              </w:rPr>
            </w:pPr>
          </w:p>
        </w:tc>
        <w:tc>
          <w:tcPr>
            <w:tcW w:w="801" w:type="pct"/>
            <w:gridSpan w:val="2"/>
            <w:shd w:val="clear" w:color="auto" w:fill="auto"/>
          </w:tcPr>
          <w:p w:rsidR="00192373" w:rsidRPr="0081082A" w:rsidRDefault="00192373" w:rsidP="00D01626">
            <w:pPr>
              <w:shd w:val="clear" w:color="auto" w:fill="FFFFFF"/>
              <w:jc w:val="center"/>
              <w:rPr>
                <w:lang w:val="sr-Cyrl-RS"/>
              </w:rPr>
            </w:pPr>
            <w:r w:rsidRPr="0081082A">
              <w:rPr>
                <w:lang w:val="sr-Cyrl-RS"/>
              </w:rPr>
              <w:t>2</w:t>
            </w:r>
          </w:p>
          <w:p w:rsidR="00192373" w:rsidRPr="0081082A" w:rsidRDefault="00192373" w:rsidP="00D01626">
            <w:pPr>
              <w:shd w:val="clear" w:color="auto" w:fill="FFFFFF"/>
              <w:rPr>
                <w:lang w:val="sr-Cyrl-RS"/>
              </w:rPr>
            </w:pPr>
          </w:p>
        </w:tc>
        <w:tc>
          <w:tcPr>
            <w:tcW w:w="753" w:type="pct"/>
            <w:gridSpan w:val="3"/>
            <w:shd w:val="clear" w:color="auto" w:fill="auto"/>
          </w:tcPr>
          <w:p w:rsidR="00192373" w:rsidRPr="0081082A" w:rsidRDefault="00192373" w:rsidP="00D01626">
            <w:pPr>
              <w:shd w:val="clear" w:color="auto" w:fill="FFFFFF"/>
              <w:jc w:val="center"/>
              <w:rPr>
                <w:lang w:val="sr-Cyrl-RS"/>
              </w:rPr>
            </w:pPr>
            <w:r w:rsidRPr="0081082A">
              <w:rPr>
                <w:lang w:val="sr-Cyrl-RS"/>
              </w:rPr>
              <w:t>2</w:t>
            </w:r>
          </w:p>
          <w:p w:rsidR="00192373" w:rsidRPr="0081082A" w:rsidRDefault="00192373" w:rsidP="00D01626">
            <w:pPr>
              <w:spacing w:before="0"/>
              <w:jc w:val="center"/>
              <w:rPr>
                <w:rFonts w:eastAsia="Calibri"/>
                <w:bCs/>
                <w:lang w:val="sr-Cyrl-RS"/>
              </w:rPr>
            </w:pPr>
          </w:p>
        </w:tc>
        <w:tc>
          <w:tcPr>
            <w:tcW w:w="708" w:type="pct"/>
            <w:gridSpan w:val="3"/>
            <w:shd w:val="clear" w:color="auto" w:fill="auto"/>
          </w:tcPr>
          <w:p w:rsidR="00192373" w:rsidRPr="0081082A" w:rsidRDefault="00192373" w:rsidP="00D01626">
            <w:pPr>
              <w:shd w:val="clear" w:color="auto" w:fill="FFFFFF"/>
              <w:jc w:val="center"/>
              <w:rPr>
                <w:lang w:val="sr-Cyrl-RS"/>
              </w:rPr>
            </w:pPr>
            <w:r w:rsidRPr="0081082A">
              <w:rPr>
                <w:lang w:val="sr-Cyrl-RS"/>
              </w:rPr>
              <w:t>1</w:t>
            </w:r>
          </w:p>
          <w:p w:rsidR="00192373" w:rsidRPr="0081082A" w:rsidRDefault="00192373" w:rsidP="00D01626">
            <w:pPr>
              <w:spacing w:before="0"/>
              <w:jc w:val="center"/>
              <w:rPr>
                <w:rFonts w:eastAsia="Calibri"/>
                <w:bCs/>
                <w:lang w:val="sr-Cyrl-RS"/>
              </w:rPr>
            </w:pPr>
          </w:p>
        </w:tc>
        <w:tc>
          <w:tcPr>
            <w:tcW w:w="705" w:type="pct"/>
            <w:tcBorders>
              <w:right w:val="single" w:sz="4" w:space="0" w:color="auto"/>
            </w:tcBorders>
            <w:shd w:val="clear" w:color="auto" w:fill="auto"/>
          </w:tcPr>
          <w:p w:rsidR="00192373" w:rsidRPr="0081082A" w:rsidRDefault="00192373" w:rsidP="00D01626">
            <w:pPr>
              <w:shd w:val="clear" w:color="auto" w:fill="FFFFFF"/>
              <w:jc w:val="center"/>
              <w:rPr>
                <w:lang w:val="sr-Cyrl-RS"/>
              </w:rPr>
            </w:pPr>
            <w:r w:rsidRPr="0081082A">
              <w:rPr>
                <w:lang w:val="sr-Cyrl-RS"/>
              </w:rPr>
              <w:t>1</w:t>
            </w:r>
          </w:p>
          <w:p w:rsidR="00192373" w:rsidRPr="0081082A" w:rsidRDefault="00192373" w:rsidP="00D01626">
            <w:pPr>
              <w:spacing w:before="0"/>
              <w:jc w:val="center"/>
              <w:rPr>
                <w:rFonts w:eastAsia="Calibri"/>
                <w:bCs/>
                <w:lang w:val="sr-Cyrl-RS"/>
              </w:rPr>
            </w:pPr>
          </w:p>
        </w:tc>
      </w:tr>
      <w:tr w:rsidR="00192373" w:rsidRPr="0081082A" w:rsidTr="00D01626">
        <w:tc>
          <w:tcPr>
            <w:tcW w:w="1228" w:type="pct"/>
            <w:tcBorders>
              <w:left w:val="single" w:sz="4" w:space="0" w:color="auto"/>
              <w:bottom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Процена успешности:</w:t>
            </w:r>
          </w:p>
        </w:tc>
        <w:tc>
          <w:tcPr>
            <w:tcW w:w="3772" w:type="pct"/>
            <w:gridSpan w:val="10"/>
            <w:tcBorders>
              <w:bottom w:val="single" w:sz="4" w:space="0" w:color="auto"/>
              <w:right w:val="single" w:sz="4" w:space="0" w:color="auto"/>
            </w:tcBorders>
            <w:shd w:val="clear" w:color="auto" w:fill="auto"/>
          </w:tcPr>
          <w:p w:rsidR="00192373" w:rsidRPr="0081082A" w:rsidRDefault="00192373" w:rsidP="00D01626">
            <w:pPr>
              <w:rPr>
                <w:lang w:val="sr-Cyrl-RS"/>
              </w:rPr>
            </w:pPr>
            <w:r w:rsidRPr="0081082A">
              <w:rPr>
                <w:color w:val="000000" w:themeColor="text1"/>
                <w:lang w:val="sr-Cyrl-RS"/>
              </w:rPr>
              <w:t>Смањени број установљених неправилности, одступање од 10% је прихватљиво</w:t>
            </w:r>
          </w:p>
        </w:tc>
      </w:tr>
    </w:tbl>
    <w:p w:rsidR="00192373" w:rsidRPr="0081082A" w:rsidRDefault="00192373" w:rsidP="00192373">
      <w:pPr>
        <w:spacing w:after="120"/>
        <w:rPr>
          <w:b/>
          <w:bCs/>
          <w:color w:val="2F5496"/>
          <w:lang w:val="sr-Cyrl-RS"/>
        </w:rPr>
      </w:pPr>
    </w:p>
    <w:tbl>
      <w:tblPr>
        <w:tblW w:w="5031"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284"/>
        <w:gridCol w:w="1512"/>
        <w:gridCol w:w="404"/>
        <w:gridCol w:w="1112"/>
        <w:gridCol w:w="471"/>
        <w:gridCol w:w="513"/>
        <w:gridCol w:w="417"/>
        <w:gridCol w:w="554"/>
        <w:gridCol w:w="723"/>
        <w:gridCol w:w="22"/>
        <w:gridCol w:w="1287"/>
      </w:tblGrid>
      <w:tr w:rsidR="00192373" w:rsidRPr="0081082A" w:rsidTr="00D01626">
        <w:tc>
          <w:tcPr>
            <w:tcW w:w="1228" w:type="pct"/>
            <w:tcBorders>
              <w:top w:val="single" w:sz="4" w:space="0" w:color="auto"/>
              <w:lef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Назив </w:t>
            </w:r>
            <w:r w:rsidR="00545897" w:rsidRPr="0081082A">
              <w:rPr>
                <w:rFonts w:eastAsia="Calibri"/>
                <w:b/>
                <w:lang w:val="sr-Cyrl-RS"/>
              </w:rPr>
              <w:t>показатеља</w:t>
            </w:r>
          </w:p>
        </w:tc>
        <w:tc>
          <w:tcPr>
            <w:tcW w:w="3772" w:type="pct"/>
            <w:gridSpan w:val="10"/>
            <w:tcBorders>
              <w:top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i/>
                <w:lang w:val="sr-Cyrl-RS"/>
              </w:rPr>
            </w:pPr>
            <w:r w:rsidRPr="0081082A">
              <w:rPr>
                <w:b/>
                <w:lang w:val="sr-Cyrl-RS"/>
              </w:rPr>
              <w:t>Проценат прихваћених и спроведених препорука које субјектима индиректног управљања средствима ЕУ даје ревизорско тело</w:t>
            </w:r>
          </w:p>
        </w:tc>
      </w:tr>
      <w:tr w:rsidR="00192373" w:rsidRPr="0081082A" w:rsidTr="00D01626">
        <w:tc>
          <w:tcPr>
            <w:tcW w:w="1228" w:type="pct"/>
            <w:tcBorders>
              <w:top w:val="single" w:sz="4"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Одговарајући општи циљ, посебан циљ или мера</w:t>
            </w:r>
          </w:p>
        </w:tc>
        <w:tc>
          <w:tcPr>
            <w:tcW w:w="3772" w:type="pct"/>
            <w:gridSpan w:val="10"/>
            <w:tcBorders>
              <w:top w:val="single" w:sz="4" w:space="0" w:color="auto"/>
              <w:right w:val="single" w:sz="4" w:space="0" w:color="auto"/>
            </w:tcBorders>
            <w:shd w:val="clear" w:color="auto" w:fill="auto"/>
          </w:tcPr>
          <w:p w:rsidR="00192373" w:rsidRPr="0081082A" w:rsidRDefault="00192373" w:rsidP="00D01626">
            <w:pPr>
              <w:tabs>
                <w:tab w:val="right" w:pos="2140"/>
              </w:tabs>
              <w:spacing w:before="0"/>
              <w:rPr>
                <w:rFonts w:eastAsia="Calibri"/>
                <w:lang w:val="sr-Cyrl-RS"/>
              </w:rPr>
            </w:pPr>
            <w:r w:rsidRPr="0081082A">
              <w:rPr>
                <w:rFonts w:eastAsia="Calibri"/>
                <w:lang w:val="sr-Cyrl-RS"/>
              </w:rPr>
              <w:t>Посебан циљ 3</w:t>
            </w:r>
            <w:r w:rsidRPr="0081082A">
              <w:rPr>
                <w:rFonts w:eastAsia="Calibri"/>
                <w:bCs/>
                <w:lang w:val="sr-Cyrl-RS"/>
              </w:rPr>
              <w:t xml:space="preserve">: </w:t>
            </w:r>
            <w:r w:rsidRPr="0081082A">
              <w:rPr>
                <w:bCs/>
                <w:lang w:val="sr-Cyrl-RS"/>
              </w:rPr>
              <w:t>Унапређење буџетске дисциплине и транспарентније коришћење јавних средстава</w:t>
            </w:r>
          </w:p>
        </w:tc>
      </w:tr>
      <w:tr w:rsidR="00192373" w:rsidRPr="0081082A" w:rsidTr="00D01626">
        <w:tc>
          <w:tcPr>
            <w:tcW w:w="1228"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Тип показатеља </w:t>
            </w:r>
          </w:p>
        </w:tc>
        <w:tc>
          <w:tcPr>
            <w:tcW w:w="1881" w:type="pct"/>
            <w:gridSpan w:val="4"/>
            <w:tcBorders>
              <w:right w:val="single" w:sz="4" w:space="0" w:color="auto"/>
            </w:tcBorders>
            <w:shd w:val="clear" w:color="auto" w:fill="auto"/>
          </w:tcPr>
          <w:p w:rsidR="00192373" w:rsidRPr="0081082A" w:rsidRDefault="00192373" w:rsidP="00D01626">
            <w:pPr>
              <w:rPr>
                <w:lang w:val="sr-Cyrl-RS"/>
              </w:rPr>
            </w:pPr>
            <w:r w:rsidRPr="0081082A">
              <w:rPr>
                <w:lang w:val="sr-Cyrl-RS"/>
              </w:rPr>
              <w:t>Квантитативни</w:t>
            </w:r>
          </w:p>
        </w:tc>
        <w:tc>
          <w:tcPr>
            <w:tcW w:w="1891" w:type="pct"/>
            <w:gridSpan w:val="6"/>
            <w:tcBorders>
              <w:right w:val="single" w:sz="4" w:space="0" w:color="auto"/>
            </w:tcBorders>
            <w:shd w:val="clear" w:color="auto" w:fill="auto"/>
          </w:tcPr>
          <w:p w:rsidR="00192373" w:rsidRPr="0081082A" w:rsidRDefault="00192373" w:rsidP="00D01626">
            <w:pPr>
              <w:rPr>
                <w:lang w:val="sr-Cyrl-RS"/>
              </w:rPr>
            </w:pPr>
            <w:r w:rsidRPr="0081082A">
              <w:rPr>
                <w:lang w:val="sr-Cyrl-RS"/>
              </w:rPr>
              <w:t>Ниво посебног циља ПРУЈФ</w:t>
            </w:r>
          </w:p>
        </w:tc>
      </w:tr>
      <w:tr w:rsidR="00192373" w:rsidRPr="0081082A" w:rsidTr="00D01626">
        <w:tc>
          <w:tcPr>
            <w:tcW w:w="1228" w:type="pct"/>
            <w:tcBorders>
              <w:top w:val="single" w:sz="6"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Јединица мере и природа</w:t>
            </w:r>
          </w:p>
        </w:tc>
        <w:tc>
          <w:tcPr>
            <w:tcW w:w="1881" w:type="pct"/>
            <w:gridSpan w:val="4"/>
            <w:tcBorders>
              <w:top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Проценат</w:t>
            </w:r>
          </w:p>
        </w:tc>
        <w:tc>
          <w:tcPr>
            <w:tcW w:w="1891" w:type="pct"/>
            <w:gridSpan w:val="6"/>
            <w:tcBorders>
              <w:top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Већа вредност је боља</w:t>
            </w:r>
          </w:p>
        </w:tc>
      </w:tr>
      <w:tr w:rsidR="00192373" w:rsidRPr="0081082A" w:rsidTr="00D01626">
        <w:tc>
          <w:tcPr>
            <w:tcW w:w="1228"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lastRenderedPageBreak/>
              <w:t>Извор података</w:t>
            </w:r>
          </w:p>
        </w:tc>
        <w:tc>
          <w:tcPr>
            <w:tcW w:w="3772" w:type="pct"/>
            <w:gridSpan w:val="10"/>
            <w:tcBorders>
              <w:bottom w:val="single" w:sz="4" w:space="0" w:color="auto"/>
              <w:right w:val="single" w:sz="4" w:space="0" w:color="auto"/>
            </w:tcBorders>
            <w:shd w:val="clear" w:color="auto" w:fill="auto"/>
          </w:tcPr>
          <w:p w:rsidR="00192373" w:rsidRPr="0081082A" w:rsidRDefault="00192373" w:rsidP="00D01626">
            <w:pPr>
              <w:rPr>
                <w:lang w:val="sr-Cyrl-RS"/>
              </w:rPr>
            </w:pPr>
            <w:r w:rsidRPr="0081082A">
              <w:rPr>
                <w:lang w:val="sr-Cyrl-RS"/>
              </w:rPr>
              <w:t xml:space="preserve">Годишњи извештај о ревизији </w:t>
            </w:r>
          </w:p>
        </w:tc>
      </w:tr>
      <w:tr w:rsidR="00192373" w:rsidRPr="0081082A" w:rsidTr="00D01626">
        <w:tc>
          <w:tcPr>
            <w:tcW w:w="1228" w:type="pct"/>
            <w:tcBorders>
              <w:left w:val="single" w:sz="4" w:space="0" w:color="auto"/>
              <w:bottom w:val="single" w:sz="6"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Назив носиоца прикупљања података</w:t>
            </w:r>
          </w:p>
        </w:tc>
        <w:tc>
          <w:tcPr>
            <w:tcW w:w="3772" w:type="pct"/>
            <w:gridSpan w:val="10"/>
            <w:tcBorders>
              <w:bottom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Канцеларија за ревизију система управљања средствима ЕУ</w:t>
            </w:r>
          </w:p>
          <w:p w:rsidR="00192373" w:rsidRPr="0081082A" w:rsidRDefault="00192373" w:rsidP="00D01626">
            <w:pPr>
              <w:rPr>
                <w:lang w:val="sr-Cyrl-RS"/>
              </w:rPr>
            </w:pPr>
            <w:r w:rsidRPr="0081082A">
              <w:rPr>
                <w:lang w:val="sr-Cyrl-RS"/>
              </w:rPr>
              <w:t>МФ, Сектор за управљање средствима ЕУ</w:t>
            </w:r>
          </w:p>
        </w:tc>
      </w:tr>
      <w:tr w:rsidR="00192373" w:rsidRPr="0081082A" w:rsidTr="00D01626">
        <w:tc>
          <w:tcPr>
            <w:tcW w:w="1228" w:type="pct"/>
            <w:tcBorders>
              <w:top w:val="single" w:sz="6"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Учесталост</w:t>
            </w:r>
          </w:p>
        </w:tc>
        <w:tc>
          <w:tcPr>
            <w:tcW w:w="3772" w:type="pct"/>
            <w:gridSpan w:val="10"/>
            <w:tcBorders>
              <w:top w:val="single" w:sz="6" w:space="0" w:color="auto"/>
              <w:bottom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Једном годишње</w:t>
            </w:r>
          </w:p>
        </w:tc>
      </w:tr>
      <w:tr w:rsidR="00192373" w:rsidRPr="0081082A" w:rsidTr="00D01626">
        <w:trPr>
          <w:trHeight w:val="1181"/>
        </w:trPr>
        <w:tc>
          <w:tcPr>
            <w:tcW w:w="1228" w:type="pct"/>
            <w:tcBorders>
              <w:top w:val="single" w:sz="6" w:space="0" w:color="auto"/>
              <w:left w:val="single" w:sz="4" w:space="0" w:color="auto"/>
              <w:bottom w:val="single" w:sz="6"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Кратак опис показатеља и методологије израчунавања</w:t>
            </w:r>
          </w:p>
          <w:p w:rsidR="00192373" w:rsidRPr="0081082A" w:rsidRDefault="00192373" w:rsidP="00D01626">
            <w:pPr>
              <w:tabs>
                <w:tab w:val="right" w:pos="2140"/>
              </w:tabs>
              <w:spacing w:before="0"/>
              <w:rPr>
                <w:rFonts w:eastAsia="Calibri"/>
                <w:b/>
                <w:lang w:val="sr-Cyrl-RS"/>
              </w:rPr>
            </w:pPr>
            <w:r w:rsidRPr="0081082A">
              <w:rPr>
                <w:rFonts w:eastAsia="Calibri"/>
                <w:b/>
                <w:bCs/>
                <w:lang w:val="sr-Cyrl-RS"/>
              </w:rPr>
              <w:t>(формуле/једначине)</w:t>
            </w:r>
          </w:p>
        </w:tc>
        <w:tc>
          <w:tcPr>
            <w:tcW w:w="3772" w:type="pct"/>
            <w:gridSpan w:val="10"/>
            <w:tcBorders>
              <w:top w:val="single" w:sz="6" w:space="0" w:color="auto"/>
              <w:right w:val="single" w:sz="4" w:space="0" w:color="auto"/>
            </w:tcBorders>
            <w:shd w:val="clear" w:color="auto" w:fill="auto"/>
          </w:tcPr>
          <w:p w:rsidR="00192373" w:rsidRPr="0081082A" w:rsidRDefault="00192373" w:rsidP="00D01626">
            <w:pPr>
              <w:rPr>
                <w:lang w:val="sr-Cyrl-RS"/>
              </w:rPr>
            </w:pPr>
            <w:r w:rsidRPr="0081082A">
              <w:rPr>
                <w:lang w:val="sr-Cyrl-RS"/>
              </w:rPr>
              <w:t xml:space="preserve">Показатељ указује на ефикасност целокупног система управљања средствима Европске уније будући да истовремено показује ефикасност ревизорског тела и свих субјеката индиректног управљања средствима ЕУ. Ревизорске препоруке су усмерене на унапређење целокупног система. </w:t>
            </w:r>
          </w:p>
          <w:p w:rsidR="00192373" w:rsidRPr="0081082A" w:rsidRDefault="00192373" w:rsidP="00D01626">
            <w:pPr>
              <w:rPr>
                <w:lang w:val="sr-Cyrl-RS"/>
              </w:rPr>
            </w:pPr>
            <w:r w:rsidRPr="0081082A">
              <w:rPr>
                <w:lang w:val="sr-Cyrl-RS"/>
              </w:rPr>
              <w:t xml:space="preserve">Показатељ се мери се на годишњем нивоу, узимајући у обзир препоруке које су дате у текућој години и затворене у n+2 (Усвајање препорука датих у 2018. години мери се у 2020. години) </w:t>
            </w:r>
          </w:p>
        </w:tc>
      </w:tr>
      <w:tr w:rsidR="00192373" w:rsidRPr="0081082A" w:rsidTr="00D01626">
        <w:tc>
          <w:tcPr>
            <w:tcW w:w="1228" w:type="pct"/>
            <w:vMerge w:val="restart"/>
            <w:tcBorders>
              <w:top w:val="single" w:sz="6" w:space="0" w:color="auto"/>
              <w:left w:val="single" w:sz="4"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Подаци о полазној вредности и години кад је измерена, као и о ранијем тренду</w:t>
            </w:r>
          </w:p>
        </w:tc>
        <w:tc>
          <w:tcPr>
            <w:tcW w:w="2679" w:type="pct"/>
            <w:gridSpan w:val="7"/>
            <w:tcBorders>
              <w:top w:val="single" w:sz="6" w:space="0" w:color="auto"/>
            </w:tcBorders>
            <w:shd w:val="clear" w:color="auto" w:fill="auto"/>
            <w:vAlign w:val="center"/>
          </w:tcPr>
          <w:p w:rsidR="00192373" w:rsidRPr="0081082A" w:rsidRDefault="00192373" w:rsidP="00D01626">
            <w:pPr>
              <w:tabs>
                <w:tab w:val="right" w:pos="2140"/>
              </w:tabs>
              <w:spacing w:before="0"/>
              <w:rPr>
                <w:rFonts w:eastAsia="Calibri"/>
                <w:bCs/>
                <w:lang w:val="sr-Cyrl-RS"/>
              </w:rPr>
            </w:pPr>
            <w:r w:rsidRPr="0081082A">
              <w:rPr>
                <w:rFonts w:eastAsia="Calibri"/>
                <w:lang w:val="sr-Cyrl-RS"/>
              </w:rPr>
              <w:t>Ранији тренд</w:t>
            </w:r>
          </w:p>
        </w:tc>
        <w:tc>
          <w:tcPr>
            <w:tcW w:w="1093" w:type="pct"/>
            <w:gridSpan w:val="3"/>
            <w:tcBorders>
              <w:top w:val="single" w:sz="6" w:space="0" w:color="auto"/>
              <w:right w:val="single" w:sz="4" w:space="0" w:color="auto"/>
            </w:tcBorders>
            <w:shd w:val="clear" w:color="auto" w:fill="auto"/>
            <w:vAlign w:val="center"/>
          </w:tcPr>
          <w:p w:rsidR="00192373" w:rsidRPr="0081082A" w:rsidRDefault="00192373" w:rsidP="00D01626">
            <w:pPr>
              <w:tabs>
                <w:tab w:val="right" w:pos="2140"/>
              </w:tabs>
              <w:spacing w:before="0"/>
              <w:jc w:val="center"/>
              <w:rPr>
                <w:rFonts w:eastAsia="Calibri"/>
                <w:bCs/>
                <w:lang w:val="sr-Cyrl-RS"/>
              </w:rPr>
            </w:pPr>
            <w:r w:rsidRPr="0081082A">
              <w:rPr>
                <w:rFonts w:eastAsia="Calibri"/>
                <w:lang w:val="sr-Cyrl-RS"/>
              </w:rPr>
              <w:t>Полазна вредност</w:t>
            </w:r>
          </w:p>
        </w:tc>
      </w:tr>
      <w:tr w:rsidR="00192373" w:rsidRPr="0081082A" w:rsidTr="00D01626">
        <w:tc>
          <w:tcPr>
            <w:tcW w:w="1228"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30"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2016.</w:t>
            </w:r>
          </w:p>
        </w:tc>
        <w:tc>
          <w:tcPr>
            <w:tcW w:w="1127"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2017.</w:t>
            </w:r>
          </w:p>
        </w:tc>
        <w:tc>
          <w:tcPr>
            <w:tcW w:w="911"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2018.</w:t>
            </w:r>
          </w:p>
        </w:tc>
        <w:tc>
          <w:tcPr>
            <w:tcW w:w="704"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 xml:space="preserve">2020. </w:t>
            </w:r>
          </w:p>
        </w:tc>
      </w:tr>
      <w:tr w:rsidR="00192373" w:rsidRPr="0081082A" w:rsidTr="00D01626">
        <w:tc>
          <w:tcPr>
            <w:tcW w:w="1228"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30" w:type="pct"/>
            <w:gridSpan w:val="2"/>
            <w:shd w:val="clear" w:color="auto" w:fill="auto"/>
          </w:tcPr>
          <w:p w:rsidR="00192373" w:rsidRPr="0081082A" w:rsidRDefault="00192373" w:rsidP="00D01626">
            <w:pPr>
              <w:tabs>
                <w:tab w:val="right" w:pos="2140"/>
              </w:tabs>
              <w:spacing w:before="0"/>
              <w:jc w:val="center"/>
              <w:rPr>
                <w:rFonts w:eastAsia="Calibri"/>
                <w:bCs/>
                <w:lang w:val="sr-Cyrl-RS"/>
              </w:rPr>
            </w:pPr>
          </w:p>
        </w:tc>
        <w:tc>
          <w:tcPr>
            <w:tcW w:w="1127" w:type="pct"/>
            <w:gridSpan w:val="3"/>
            <w:shd w:val="clear" w:color="auto" w:fill="auto"/>
          </w:tcPr>
          <w:p w:rsidR="00192373" w:rsidRPr="0081082A" w:rsidRDefault="00192373" w:rsidP="00D01626">
            <w:pPr>
              <w:tabs>
                <w:tab w:val="right" w:pos="2140"/>
              </w:tabs>
              <w:spacing w:before="0"/>
              <w:jc w:val="center"/>
              <w:rPr>
                <w:rFonts w:eastAsia="Calibri"/>
                <w:bCs/>
                <w:lang w:val="sr-Cyrl-RS"/>
              </w:rPr>
            </w:pPr>
          </w:p>
        </w:tc>
        <w:tc>
          <w:tcPr>
            <w:tcW w:w="911" w:type="pct"/>
            <w:gridSpan w:val="3"/>
            <w:shd w:val="clear" w:color="auto" w:fill="auto"/>
          </w:tcPr>
          <w:p w:rsidR="00192373" w:rsidRPr="0081082A" w:rsidRDefault="00192373" w:rsidP="00D01626">
            <w:pPr>
              <w:tabs>
                <w:tab w:val="right" w:pos="2140"/>
              </w:tabs>
              <w:spacing w:before="0"/>
              <w:jc w:val="center"/>
              <w:rPr>
                <w:rFonts w:eastAsia="Calibri"/>
                <w:bCs/>
                <w:lang w:val="sr-Cyrl-RS"/>
              </w:rPr>
            </w:pPr>
          </w:p>
        </w:tc>
        <w:tc>
          <w:tcPr>
            <w:tcW w:w="704"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0</w:t>
            </w:r>
          </w:p>
        </w:tc>
      </w:tr>
      <w:tr w:rsidR="00192373" w:rsidRPr="0081082A" w:rsidTr="00D01626">
        <w:tc>
          <w:tcPr>
            <w:tcW w:w="1228" w:type="pct"/>
            <w:vMerge w:val="restart"/>
            <w:tcBorders>
              <w:left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Подаци о циљној вредност</w:t>
            </w:r>
          </w:p>
        </w:tc>
        <w:tc>
          <w:tcPr>
            <w:tcW w:w="813"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815"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53"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699"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692"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c>
          <w:tcPr>
            <w:tcW w:w="1228"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813" w:type="pct"/>
            <w:shd w:val="clear" w:color="auto" w:fill="auto"/>
            <w:vAlign w:val="center"/>
          </w:tcPr>
          <w:p w:rsidR="00192373" w:rsidRPr="0081082A" w:rsidRDefault="00192373" w:rsidP="00D01626">
            <w:pPr>
              <w:shd w:val="clear" w:color="auto" w:fill="FFFFFF"/>
              <w:jc w:val="center"/>
              <w:rPr>
                <w:lang w:val="sr-Cyrl-RS"/>
              </w:rPr>
            </w:pPr>
            <w:r w:rsidRPr="0081082A">
              <w:rPr>
                <w:lang w:val="sr-Cyrl-RS"/>
              </w:rPr>
              <w:t>50%</w:t>
            </w:r>
          </w:p>
        </w:tc>
        <w:tc>
          <w:tcPr>
            <w:tcW w:w="815" w:type="pct"/>
            <w:gridSpan w:val="2"/>
            <w:shd w:val="clear" w:color="auto" w:fill="auto"/>
            <w:vAlign w:val="center"/>
          </w:tcPr>
          <w:p w:rsidR="00192373" w:rsidRPr="0081082A" w:rsidRDefault="00192373" w:rsidP="00D01626">
            <w:pPr>
              <w:shd w:val="clear" w:color="auto" w:fill="FFFFFF"/>
              <w:jc w:val="center"/>
              <w:rPr>
                <w:lang w:val="sr-Cyrl-RS"/>
              </w:rPr>
            </w:pPr>
            <w:r w:rsidRPr="0081082A">
              <w:rPr>
                <w:lang w:val="sr-Cyrl-RS"/>
              </w:rPr>
              <w:t>55%</w:t>
            </w:r>
          </w:p>
        </w:tc>
        <w:tc>
          <w:tcPr>
            <w:tcW w:w="753" w:type="pct"/>
            <w:gridSpan w:val="3"/>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60%</w:t>
            </w:r>
          </w:p>
        </w:tc>
        <w:tc>
          <w:tcPr>
            <w:tcW w:w="699" w:type="pct"/>
            <w:gridSpan w:val="3"/>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65%</w:t>
            </w:r>
          </w:p>
        </w:tc>
        <w:tc>
          <w:tcPr>
            <w:tcW w:w="692" w:type="pct"/>
            <w:tcBorders>
              <w:right w:val="single" w:sz="4" w:space="0" w:color="auto"/>
            </w:tcBorders>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70%</w:t>
            </w:r>
          </w:p>
        </w:tc>
      </w:tr>
      <w:tr w:rsidR="00192373" w:rsidRPr="0081082A" w:rsidTr="00D01626">
        <w:tc>
          <w:tcPr>
            <w:tcW w:w="1228" w:type="pct"/>
            <w:tcBorders>
              <w:left w:val="single" w:sz="4" w:space="0" w:color="auto"/>
              <w:bottom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Процена успешности:</w:t>
            </w:r>
          </w:p>
        </w:tc>
        <w:tc>
          <w:tcPr>
            <w:tcW w:w="3772" w:type="pct"/>
            <w:gridSpan w:val="10"/>
            <w:tcBorders>
              <w:bottom w:val="single" w:sz="4" w:space="0" w:color="auto"/>
              <w:right w:val="single" w:sz="4" w:space="0" w:color="auto"/>
            </w:tcBorders>
            <w:shd w:val="clear" w:color="auto" w:fill="auto"/>
          </w:tcPr>
          <w:p w:rsidR="00192373" w:rsidRPr="0081082A" w:rsidRDefault="00192373" w:rsidP="00D01626">
            <w:pPr>
              <w:rPr>
                <w:color w:val="FF0000"/>
                <w:lang w:val="sr-Cyrl-RS"/>
              </w:rPr>
            </w:pPr>
            <w:r w:rsidRPr="0081082A">
              <w:rPr>
                <w:color w:val="000000" w:themeColor="text1"/>
                <w:lang w:val="sr-Cyrl-RS"/>
              </w:rPr>
              <w:t>Повећање и одржавање прихваћених и спроведених препорука, одступање од 10% је прихватљиво</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посебног циља 4.</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025"/>
        <w:gridCol w:w="36"/>
        <w:gridCol w:w="768"/>
        <w:gridCol w:w="794"/>
        <w:gridCol w:w="387"/>
        <w:gridCol w:w="418"/>
        <w:gridCol w:w="795"/>
        <w:gridCol w:w="241"/>
        <w:gridCol w:w="35"/>
        <w:gridCol w:w="477"/>
        <w:gridCol w:w="652"/>
        <w:gridCol w:w="456"/>
        <w:gridCol w:w="205"/>
        <w:gridCol w:w="651"/>
        <w:gridCol w:w="651"/>
        <w:gridCol w:w="651"/>
      </w:tblGrid>
      <w:tr w:rsidR="00192373" w:rsidRPr="0081082A" w:rsidTr="00D01626">
        <w:tc>
          <w:tcPr>
            <w:tcW w:w="111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Назив индикатора</w:t>
            </w:r>
          </w:p>
        </w:tc>
        <w:tc>
          <w:tcPr>
            <w:tcW w:w="3881" w:type="pct"/>
            <w:gridSpan w:val="14"/>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b/>
                <w:color w:val="000000"/>
                <w:lang w:val="sr-Cyrl-RS"/>
              </w:rPr>
            </w:pPr>
            <w:r w:rsidRPr="0081082A">
              <w:rPr>
                <w:b/>
                <w:color w:val="000000"/>
                <w:lang w:val="sr-Cyrl-RS"/>
              </w:rPr>
              <w:t>Идентификован напредак који се односи на ИФКЈ у оквиру ЕК извештаја о напретку Републике Србије за одређену годину</w:t>
            </w:r>
          </w:p>
        </w:tc>
      </w:tr>
      <w:tr w:rsidR="00192373" w:rsidRPr="0081082A" w:rsidTr="00D01626">
        <w:tc>
          <w:tcPr>
            <w:tcW w:w="111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Одговарајући општи циљ, посебан циљ или мера</w:t>
            </w:r>
          </w:p>
        </w:tc>
        <w:tc>
          <w:tcPr>
            <w:tcW w:w="3881" w:type="pct"/>
            <w:gridSpan w:val="14"/>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b/>
                <w:color w:val="000000"/>
                <w:lang w:val="sr-Cyrl-RS"/>
              </w:rPr>
            </w:pPr>
            <w:r w:rsidRPr="0081082A">
              <w:rPr>
                <w:b/>
                <w:color w:val="000000"/>
                <w:lang w:val="sr-Cyrl-RS"/>
              </w:rPr>
              <w:t>Посебан циљ 4: Унапређење примене система интерне финансијске контроле у јавном сектору</w:t>
            </w:r>
          </w:p>
        </w:tc>
      </w:tr>
      <w:tr w:rsidR="00192373" w:rsidRPr="0081082A" w:rsidTr="00D01626">
        <w:tc>
          <w:tcPr>
            <w:tcW w:w="1105"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Тип показатеља </w:t>
            </w:r>
          </w:p>
        </w:tc>
        <w:tc>
          <w:tcPr>
            <w:tcW w:w="1848" w:type="pct"/>
            <w:gridSpan w:val="7"/>
            <w:tcBorders>
              <w:right w:val="single" w:sz="4" w:space="0" w:color="auto"/>
            </w:tcBorders>
            <w:shd w:val="clear" w:color="auto" w:fill="auto"/>
          </w:tcPr>
          <w:p w:rsidR="00192373" w:rsidRPr="0081082A" w:rsidRDefault="00192373" w:rsidP="00D01626">
            <w:pPr>
              <w:rPr>
                <w:lang w:val="sr-Cyrl-RS"/>
              </w:rPr>
            </w:pPr>
            <w:r w:rsidRPr="0081082A">
              <w:rPr>
                <w:lang w:val="sr-Cyrl-RS"/>
              </w:rPr>
              <w:t>Квалитативни</w:t>
            </w:r>
          </w:p>
        </w:tc>
        <w:tc>
          <w:tcPr>
            <w:tcW w:w="2048" w:type="pct"/>
            <w:gridSpan w:val="8"/>
            <w:tcBorders>
              <w:right w:val="single" w:sz="4" w:space="0" w:color="auto"/>
            </w:tcBorders>
            <w:shd w:val="clear" w:color="auto" w:fill="auto"/>
          </w:tcPr>
          <w:p w:rsidR="00192373" w:rsidRPr="0081082A" w:rsidRDefault="00192373" w:rsidP="00D01626">
            <w:pPr>
              <w:rPr>
                <w:lang w:val="sr-Cyrl-RS"/>
              </w:rPr>
            </w:pPr>
            <w:r w:rsidRPr="0081082A">
              <w:rPr>
                <w:bCs/>
                <w:lang w:val="sr-Cyrl-RS"/>
              </w:rPr>
              <w:t>Показатељ на нивоу посебног циља ПРУЈФ</w:t>
            </w:r>
          </w:p>
        </w:tc>
      </w:tr>
      <w:tr w:rsidR="00192373" w:rsidRPr="0081082A" w:rsidTr="00D01626">
        <w:tc>
          <w:tcPr>
            <w:tcW w:w="1105"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Јединица мере и природа</w:t>
            </w:r>
          </w:p>
        </w:tc>
        <w:tc>
          <w:tcPr>
            <w:tcW w:w="1848" w:type="pct"/>
            <w:gridSpan w:val="7"/>
            <w:tcBorders>
              <w:right w:val="single" w:sz="4" w:space="0" w:color="auto"/>
            </w:tcBorders>
            <w:shd w:val="clear" w:color="auto" w:fill="auto"/>
          </w:tcPr>
          <w:p w:rsidR="00192373" w:rsidRPr="0081082A" w:rsidRDefault="00192373" w:rsidP="00D01626">
            <w:pPr>
              <w:rPr>
                <w:lang w:val="sr-Cyrl-RS"/>
              </w:rPr>
            </w:pPr>
            <w:r w:rsidRPr="0081082A">
              <w:rPr>
                <w:lang w:val="sr-Cyrl-RS"/>
              </w:rPr>
              <w:t>Оцена Европске комисије</w:t>
            </w:r>
          </w:p>
        </w:tc>
        <w:tc>
          <w:tcPr>
            <w:tcW w:w="2048" w:type="pct"/>
            <w:gridSpan w:val="8"/>
            <w:tcBorders>
              <w:right w:val="single" w:sz="4" w:space="0" w:color="auto"/>
            </w:tcBorders>
            <w:shd w:val="clear" w:color="auto" w:fill="auto"/>
          </w:tcPr>
          <w:p w:rsidR="00192373" w:rsidRPr="0081082A" w:rsidRDefault="00192373" w:rsidP="00D01626">
            <w:pPr>
              <w:rPr>
                <w:lang w:val="sr-Cyrl-RS"/>
              </w:rPr>
            </w:pPr>
            <w:r w:rsidRPr="0081082A">
              <w:rPr>
                <w:lang w:val="sr-Cyrl-RS"/>
              </w:rPr>
              <w:t>Н/П - описни индикатор</w:t>
            </w:r>
          </w:p>
        </w:tc>
      </w:tr>
      <w:tr w:rsidR="00192373" w:rsidRPr="0081082A" w:rsidTr="00D01626">
        <w:tc>
          <w:tcPr>
            <w:tcW w:w="1105"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Извор података</w:t>
            </w:r>
          </w:p>
        </w:tc>
        <w:tc>
          <w:tcPr>
            <w:tcW w:w="3895" w:type="pct"/>
            <w:gridSpan w:val="15"/>
            <w:tcBorders>
              <w:bottom w:val="single" w:sz="4" w:space="0" w:color="auto"/>
              <w:right w:val="single" w:sz="4" w:space="0" w:color="auto"/>
            </w:tcBorders>
            <w:shd w:val="clear" w:color="auto" w:fill="auto"/>
          </w:tcPr>
          <w:p w:rsidR="00192373" w:rsidRPr="0081082A" w:rsidRDefault="00192373" w:rsidP="00D01626">
            <w:pPr>
              <w:ind w:hanging="29"/>
              <w:rPr>
                <w:lang w:val="sr-Cyrl-RS"/>
              </w:rPr>
            </w:pPr>
            <w:r w:rsidRPr="0081082A">
              <w:rPr>
                <w:lang w:val="sr-Cyrl-RS"/>
              </w:rPr>
              <w:t>ЕК извештај о Србији за одређену годину (поглавље 32)</w:t>
            </w:r>
          </w:p>
        </w:tc>
      </w:tr>
      <w:tr w:rsidR="00192373" w:rsidRPr="0081082A" w:rsidTr="00D01626">
        <w:tc>
          <w:tcPr>
            <w:tcW w:w="1105"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lastRenderedPageBreak/>
              <w:t>Назив носиоца прикупљања података</w:t>
            </w:r>
          </w:p>
        </w:tc>
        <w:tc>
          <w:tcPr>
            <w:tcW w:w="3895" w:type="pct"/>
            <w:gridSpan w:val="15"/>
            <w:tcBorders>
              <w:bottom w:val="single" w:sz="4" w:space="0" w:color="auto"/>
              <w:right w:val="single" w:sz="4" w:space="0" w:color="auto"/>
            </w:tcBorders>
            <w:shd w:val="clear" w:color="auto" w:fill="auto"/>
          </w:tcPr>
          <w:p w:rsidR="00192373" w:rsidRPr="0081082A" w:rsidRDefault="00192373" w:rsidP="00D01626">
            <w:pPr>
              <w:ind w:hanging="29"/>
              <w:rPr>
                <w:rFonts w:eastAsia="Calibri"/>
                <w:lang w:val="sr-Cyrl-RS"/>
              </w:rPr>
            </w:pPr>
            <w:r w:rsidRPr="0081082A">
              <w:rPr>
                <w:lang w:val="sr-Cyrl-RS"/>
              </w:rPr>
              <w:t>МФ – ЦЈХ</w:t>
            </w:r>
          </w:p>
        </w:tc>
      </w:tr>
      <w:tr w:rsidR="00192373" w:rsidRPr="0081082A" w:rsidTr="00D01626">
        <w:tc>
          <w:tcPr>
            <w:tcW w:w="1105" w:type="pct"/>
            <w:tcBorders>
              <w:top w:val="single" w:sz="4"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Учесталост</w:t>
            </w:r>
          </w:p>
        </w:tc>
        <w:tc>
          <w:tcPr>
            <w:tcW w:w="3895" w:type="pct"/>
            <w:gridSpan w:val="15"/>
            <w:tcBorders>
              <w:top w:val="single" w:sz="4" w:space="0" w:color="auto"/>
              <w:right w:val="single" w:sz="4" w:space="0" w:color="auto"/>
            </w:tcBorders>
            <w:shd w:val="clear" w:color="auto" w:fill="auto"/>
          </w:tcPr>
          <w:p w:rsidR="00192373" w:rsidRPr="0081082A" w:rsidRDefault="00192373" w:rsidP="00D01626">
            <w:pPr>
              <w:ind w:hanging="29"/>
              <w:rPr>
                <w:rFonts w:eastAsia="Calibri"/>
                <w:spacing w:val="-1"/>
                <w:lang w:val="sr-Cyrl-RS"/>
              </w:rPr>
            </w:pPr>
            <w:r w:rsidRPr="0081082A">
              <w:rPr>
                <w:rFonts w:eastAsia="Calibri"/>
                <w:spacing w:val="-1"/>
                <w:lang w:val="sr-Cyrl-RS"/>
              </w:rPr>
              <w:t>Једном годишње</w:t>
            </w:r>
          </w:p>
        </w:tc>
      </w:tr>
      <w:tr w:rsidR="00192373" w:rsidRPr="0081082A" w:rsidTr="00D01626">
        <w:trPr>
          <w:trHeight w:val="1355"/>
        </w:trPr>
        <w:tc>
          <w:tcPr>
            <w:tcW w:w="1105" w:type="pct"/>
            <w:tcBorders>
              <w:left w:val="single" w:sz="4" w:space="0" w:color="auto"/>
              <w:bottom w:val="single" w:sz="6"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Кратак опис показатеља и методологије израчунавања</w:t>
            </w:r>
          </w:p>
          <w:p w:rsidR="00192373" w:rsidRPr="0081082A" w:rsidRDefault="00192373" w:rsidP="00D01626">
            <w:pPr>
              <w:tabs>
                <w:tab w:val="right" w:pos="2140"/>
              </w:tabs>
              <w:spacing w:before="0"/>
              <w:rPr>
                <w:rFonts w:eastAsia="Calibri"/>
                <w:b/>
                <w:lang w:val="sr-Cyrl-RS"/>
              </w:rPr>
            </w:pPr>
            <w:r w:rsidRPr="0081082A">
              <w:rPr>
                <w:rFonts w:eastAsia="Calibri"/>
                <w:b/>
                <w:bCs/>
                <w:lang w:val="sr-Cyrl-RS"/>
              </w:rPr>
              <w:t>(формуле/једначине)</w:t>
            </w:r>
          </w:p>
        </w:tc>
        <w:tc>
          <w:tcPr>
            <w:tcW w:w="3895" w:type="pct"/>
            <w:gridSpan w:val="15"/>
            <w:tcBorders>
              <w:right w:val="single" w:sz="4" w:space="0" w:color="auto"/>
            </w:tcBorders>
            <w:shd w:val="clear" w:color="auto" w:fill="auto"/>
          </w:tcPr>
          <w:p w:rsidR="00192373" w:rsidRPr="0081082A" w:rsidRDefault="00192373" w:rsidP="00D01626">
            <w:pPr>
              <w:tabs>
                <w:tab w:val="right" w:pos="2140"/>
              </w:tabs>
              <w:spacing w:before="0"/>
              <w:ind w:hanging="29"/>
              <w:rPr>
                <w:rFonts w:eastAsia="Calibri"/>
                <w:bCs/>
                <w:lang w:val="sr-Cyrl-RS"/>
              </w:rPr>
            </w:pPr>
            <w:r w:rsidRPr="0081082A">
              <w:rPr>
                <w:lang w:val="sr-Cyrl-RS"/>
              </w:rPr>
              <w:t xml:space="preserve">Одабрани показатељ је екстерног типа и описног карактера, а заснива на процени Европске комисије са вредносном скалом Општe оценe припремљености: </w:t>
            </w:r>
            <w:r w:rsidRPr="0081082A">
              <w:rPr>
                <w:lang w:val="sr-Cyrl-RS"/>
              </w:rPr>
              <w:br/>
              <w:t xml:space="preserve">- Рана фаза припремљености </w:t>
            </w:r>
            <w:r w:rsidRPr="0081082A">
              <w:rPr>
                <w:lang w:val="sr-Cyrl-RS"/>
              </w:rPr>
              <w:br/>
              <w:t xml:space="preserve">- Известан ниво припремљености </w:t>
            </w:r>
            <w:r w:rsidRPr="0081082A">
              <w:rPr>
                <w:lang w:val="sr-Cyrl-RS"/>
              </w:rPr>
              <w:br/>
              <w:t xml:space="preserve">- Умерена припремљеност </w:t>
            </w:r>
            <w:r w:rsidRPr="0081082A">
              <w:rPr>
                <w:lang w:val="sr-Cyrl-RS"/>
              </w:rPr>
              <w:br/>
              <w:t>- Добар ниво припремљености</w:t>
            </w:r>
          </w:p>
        </w:tc>
      </w:tr>
      <w:tr w:rsidR="00192373" w:rsidRPr="0081082A" w:rsidTr="00D01626">
        <w:tc>
          <w:tcPr>
            <w:tcW w:w="1105" w:type="pct"/>
            <w:vMerge w:val="restart"/>
            <w:tcBorders>
              <w:top w:val="single" w:sz="6" w:space="0" w:color="auto"/>
              <w:left w:val="single" w:sz="4"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Подаци о полазној вредности и години кад је измерена, као и о ранијем тренду</w:t>
            </w:r>
          </w:p>
        </w:tc>
        <w:tc>
          <w:tcPr>
            <w:tcW w:w="2725" w:type="pct"/>
            <w:gridSpan w:val="11"/>
            <w:tcBorders>
              <w:top w:val="single" w:sz="6" w:space="0" w:color="auto"/>
            </w:tcBorders>
            <w:shd w:val="clear" w:color="auto" w:fill="auto"/>
            <w:vAlign w:val="center"/>
          </w:tcPr>
          <w:p w:rsidR="00192373" w:rsidRPr="0081082A" w:rsidRDefault="00192373" w:rsidP="00D01626">
            <w:pPr>
              <w:tabs>
                <w:tab w:val="right" w:pos="2140"/>
              </w:tabs>
              <w:spacing w:before="0"/>
              <w:rPr>
                <w:rFonts w:eastAsia="Calibri"/>
                <w:bCs/>
                <w:lang w:val="sr-Cyrl-RS"/>
              </w:rPr>
            </w:pPr>
            <w:r w:rsidRPr="0081082A">
              <w:rPr>
                <w:rFonts w:eastAsia="Calibri"/>
                <w:lang w:val="sr-Cyrl-RS"/>
              </w:rPr>
              <w:t>Ранији тренд</w:t>
            </w:r>
          </w:p>
        </w:tc>
        <w:tc>
          <w:tcPr>
            <w:tcW w:w="1171" w:type="pct"/>
            <w:gridSpan w:val="4"/>
            <w:tcBorders>
              <w:top w:val="single" w:sz="6" w:space="0" w:color="auto"/>
              <w:right w:val="single" w:sz="4" w:space="0" w:color="auto"/>
            </w:tcBorders>
            <w:shd w:val="clear" w:color="auto" w:fill="auto"/>
            <w:vAlign w:val="center"/>
          </w:tcPr>
          <w:p w:rsidR="00192373" w:rsidRPr="0081082A" w:rsidRDefault="00192373" w:rsidP="00D01626">
            <w:pPr>
              <w:tabs>
                <w:tab w:val="right" w:pos="2140"/>
              </w:tabs>
              <w:spacing w:before="0"/>
              <w:jc w:val="center"/>
              <w:rPr>
                <w:rFonts w:eastAsia="Calibri"/>
                <w:bCs/>
                <w:lang w:val="sr-Cyrl-RS"/>
              </w:rPr>
            </w:pPr>
            <w:r w:rsidRPr="0081082A">
              <w:rPr>
                <w:rFonts w:eastAsia="Calibri"/>
                <w:lang w:val="sr-Cyrl-RS"/>
              </w:rPr>
              <w:t>Полазна вредност</w:t>
            </w:r>
          </w:p>
        </w:tc>
      </w:tr>
      <w:tr w:rsidR="00192373" w:rsidRPr="0081082A" w:rsidTr="00D01626">
        <w:tc>
          <w:tcPr>
            <w:tcW w:w="1105"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66" w:type="pct"/>
            <w:gridSpan w:val="4"/>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2017.</w:t>
            </w:r>
          </w:p>
        </w:tc>
        <w:tc>
          <w:tcPr>
            <w:tcW w:w="796" w:type="pct"/>
            <w:gridSpan w:val="4"/>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2018.</w:t>
            </w:r>
          </w:p>
        </w:tc>
        <w:tc>
          <w:tcPr>
            <w:tcW w:w="863"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2019.</w:t>
            </w:r>
          </w:p>
        </w:tc>
        <w:tc>
          <w:tcPr>
            <w:tcW w:w="1171" w:type="pct"/>
            <w:gridSpan w:val="4"/>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 xml:space="preserve">2020. </w:t>
            </w:r>
          </w:p>
        </w:tc>
      </w:tr>
      <w:tr w:rsidR="00192373" w:rsidRPr="0081082A" w:rsidTr="00D01626">
        <w:tc>
          <w:tcPr>
            <w:tcW w:w="1105"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1066" w:type="pct"/>
            <w:gridSpan w:val="4"/>
            <w:shd w:val="clear" w:color="auto" w:fill="auto"/>
          </w:tcPr>
          <w:p w:rsidR="00192373" w:rsidRPr="0081082A" w:rsidRDefault="00192373" w:rsidP="00D01626">
            <w:pPr>
              <w:tabs>
                <w:tab w:val="right" w:pos="2140"/>
              </w:tabs>
              <w:spacing w:before="0"/>
              <w:jc w:val="center"/>
              <w:rPr>
                <w:rFonts w:eastAsia="Calibri"/>
                <w:bCs/>
                <w:lang w:val="sr-Cyrl-RS"/>
              </w:rPr>
            </w:pPr>
          </w:p>
        </w:tc>
        <w:tc>
          <w:tcPr>
            <w:tcW w:w="796" w:type="pct"/>
            <w:gridSpan w:val="4"/>
            <w:shd w:val="clear" w:color="auto" w:fill="auto"/>
          </w:tcPr>
          <w:p w:rsidR="00192373" w:rsidRPr="0081082A" w:rsidRDefault="00192373" w:rsidP="00D01626">
            <w:pPr>
              <w:tabs>
                <w:tab w:val="right" w:pos="2140"/>
              </w:tabs>
              <w:spacing w:before="0"/>
              <w:jc w:val="center"/>
              <w:rPr>
                <w:rFonts w:eastAsia="Calibri"/>
                <w:bCs/>
                <w:lang w:val="sr-Cyrl-RS"/>
              </w:rPr>
            </w:pPr>
          </w:p>
        </w:tc>
        <w:tc>
          <w:tcPr>
            <w:tcW w:w="863"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lang w:val="sr-Cyrl-RS"/>
              </w:rPr>
              <w:t>Умерена припремљеност</w:t>
            </w:r>
          </w:p>
        </w:tc>
        <w:tc>
          <w:tcPr>
            <w:tcW w:w="1171" w:type="pct"/>
            <w:gridSpan w:val="4"/>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lang w:val="sr-Cyrl-RS"/>
              </w:rPr>
              <w:t>Умерена припремљеност</w:t>
            </w:r>
          </w:p>
        </w:tc>
      </w:tr>
      <w:tr w:rsidR="00192373" w:rsidRPr="0081082A" w:rsidTr="00D01626">
        <w:tc>
          <w:tcPr>
            <w:tcW w:w="1105" w:type="pct"/>
            <w:vMerge w:val="restart"/>
            <w:tcBorders>
              <w:left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Подаци о циљној вредност</w:t>
            </w:r>
          </w:p>
        </w:tc>
        <w:tc>
          <w:tcPr>
            <w:tcW w:w="430"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428"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434"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428"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402"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4"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8"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3"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4"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3"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c>
          <w:tcPr>
            <w:tcW w:w="1105"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430" w:type="pct"/>
            <w:gridSpan w:val="2"/>
            <w:shd w:val="clear" w:color="auto" w:fill="auto"/>
            <w:vAlign w:val="center"/>
          </w:tcPr>
          <w:p w:rsidR="00192373" w:rsidRPr="0081082A" w:rsidRDefault="00192373" w:rsidP="00D01626">
            <w:pPr>
              <w:shd w:val="clear" w:color="auto" w:fill="FFFFFF"/>
              <w:jc w:val="center"/>
              <w:rPr>
                <w:lang w:val="sr-Cyrl-RS"/>
              </w:rPr>
            </w:pPr>
            <w:r w:rsidRPr="0081082A">
              <w:rPr>
                <w:lang w:val="sr-Cyrl-RS"/>
              </w:rPr>
              <w:t>Умере-на прип.</w:t>
            </w:r>
          </w:p>
        </w:tc>
        <w:tc>
          <w:tcPr>
            <w:tcW w:w="428" w:type="pct"/>
            <w:shd w:val="clear" w:color="auto" w:fill="auto"/>
            <w:vAlign w:val="center"/>
          </w:tcPr>
          <w:p w:rsidR="00192373" w:rsidRPr="0081082A" w:rsidRDefault="00192373" w:rsidP="00D01626">
            <w:pPr>
              <w:shd w:val="clear" w:color="auto" w:fill="FFFFFF"/>
              <w:jc w:val="center"/>
              <w:rPr>
                <w:lang w:val="sr-Cyrl-RS"/>
              </w:rPr>
            </w:pPr>
            <w:r w:rsidRPr="0081082A">
              <w:rPr>
                <w:lang w:val="sr-Cyrl-RS"/>
              </w:rPr>
              <w:t>Умере-на прип.</w:t>
            </w:r>
          </w:p>
        </w:tc>
        <w:tc>
          <w:tcPr>
            <w:tcW w:w="434" w:type="pct"/>
            <w:gridSpan w:val="2"/>
            <w:shd w:val="clear" w:color="auto" w:fill="auto"/>
            <w:vAlign w:val="center"/>
          </w:tcPr>
          <w:p w:rsidR="00192373" w:rsidRPr="0081082A" w:rsidRDefault="00192373" w:rsidP="00D01626">
            <w:pPr>
              <w:shd w:val="clear" w:color="auto" w:fill="FFFFFF"/>
              <w:jc w:val="center"/>
              <w:rPr>
                <w:lang w:val="sr-Cyrl-RS"/>
              </w:rPr>
            </w:pPr>
            <w:r w:rsidRPr="0081082A">
              <w:rPr>
                <w:lang w:val="sr-Cyrl-RS"/>
              </w:rPr>
              <w:t>Умере-на прип.</w:t>
            </w:r>
          </w:p>
        </w:tc>
        <w:tc>
          <w:tcPr>
            <w:tcW w:w="428" w:type="pct"/>
            <w:shd w:val="clear" w:color="auto" w:fill="auto"/>
            <w:vAlign w:val="center"/>
          </w:tcPr>
          <w:p w:rsidR="00192373" w:rsidRPr="0081082A" w:rsidRDefault="00192373" w:rsidP="00D01626">
            <w:pPr>
              <w:spacing w:before="0"/>
              <w:jc w:val="center"/>
              <w:rPr>
                <w:lang w:val="sr-Cyrl-RS"/>
              </w:rPr>
            </w:pPr>
            <w:r w:rsidRPr="0081082A">
              <w:rPr>
                <w:lang w:val="sr-Cyrl-RS"/>
              </w:rPr>
              <w:t>Умере-</w:t>
            </w:r>
          </w:p>
          <w:p w:rsidR="00192373" w:rsidRPr="0081082A" w:rsidRDefault="00192373" w:rsidP="00D01626">
            <w:pPr>
              <w:spacing w:before="0"/>
              <w:jc w:val="center"/>
              <w:rPr>
                <w:rFonts w:eastAsia="Calibri"/>
                <w:bCs/>
                <w:lang w:val="sr-Cyrl-RS"/>
              </w:rPr>
            </w:pPr>
            <w:r w:rsidRPr="0081082A">
              <w:rPr>
                <w:lang w:val="sr-Cyrl-RS"/>
              </w:rPr>
              <w:t>на прип.</w:t>
            </w:r>
          </w:p>
        </w:tc>
        <w:tc>
          <w:tcPr>
            <w:tcW w:w="402" w:type="pct"/>
            <w:gridSpan w:val="3"/>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Добар ниво прип.</w:t>
            </w:r>
          </w:p>
        </w:tc>
        <w:tc>
          <w:tcPr>
            <w:tcW w:w="354" w:type="pct"/>
            <w:shd w:val="clear" w:color="auto" w:fill="auto"/>
          </w:tcPr>
          <w:p w:rsidR="00192373" w:rsidRPr="0081082A" w:rsidRDefault="00192373" w:rsidP="00D01626">
            <w:pPr>
              <w:spacing w:before="0"/>
              <w:jc w:val="center"/>
              <w:rPr>
                <w:rFonts w:eastAsia="Calibri"/>
                <w:bCs/>
                <w:lang w:val="sr-Cyrl-RS"/>
              </w:rPr>
            </w:pPr>
          </w:p>
        </w:tc>
        <w:tc>
          <w:tcPr>
            <w:tcW w:w="358" w:type="pct"/>
            <w:gridSpan w:val="2"/>
            <w:shd w:val="clear" w:color="auto" w:fill="auto"/>
          </w:tcPr>
          <w:p w:rsidR="00192373" w:rsidRPr="0081082A" w:rsidRDefault="00192373" w:rsidP="00D01626">
            <w:pPr>
              <w:spacing w:before="0"/>
              <w:jc w:val="center"/>
              <w:rPr>
                <w:rFonts w:eastAsia="Calibri"/>
                <w:bCs/>
                <w:lang w:val="sr-Cyrl-RS"/>
              </w:rPr>
            </w:pPr>
          </w:p>
        </w:tc>
        <w:tc>
          <w:tcPr>
            <w:tcW w:w="353" w:type="pct"/>
            <w:shd w:val="clear" w:color="auto" w:fill="auto"/>
          </w:tcPr>
          <w:p w:rsidR="00192373" w:rsidRPr="0081082A" w:rsidRDefault="00192373" w:rsidP="00D01626">
            <w:pPr>
              <w:spacing w:before="0"/>
              <w:jc w:val="center"/>
              <w:rPr>
                <w:rFonts w:eastAsia="Calibri"/>
                <w:bCs/>
                <w:lang w:val="sr-Cyrl-RS"/>
              </w:rPr>
            </w:pPr>
          </w:p>
        </w:tc>
        <w:tc>
          <w:tcPr>
            <w:tcW w:w="354" w:type="pct"/>
            <w:shd w:val="clear" w:color="auto" w:fill="auto"/>
          </w:tcPr>
          <w:p w:rsidR="00192373" w:rsidRPr="0081082A" w:rsidRDefault="00192373" w:rsidP="00D01626">
            <w:pPr>
              <w:spacing w:before="0"/>
              <w:jc w:val="center"/>
              <w:rPr>
                <w:rFonts w:eastAsia="Calibri"/>
                <w:bCs/>
                <w:lang w:val="sr-Cyrl-RS"/>
              </w:rPr>
            </w:pPr>
          </w:p>
        </w:tc>
        <w:tc>
          <w:tcPr>
            <w:tcW w:w="353"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p>
        </w:tc>
      </w:tr>
      <w:tr w:rsidR="00192373" w:rsidRPr="0081082A" w:rsidTr="00D01626">
        <w:tc>
          <w:tcPr>
            <w:tcW w:w="1105" w:type="pct"/>
            <w:tcBorders>
              <w:left w:val="single" w:sz="4" w:space="0" w:color="auto"/>
              <w:bottom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Процена успешности:</w:t>
            </w:r>
          </w:p>
        </w:tc>
        <w:tc>
          <w:tcPr>
            <w:tcW w:w="3895" w:type="pct"/>
            <w:gridSpan w:val="15"/>
            <w:tcBorders>
              <w:bottom w:val="single" w:sz="4" w:space="0" w:color="auto"/>
              <w:right w:val="single" w:sz="4" w:space="0" w:color="auto"/>
            </w:tcBorders>
            <w:shd w:val="clear" w:color="auto" w:fill="auto"/>
          </w:tcPr>
          <w:p w:rsidR="00192373" w:rsidRPr="0081082A" w:rsidRDefault="00192373" w:rsidP="00D01626">
            <w:pPr>
              <w:tabs>
                <w:tab w:val="right" w:pos="2140"/>
              </w:tabs>
              <w:spacing w:before="0"/>
              <w:rPr>
                <w:rFonts w:eastAsia="Calibri"/>
                <w:bCs/>
                <w:lang w:val="sr-Cyrl-RS"/>
              </w:rPr>
            </w:pPr>
            <w:r w:rsidRPr="0081082A">
              <w:rPr>
                <w:lang w:val="sr-Cyrl-RS"/>
              </w:rPr>
              <w:t xml:space="preserve">Крајњи циљ за 2025. годину је оцена ЕК да је Преговарачко поглавље 32 Финансијски надзор постигло добар ниво припремљености и да су испуњена мерила за затварање преговора. Одступање није прихватљиво. </w:t>
            </w:r>
          </w:p>
        </w:tc>
      </w:tr>
    </w:tbl>
    <w:p w:rsidR="00192373" w:rsidRPr="0081082A" w:rsidRDefault="00192373" w:rsidP="00192373">
      <w:pPr>
        <w:spacing w:before="0" w:after="160" w:line="259" w:lineRule="auto"/>
        <w:rPr>
          <w:rFonts w:ascii="Calibri" w:eastAsia="Calibri" w:hAnsi="Calibri"/>
          <w:sz w:val="22"/>
          <w:szCs w:val="22"/>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посебног циља 5.</w:t>
      </w:r>
    </w:p>
    <w:tbl>
      <w:tblPr>
        <w:tblW w:w="5121" w:type="pct"/>
        <w:tblInd w:w="-11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182"/>
        <w:gridCol w:w="1393"/>
        <w:gridCol w:w="365"/>
        <w:gridCol w:w="1108"/>
        <w:gridCol w:w="742"/>
        <w:gridCol w:w="257"/>
        <w:gridCol w:w="479"/>
        <w:gridCol w:w="1106"/>
        <w:gridCol w:w="369"/>
        <w:gridCol w:w="1465"/>
      </w:tblGrid>
      <w:tr w:rsidR="00192373" w:rsidRPr="0081082A" w:rsidTr="00D01626">
        <w:tc>
          <w:tcPr>
            <w:tcW w:w="1152" w:type="pct"/>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Назив </w:t>
            </w:r>
            <w:r w:rsidR="00545897" w:rsidRPr="0081082A">
              <w:rPr>
                <w:rFonts w:eastAsia="Calibri"/>
                <w:b/>
                <w:lang w:val="sr-Cyrl-RS"/>
              </w:rPr>
              <w:t>показатеља</w:t>
            </w:r>
          </w:p>
        </w:tc>
        <w:tc>
          <w:tcPr>
            <w:tcW w:w="3848" w:type="pct"/>
            <w:gridSpan w:val="9"/>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b/>
                <w:lang w:val="sr-Cyrl-RS"/>
              </w:rPr>
            </w:pPr>
            <w:r w:rsidRPr="0081082A">
              <w:rPr>
                <w:b/>
                <w:lang w:val="sr-Cyrl-RS"/>
              </w:rPr>
              <w:t>Финансијски извештај припремљен и презентован Министарству финансија Републике Србије у складу са захтевима IPSAS за готовинску основу</w:t>
            </w:r>
          </w:p>
        </w:tc>
      </w:tr>
      <w:tr w:rsidR="00192373" w:rsidRPr="0081082A" w:rsidTr="00D01626">
        <w:tc>
          <w:tcPr>
            <w:tcW w:w="1152" w:type="pct"/>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Одговарајући општи циљ, посебан циљ или мера</w:t>
            </w:r>
          </w:p>
        </w:tc>
        <w:tc>
          <w:tcPr>
            <w:tcW w:w="3848" w:type="pct"/>
            <w:gridSpan w:val="9"/>
            <w:tcBorders>
              <w:top w:val="single" w:sz="4" w:space="0" w:color="auto"/>
              <w:left w:val="single" w:sz="4" w:space="0" w:color="auto"/>
              <w:bottom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b/>
                <w:lang w:val="sr-Cyrl-RS"/>
              </w:rPr>
            </w:pPr>
            <w:r w:rsidRPr="0081082A">
              <w:rPr>
                <w:b/>
                <w:lang w:val="sr-Cyrl-RS"/>
              </w:rPr>
              <w:t>Посебан циљ 5: Унапређен</w:t>
            </w:r>
            <w:r w:rsidR="00226964">
              <w:rPr>
                <w:b/>
                <w:lang w:val="sr-Cyrl-RS"/>
              </w:rPr>
              <w:t>о рачунов</w:t>
            </w:r>
            <w:r w:rsidRPr="0081082A">
              <w:rPr>
                <w:b/>
                <w:lang w:val="sr-Cyrl-RS"/>
              </w:rPr>
              <w:t>одство у јавном сектору применом међународних рачуноводствених стандарда за јавни сектор (IPSAS)</w:t>
            </w:r>
          </w:p>
        </w:tc>
      </w:tr>
      <w:tr w:rsidR="00192373" w:rsidRPr="0081082A" w:rsidTr="00D01626">
        <w:tc>
          <w:tcPr>
            <w:tcW w:w="1152"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Тип показатеља </w:t>
            </w:r>
          </w:p>
        </w:tc>
        <w:tc>
          <w:tcPr>
            <w:tcW w:w="2042" w:type="pct"/>
            <w:gridSpan w:val="5"/>
            <w:tcBorders>
              <w:right w:val="single" w:sz="4" w:space="0" w:color="auto"/>
            </w:tcBorders>
            <w:shd w:val="clear" w:color="auto" w:fill="auto"/>
          </w:tcPr>
          <w:p w:rsidR="00192373" w:rsidRPr="0081082A" w:rsidRDefault="00192373" w:rsidP="00D01626">
            <w:pPr>
              <w:rPr>
                <w:lang w:val="sr-Cyrl-RS"/>
              </w:rPr>
            </w:pPr>
            <w:r w:rsidRPr="0081082A">
              <w:rPr>
                <w:lang w:val="sr-Cyrl-RS"/>
              </w:rPr>
              <w:t>Кванитативни</w:t>
            </w:r>
          </w:p>
        </w:tc>
        <w:tc>
          <w:tcPr>
            <w:tcW w:w="1806" w:type="pct"/>
            <w:gridSpan w:val="4"/>
            <w:tcBorders>
              <w:right w:val="single" w:sz="4" w:space="0" w:color="auto"/>
            </w:tcBorders>
            <w:shd w:val="clear" w:color="auto" w:fill="auto"/>
          </w:tcPr>
          <w:p w:rsidR="00192373" w:rsidRPr="0081082A" w:rsidRDefault="00192373" w:rsidP="00D01626">
            <w:pPr>
              <w:rPr>
                <w:lang w:val="sr-Cyrl-RS"/>
              </w:rPr>
            </w:pPr>
            <w:r w:rsidRPr="0081082A">
              <w:rPr>
                <w:bCs/>
                <w:lang w:val="sr-Cyrl-RS"/>
              </w:rPr>
              <w:t>Показатељ на нивоу посебног циља ПРУЈФ</w:t>
            </w:r>
          </w:p>
        </w:tc>
      </w:tr>
      <w:tr w:rsidR="00192373" w:rsidRPr="0081082A" w:rsidTr="00D01626">
        <w:tc>
          <w:tcPr>
            <w:tcW w:w="1152"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Јединица мере и природа</w:t>
            </w:r>
          </w:p>
        </w:tc>
        <w:tc>
          <w:tcPr>
            <w:tcW w:w="2042" w:type="pct"/>
            <w:gridSpan w:val="5"/>
            <w:tcBorders>
              <w:right w:val="single" w:sz="4" w:space="0" w:color="auto"/>
            </w:tcBorders>
            <w:shd w:val="clear" w:color="auto" w:fill="auto"/>
          </w:tcPr>
          <w:p w:rsidR="00192373" w:rsidRPr="0081082A" w:rsidRDefault="00192373" w:rsidP="00D01626">
            <w:pPr>
              <w:ind w:hanging="29"/>
              <w:rPr>
                <w:lang w:val="sr-Cyrl-RS"/>
              </w:rPr>
            </w:pPr>
            <w:r w:rsidRPr="0081082A">
              <w:rPr>
                <w:lang w:val="sr-Cyrl-RS"/>
              </w:rPr>
              <w:t xml:space="preserve">Број </w:t>
            </w:r>
          </w:p>
        </w:tc>
        <w:tc>
          <w:tcPr>
            <w:tcW w:w="1806" w:type="pct"/>
            <w:gridSpan w:val="4"/>
            <w:tcBorders>
              <w:right w:val="single" w:sz="4" w:space="0" w:color="auto"/>
            </w:tcBorders>
            <w:shd w:val="clear" w:color="auto" w:fill="auto"/>
          </w:tcPr>
          <w:p w:rsidR="00192373" w:rsidRPr="0081082A" w:rsidRDefault="00192373" w:rsidP="00D01626">
            <w:pPr>
              <w:rPr>
                <w:color w:val="000000" w:themeColor="text1"/>
                <w:lang w:val="sr-Cyrl-RS"/>
              </w:rPr>
            </w:pPr>
            <w:r w:rsidRPr="0081082A">
              <w:rPr>
                <w:color w:val="000000" w:themeColor="text1"/>
                <w:lang w:val="sr-Cyrl-RS"/>
              </w:rPr>
              <w:t>0-не постоји Извештај</w:t>
            </w:r>
          </w:p>
          <w:p w:rsidR="00192373" w:rsidRPr="0081082A" w:rsidRDefault="00192373" w:rsidP="00D01626">
            <w:pPr>
              <w:rPr>
                <w:color w:val="FF0000"/>
                <w:lang w:val="sr-Cyrl-RS"/>
              </w:rPr>
            </w:pPr>
            <w:r w:rsidRPr="0081082A">
              <w:rPr>
                <w:color w:val="000000" w:themeColor="text1"/>
                <w:lang w:val="sr-Cyrl-RS"/>
              </w:rPr>
              <w:lastRenderedPageBreak/>
              <w:t>1-постоји Извештај</w:t>
            </w:r>
          </w:p>
        </w:tc>
      </w:tr>
      <w:tr w:rsidR="00192373" w:rsidRPr="0081082A" w:rsidTr="00D01626">
        <w:tc>
          <w:tcPr>
            <w:tcW w:w="1152"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lastRenderedPageBreak/>
              <w:t>Извор података</w:t>
            </w:r>
          </w:p>
        </w:tc>
        <w:tc>
          <w:tcPr>
            <w:tcW w:w="3848" w:type="pct"/>
            <w:gridSpan w:val="9"/>
            <w:tcBorders>
              <w:bottom w:val="single" w:sz="4" w:space="0" w:color="auto"/>
              <w:right w:val="single" w:sz="4" w:space="0" w:color="auto"/>
            </w:tcBorders>
            <w:shd w:val="clear" w:color="auto" w:fill="auto"/>
          </w:tcPr>
          <w:p w:rsidR="00192373" w:rsidRPr="0081082A" w:rsidRDefault="00192373" w:rsidP="00D01626">
            <w:pPr>
              <w:spacing w:line="256" w:lineRule="auto"/>
              <w:ind w:hanging="29"/>
              <w:rPr>
                <w:lang w:val="sr-Cyrl-RS"/>
              </w:rPr>
            </w:pPr>
            <w:r w:rsidRPr="0081082A">
              <w:rPr>
                <w:lang w:val="sr-Cyrl-RS"/>
              </w:rPr>
              <w:t>Сајт МФ Управе за трезор</w:t>
            </w:r>
          </w:p>
        </w:tc>
      </w:tr>
      <w:tr w:rsidR="00192373" w:rsidRPr="0081082A" w:rsidTr="00D01626">
        <w:tc>
          <w:tcPr>
            <w:tcW w:w="1152"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Назив носиоца прикупљања података</w:t>
            </w:r>
          </w:p>
        </w:tc>
        <w:tc>
          <w:tcPr>
            <w:tcW w:w="3848" w:type="pct"/>
            <w:gridSpan w:val="9"/>
            <w:tcBorders>
              <w:bottom w:val="single" w:sz="4" w:space="0" w:color="auto"/>
              <w:right w:val="single" w:sz="4" w:space="0" w:color="auto"/>
            </w:tcBorders>
            <w:shd w:val="clear" w:color="auto" w:fill="auto"/>
          </w:tcPr>
          <w:p w:rsidR="00192373" w:rsidRPr="0081082A" w:rsidRDefault="00192373" w:rsidP="00D01626">
            <w:pPr>
              <w:spacing w:line="256" w:lineRule="auto"/>
              <w:ind w:hanging="29"/>
              <w:rPr>
                <w:lang w:val="sr-Cyrl-RS"/>
              </w:rPr>
            </w:pPr>
            <w:r w:rsidRPr="0081082A">
              <w:rPr>
                <w:lang w:val="sr-Cyrl-RS"/>
              </w:rPr>
              <w:t>МФ Управа за трезор</w:t>
            </w:r>
          </w:p>
        </w:tc>
      </w:tr>
      <w:tr w:rsidR="00192373" w:rsidRPr="0081082A" w:rsidTr="00D01626">
        <w:tc>
          <w:tcPr>
            <w:tcW w:w="1152" w:type="pct"/>
            <w:tcBorders>
              <w:top w:val="single" w:sz="4"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Учесталост</w:t>
            </w:r>
          </w:p>
        </w:tc>
        <w:tc>
          <w:tcPr>
            <w:tcW w:w="3848" w:type="pct"/>
            <w:gridSpan w:val="9"/>
            <w:tcBorders>
              <w:top w:val="single" w:sz="4" w:space="0" w:color="auto"/>
              <w:right w:val="single" w:sz="4" w:space="0" w:color="auto"/>
            </w:tcBorders>
            <w:shd w:val="clear" w:color="auto" w:fill="auto"/>
          </w:tcPr>
          <w:p w:rsidR="00192373" w:rsidRPr="0081082A" w:rsidRDefault="00192373" w:rsidP="00D01626">
            <w:pPr>
              <w:spacing w:line="256" w:lineRule="auto"/>
              <w:ind w:hanging="29"/>
              <w:rPr>
                <w:lang w:val="sr-Cyrl-RS"/>
              </w:rPr>
            </w:pPr>
            <w:r w:rsidRPr="0081082A">
              <w:rPr>
                <w:lang w:val="sr-Cyrl-RS"/>
              </w:rPr>
              <w:t>Једном годишње</w:t>
            </w:r>
          </w:p>
        </w:tc>
      </w:tr>
      <w:tr w:rsidR="00192373" w:rsidRPr="0081082A" w:rsidTr="00D01626">
        <w:trPr>
          <w:trHeight w:val="1761"/>
        </w:trPr>
        <w:tc>
          <w:tcPr>
            <w:tcW w:w="1152" w:type="pct"/>
            <w:tcBorders>
              <w:left w:val="single" w:sz="4" w:space="0" w:color="auto"/>
              <w:bottom w:val="single" w:sz="6"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Кратак опис показатеља и методологије израчунавања</w:t>
            </w:r>
          </w:p>
          <w:p w:rsidR="00192373" w:rsidRPr="0081082A" w:rsidRDefault="00192373" w:rsidP="00D01626">
            <w:pPr>
              <w:tabs>
                <w:tab w:val="right" w:pos="2140"/>
              </w:tabs>
              <w:spacing w:before="0"/>
              <w:rPr>
                <w:rFonts w:eastAsia="Calibri"/>
                <w:b/>
                <w:lang w:val="sr-Cyrl-RS"/>
              </w:rPr>
            </w:pPr>
            <w:r w:rsidRPr="0081082A">
              <w:rPr>
                <w:rFonts w:eastAsia="Calibri"/>
                <w:b/>
                <w:bCs/>
                <w:lang w:val="sr-Cyrl-RS"/>
              </w:rPr>
              <w:t>(формуле/једначине)</w:t>
            </w:r>
          </w:p>
        </w:tc>
        <w:tc>
          <w:tcPr>
            <w:tcW w:w="3848" w:type="pct"/>
            <w:gridSpan w:val="9"/>
            <w:tcBorders>
              <w:right w:val="single" w:sz="4" w:space="0" w:color="auto"/>
            </w:tcBorders>
            <w:shd w:val="clear" w:color="auto" w:fill="auto"/>
          </w:tcPr>
          <w:p w:rsidR="00192373" w:rsidRPr="0081082A" w:rsidRDefault="00192373" w:rsidP="00D01626">
            <w:pPr>
              <w:pStyle w:val="clan"/>
              <w:spacing w:before="120" w:beforeAutospacing="0" w:after="0" w:afterAutospacing="0"/>
              <w:jc w:val="both"/>
              <w:rPr>
                <w:rFonts w:asciiTheme="minorHAnsi" w:hAnsiTheme="minorHAnsi" w:cstheme="minorHAnsi"/>
                <w:bCs/>
                <w:sz w:val="20"/>
                <w:szCs w:val="20"/>
                <w:lang w:val="sr-Cyrl-RS"/>
              </w:rPr>
            </w:pPr>
            <w:r w:rsidRPr="0081082A">
              <w:rPr>
                <w:rFonts w:asciiTheme="minorHAnsi" w:hAnsiTheme="minorHAnsi" w:cstheme="minorHAnsi"/>
                <w:sz w:val="20"/>
                <w:szCs w:val="20"/>
                <w:lang w:val="sr-Cyrl-RS"/>
              </w:rPr>
              <w:t xml:space="preserve">Објављивањем </w:t>
            </w:r>
            <w:r w:rsidRPr="0081082A">
              <w:rPr>
                <w:rFonts w:asciiTheme="minorHAnsi" w:hAnsiTheme="minorHAnsi" w:cstheme="minorHAnsi"/>
                <w:bCs/>
                <w:sz w:val="20"/>
                <w:szCs w:val="20"/>
                <w:lang w:val="sr-Cyrl-RS"/>
              </w:rPr>
              <w:t xml:space="preserve">Финансијских извештаја заснованих на готовинској основи у складу са IPSAS, повећава се квалитет извештаја увођењем стандарда. Информације о приливима готовине, готовинским одливима и готовинским салдима ентитета, омогућавају утврђивање одговорности и пружају податке корисне за процену способности ентитета да генерише довољно готовине у будућности, као и вероватних извора и употребе готовине. </w:t>
            </w:r>
          </w:p>
          <w:p w:rsidR="00192373" w:rsidRPr="0081082A" w:rsidRDefault="00192373" w:rsidP="00D01626">
            <w:pPr>
              <w:pStyle w:val="clan"/>
              <w:spacing w:before="120" w:beforeAutospacing="0" w:after="0" w:afterAutospacing="0"/>
              <w:jc w:val="both"/>
              <w:rPr>
                <w:rFonts w:asciiTheme="minorHAnsi" w:hAnsiTheme="minorHAnsi" w:cstheme="minorHAnsi"/>
                <w:color w:val="000000" w:themeColor="text1"/>
                <w:sz w:val="20"/>
                <w:szCs w:val="20"/>
                <w:lang w:val="sr-Cyrl-RS"/>
              </w:rPr>
            </w:pPr>
            <w:r w:rsidRPr="0081082A">
              <w:rPr>
                <w:rFonts w:asciiTheme="minorHAnsi" w:hAnsiTheme="minorHAnsi" w:cstheme="minorHAnsi"/>
                <w:color w:val="000000" w:themeColor="text1"/>
                <w:sz w:val="20"/>
                <w:szCs w:val="20"/>
                <w:lang w:val="sr-Cyrl-RS"/>
              </w:rPr>
              <w:t>Влада ближе уређује буџетско рачуноводство и начин вођења консолидованог рачуна трезора (члан 75</w:t>
            </w:r>
            <w:r w:rsidR="007E728E" w:rsidRPr="0081082A">
              <w:rPr>
                <w:rFonts w:asciiTheme="minorHAnsi" w:hAnsiTheme="minorHAnsi" w:cstheme="minorHAnsi"/>
                <w:color w:val="000000" w:themeColor="text1"/>
                <w:sz w:val="20"/>
                <w:szCs w:val="20"/>
                <w:lang w:val="sr-Cyrl-RS"/>
              </w:rPr>
              <w:t>.</w:t>
            </w:r>
            <w:r w:rsidRPr="0081082A">
              <w:rPr>
                <w:rFonts w:asciiTheme="minorHAnsi" w:hAnsiTheme="minorHAnsi" w:cstheme="minorHAnsi"/>
                <w:color w:val="000000" w:themeColor="text1"/>
                <w:sz w:val="20"/>
                <w:szCs w:val="20"/>
                <w:lang w:val="sr-Cyrl-RS"/>
              </w:rPr>
              <w:t xml:space="preserve"> Закона о буџетском систему).</w:t>
            </w:r>
          </w:p>
          <w:p w:rsidR="00192373" w:rsidRPr="0081082A" w:rsidRDefault="00192373" w:rsidP="00D01626">
            <w:pPr>
              <w:pStyle w:val="clan"/>
              <w:spacing w:before="120" w:beforeAutospacing="0" w:after="0" w:afterAutospacing="0"/>
              <w:jc w:val="both"/>
              <w:rPr>
                <w:rFonts w:asciiTheme="minorHAnsi" w:hAnsiTheme="minorHAnsi" w:cstheme="minorHAnsi"/>
                <w:color w:val="000000" w:themeColor="text1"/>
                <w:sz w:val="20"/>
                <w:szCs w:val="20"/>
                <w:lang w:val="sr-Cyrl-RS"/>
              </w:rPr>
            </w:pPr>
            <w:r w:rsidRPr="0081082A">
              <w:rPr>
                <w:rFonts w:asciiTheme="minorHAnsi" w:hAnsiTheme="minorHAnsi" w:cstheme="minorHAnsi"/>
                <w:color w:val="000000" w:themeColor="text1"/>
                <w:sz w:val="20"/>
                <w:szCs w:val="20"/>
                <w:lang w:val="sr-Cyrl-RS"/>
              </w:rPr>
              <w:t xml:space="preserve"> Влада, на предлог Министарства, образује Комисију за примену међународних рачуноводствених стандарда за јавни сектор (члан 75а Закона о буџетском систему). </w:t>
            </w:r>
          </w:p>
          <w:p w:rsidR="00192373" w:rsidRPr="0081082A" w:rsidRDefault="00192373" w:rsidP="00D01626">
            <w:pPr>
              <w:pStyle w:val="clan"/>
              <w:spacing w:before="120" w:beforeAutospacing="0" w:after="0" w:afterAutospacing="0"/>
              <w:jc w:val="both"/>
              <w:rPr>
                <w:rFonts w:asciiTheme="minorHAnsi" w:hAnsiTheme="minorHAnsi" w:cstheme="minorHAnsi"/>
                <w:color w:val="000000" w:themeColor="text1"/>
                <w:sz w:val="20"/>
                <w:szCs w:val="20"/>
                <w:lang w:val="sr-Cyrl-RS"/>
              </w:rPr>
            </w:pPr>
            <w:r w:rsidRPr="0081082A">
              <w:rPr>
                <w:rFonts w:asciiTheme="minorHAnsi" w:hAnsiTheme="minorHAnsi" w:cstheme="minorHAnsi"/>
                <w:color w:val="000000" w:themeColor="text1"/>
                <w:sz w:val="20"/>
                <w:szCs w:val="20"/>
                <w:lang w:val="sr-Cyrl-RS"/>
              </w:rPr>
              <w:t xml:space="preserve">Комисија даје мишљење на нацрте аката министра, који се односе на примену Међународних рачуноводствених стандарда за јавни сектор. </w:t>
            </w:r>
          </w:p>
          <w:p w:rsidR="00192373" w:rsidRPr="0081082A" w:rsidRDefault="00192373" w:rsidP="00D01626">
            <w:pPr>
              <w:spacing w:after="0"/>
              <w:rPr>
                <w:bCs/>
                <w:lang w:val="sr-Cyrl-RS"/>
              </w:rPr>
            </w:pPr>
            <w:r w:rsidRPr="0081082A">
              <w:rPr>
                <w:bCs/>
                <w:lang w:val="sr-Cyrl-RS"/>
              </w:rPr>
              <w:t xml:space="preserve">Усаглашеност са захтевима и препорукама IPSAS побољшаће свеобухватно и транспарентно финансијско извештавање о приливима готовине, одливима готовине и готовинским салдима ентитета. </w:t>
            </w:r>
          </w:p>
          <w:p w:rsidR="00192373" w:rsidRPr="0081082A" w:rsidRDefault="00192373" w:rsidP="00D01626">
            <w:pPr>
              <w:tabs>
                <w:tab w:val="right" w:pos="2140"/>
              </w:tabs>
              <w:spacing w:before="0"/>
              <w:rPr>
                <w:rFonts w:eastAsia="Calibri"/>
                <w:bCs/>
                <w:lang w:val="sr-Cyrl-RS"/>
              </w:rPr>
            </w:pPr>
            <w:r w:rsidRPr="0081082A">
              <w:rPr>
                <w:bCs/>
                <w:lang w:val="sr-Cyrl-RS"/>
              </w:rPr>
              <w:t>Такође ће се побољшати упоредивост са финансијским извештајима ентитета из претходних периода, као и са финансијским извештајима осталих ентитета који су усвојили стандарде за готовинско рачуноводство.</w:t>
            </w:r>
          </w:p>
        </w:tc>
      </w:tr>
      <w:tr w:rsidR="00192373" w:rsidRPr="0081082A" w:rsidTr="00D01626">
        <w:tc>
          <w:tcPr>
            <w:tcW w:w="1152" w:type="pct"/>
            <w:vMerge w:val="restart"/>
            <w:tcBorders>
              <w:top w:val="single" w:sz="6" w:space="0" w:color="auto"/>
              <w:left w:val="single" w:sz="4"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Подаци о полазној вредности и години кад је измерена, као и о ранијем тренду</w:t>
            </w:r>
          </w:p>
        </w:tc>
        <w:tc>
          <w:tcPr>
            <w:tcW w:w="2879" w:type="pct"/>
            <w:gridSpan w:val="7"/>
            <w:tcBorders>
              <w:top w:val="single" w:sz="6" w:space="0" w:color="auto"/>
            </w:tcBorders>
            <w:shd w:val="clear" w:color="auto" w:fill="auto"/>
            <w:vAlign w:val="center"/>
          </w:tcPr>
          <w:p w:rsidR="00192373" w:rsidRPr="0081082A" w:rsidRDefault="00192373" w:rsidP="00D01626">
            <w:pPr>
              <w:tabs>
                <w:tab w:val="right" w:pos="2140"/>
              </w:tabs>
              <w:spacing w:before="0"/>
              <w:rPr>
                <w:rFonts w:eastAsia="Calibri"/>
                <w:bCs/>
                <w:lang w:val="sr-Cyrl-RS"/>
              </w:rPr>
            </w:pPr>
            <w:r w:rsidRPr="0081082A">
              <w:rPr>
                <w:rFonts w:eastAsia="Calibri"/>
                <w:lang w:val="sr-Cyrl-RS"/>
              </w:rPr>
              <w:t>Ранији тренд</w:t>
            </w:r>
          </w:p>
        </w:tc>
        <w:tc>
          <w:tcPr>
            <w:tcW w:w="969" w:type="pct"/>
            <w:gridSpan w:val="2"/>
            <w:tcBorders>
              <w:top w:val="single" w:sz="6" w:space="0" w:color="auto"/>
              <w:right w:val="single" w:sz="4" w:space="0" w:color="auto"/>
            </w:tcBorders>
            <w:shd w:val="clear" w:color="auto" w:fill="auto"/>
            <w:vAlign w:val="center"/>
          </w:tcPr>
          <w:p w:rsidR="00192373" w:rsidRPr="0081082A" w:rsidRDefault="00192373" w:rsidP="00D01626">
            <w:pPr>
              <w:tabs>
                <w:tab w:val="right" w:pos="2140"/>
              </w:tabs>
              <w:spacing w:before="0"/>
              <w:jc w:val="center"/>
              <w:rPr>
                <w:rFonts w:eastAsia="Calibri"/>
                <w:bCs/>
                <w:lang w:val="sr-Cyrl-RS"/>
              </w:rPr>
            </w:pPr>
            <w:r w:rsidRPr="0081082A">
              <w:rPr>
                <w:rFonts w:eastAsia="Calibri"/>
                <w:lang w:val="sr-Cyrl-RS"/>
              </w:rPr>
              <w:t>Полазна вредност</w:t>
            </w:r>
          </w:p>
        </w:tc>
      </w:tr>
      <w:tr w:rsidR="00192373" w:rsidRPr="0081082A" w:rsidTr="00D01626">
        <w:tc>
          <w:tcPr>
            <w:tcW w:w="1152"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929"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2016.</w:t>
            </w:r>
          </w:p>
        </w:tc>
        <w:tc>
          <w:tcPr>
            <w:tcW w:w="977"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2018.</w:t>
            </w:r>
          </w:p>
        </w:tc>
        <w:tc>
          <w:tcPr>
            <w:tcW w:w="973"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2019.</w:t>
            </w:r>
          </w:p>
        </w:tc>
        <w:tc>
          <w:tcPr>
            <w:tcW w:w="969"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 xml:space="preserve">2020. </w:t>
            </w:r>
          </w:p>
        </w:tc>
      </w:tr>
      <w:tr w:rsidR="00192373" w:rsidRPr="0081082A" w:rsidTr="00D01626">
        <w:tc>
          <w:tcPr>
            <w:tcW w:w="1152"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929"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_</w:t>
            </w:r>
          </w:p>
        </w:tc>
        <w:tc>
          <w:tcPr>
            <w:tcW w:w="977"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_</w:t>
            </w:r>
          </w:p>
        </w:tc>
        <w:tc>
          <w:tcPr>
            <w:tcW w:w="973"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_</w:t>
            </w:r>
          </w:p>
        </w:tc>
        <w:tc>
          <w:tcPr>
            <w:tcW w:w="969"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0</w:t>
            </w:r>
          </w:p>
        </w:tc>
      </w:tr>
      <w:tr w:rsidR="00192373" w:rsidRPr="0081082A" w:rsidTr="00D01626">
        <w:tc>
          <w:tcPr>
            <w:tcW w:w="1152" w:type="pct"/>
            <w:vMerge w:val="restart"/>
            <w:tcBorders>
              <w:left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Подаци о циљној вредност</w:t>
            </w:r>
          </w:p>
        </w:tc>
        <w:tc>
          <w:tcPr>
            <w:tcW w:w="736"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78"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81"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79"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74"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c>
          <w:tcPr>
            <w:tcW w:w="1152"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736" w:type="pct"/>
            <w:shd w:val="clear" w:color="auto" w:fill="auto"/>
            <w:vAlign w:val="center"/>
          </w:tcPr>
          <w:p w:rsidR="00192373" w:rsidRPr="0081082A" w:rsidRDefault="00192373" w:rsidP="00D01626">
            <w:pPr>
              <w:shd w:val="clear" w:color="auto" w:fill="FFFFFF"/>
              <w:jc w:val="center"/>
              <w:rPr>
                <w:lang w:val="sr-Cyrl-RS"/>
              </w:rPr>
            </w:pPr>
            <w:r w:rsidRPr="0081082A">
              <w:rPr>
                <w:lang w:val="sr-Cyrl-RS"/>
              </w:rPr>
              <w:t>0</w:t>
            </w:r>
          </w:p>
        </w:tc>
        <w:tc>
          <w:tcPr>
            <w:tcW w:w="778" w:type="pct"/>
            <w:gridSpan w:val="2"/>
            <w:shd w:val="clear" w:color="auto" w:fill="auto"/>
            <w:vAlign w:val="center"/>
          </w:tcPr>
          <w:p w:rsidR="00192373" w:rsidRPr="0081082A" w:rsidRDefault="00192373" w:rsidP="00D01626">
            <w:pPr>
              <w:shd w:val="clear" w:color="auto" w:fill="FFFFFF"/>
              <w:jc w:val="center"/>
              <w:rPr>
                <w:lang w:val="sr-Cyrl-RS"/>
              </w:rPr>
            </w:pPr>
            <w:r w:rsidRPr="0081082A">
              <w:rPr>
                <w:lang w:val="sr-Cyrl-RS"/>
              </w:rPr>
              <w:t>0</w:t>
            </w:r>
          </w:p>
        </w:tc>
        <w:tc>
          <w:tcPr>
            <w:tcW w:w="781" w:type="pct"/>
            <w:gridSpan w:val="3"/>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0</w:t>
            </w:r>
          </w:p>
        </w:tc>
        <w:tc>
          <w:tcPr>
            <w:tcW w:w="779" w:type="pct"/>
            <w:gridSpan w:val="2"/>
            <w:shd w:val="clear" w:color="auto" w:fill="auto"/>
          </w:tcPr>
          <w:p w:rsidR="00192373" w:rsidRPr="0081082A" w:rsidRDefault="00192373" w:rsidP="00D01626">
            <w:pPr>
              <w:spacing w:before="0"/>
              <w:jc w:val="center"/>
              <w:rPr>
                <w:rFonts w:eastAsia="Calibri"/>
                <w:bCs/>
                <w:lang w:val="sr-Cyrl-RS"/>
              </w:rPr>
            </w:pPr>
            <w:r w:rsidRPr="0081082A">
              <w:rPr>
                <w:lang w:val="sr-Cyrl-RS"/>
              </w:rPr>
              <w:t>1</w:t>
            </w:r>
          </w:p>
        </w:tc>
        <w:tc>
          <w:tcPr>
            <w:tcW w:w="774"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r w:rsidRPr="0081082A">
              <w:rPr>
                <w:lang w:val="sr-Cyrl-RS"/>
              </w:rPr>
              <w:t>1</w:t>
            </w:r>
          </w:p>
        </w:tc>
      </w:tr>
      <w:tr w:rsidR="00192373" w:rsidRPr="0081082A" w:rsidTr="00D01626">
        <w:tc>
          <w:tcPr>
            <w:tcW w:w="1152" w:type="pct"/>
            <w:tcBorders>
              <w:left w:val="single" w:sz="4" w:space="0" w:color="auto"/>
              <w:bottom w:val="single" w:sz="4" w:space="0" w:color="auto"/>
            </w:tcBorders>
            <w:shd w:val="clear" w:color="auto" w:fill="auto"/>
          </w:tcPr>
          <w:p w:rsidR="00192373" w:rsidRPr="0081082A" w:rsidRDefault="00192373" w:rsidP="00D01626">
            <w:pPr>
              <w:spacing w:before="0"/>
              <w:rPr>
                <w:rFonts w:eastAsia="Calibri"/>
                <w:b/>
                <w:lang w:val="sr-Cyrl-RS"/>
              </w:rPr>
            </w:pPr>
            <w:r w:rsidRPr="0081082A">
              <w:rPr>
                <w:rFonts w:eastAsia="Calibri"/>
                <w:b/>
                <w:lang w:val="sr-Cyrl-RS"/>
              </w:rPr>
              <w:t>Процена успешности:</w:t>
            </w:r>
          </w:p>
        </w:tc>
        <w:tc>
          <w:tcPr>
            <w:tcW w:w="3848" w:type="pct"/>
            <w:gridSpan w:val="9"/>
            <w:tcBorders>
              <w:bottom w:val="single" w:sz="4" w:space="0" w:color="auto"/>
              <w:right w:val="single" w:sz="4" w:space="0" w:color="auto"/>
            </w:tcBorders>
            <w:shd w:val="clear" w:color="auto" w:fill="auto"/>
          </w:tcPr>
          <w:p w:rsidR="00192373" w:rsidRPr="0081082A" w:rsidRDefault="00192373" w:rsidP="00D01626">
            <w:pPr>
              <w:tabs>
                <w:tab w:val="right" w:pos="2140"/>
              </w:tabs>
              <w:spacing w:before="0"/>
              <w:rPr>
                <w:lang w:val="sr-Cyrl-RS"/>
              </w:rPr>
            </w:pPr>
            <w:r w:rsidRPr="0081082A">
              <w:rPr>
                <w:lang w:val="sr-Cyrl-RS"/>
              </w:rPr>
              <w:t>Успешност остварења циља у највећој мери зависи од формирања Комисије за примену међународних рачуноводствених стандарда за јавни сектор</w:t>
            </w:r>
          </w:p>
          <w:p w:rsidR="00192373" w:rsidRPr="0081082A" w:rsidRDefault="00192373" w:rsidP="00D01626">
            <w:pPr>
              <w:tabs>
                <w:tab w:val="right" w:pos="2140"/>
              </w:tabs>
              <w:spacing w:before="0"/>
              <w:rPr>
                <w:rFonts w:eastAsia="Calibri"/>
                <w:bCs/>
                <w:lang w:val="sr-Cyrl-RS"/>
              </w:rPr>
            </w:pPr>
            <w:r w:rsidRPr="0081082A">
              <w:rPr>
                <w:color w:val="000000" w:themeColor="text1"/>
                <w:lang w:val="sr-Cyrl-RS"/>
              </w:rPr>
              <w:t xml:space="preserve"> (члан 75а Закона о буџетском систему).</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посебног циља 6.</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115"/>
        <w:gridCol w:w="1433"/>
        <w:gridCol w:w="352"/>
        <w:gridCol w:w="1073"/>
        <w:gridCol w:w="716"/>
        <w:gridCol w:w="230"/>
        <w:gridCol w:w="470"/>
        <w:gridCol w:w="1071"/>
        <w:gridCol w:w="354"/>
        <w:gridCol w:w="1428"/>
      </w:tblGrid>
      <w:tr w:rsidR="00192373" w:rsidRPr="0081082A" w:rsidTr="00D01626">
        <w:tc>
          <w:tcPr>
            <w:tcW w:w="1121" w:type="pct"/>
            <w:tcBorders>
              <w:top w:val="single" w:sz="4" w:space="0" w:color="auto"/>
              <w:left w:val="single" w:sz="4" w:space="0" w:color="auto"/>
            </w:tcBorders>
            <w:shd w:val="clear" w:color="auto" w:fill="auto"/>
            <w:vAlign w:val="center"/>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Назив </w:t>
            </w:r>
            <w:r w:rsidR="00545897" w:rsidRPr="0081082A">
              <w:rPr>
                <w:rFonts w:eastAsia="Calibri"/>
                <w:b/>
                <w:lang w:val="sr-Cyrl-RS"/>
              </w:rPr>
              <w:t>показатеља</w:t>
            </w:r>
          </w:p>
        </w:tc>
        <w:tc>
          <w:tcPr>
            <w:tcW w:w="3879" w:type="pct"/>
            <w:gridSpan w:val="9"/>
            <w:tcBorders>
              <w:top w:val="single" w:sz="4" w:space="0" w:color="auto"/>
              <w:right w:val="single" w:sz="4" w:space="0" w:color="auto"/>
            </w:tcBorders>
            <w:shd w:val="clear" w:color="auto" w:fill="auto"/>
            <w:vAlign w:val="center"/>
          </w:tcPr>
          <w:p w:rsidR="00192373" w:rsidRPr="0081082A" w:rsidRDefault="00192373" w:rsidP="00D01626">
            <w:pPr>
              <w:tabs>
                <w:tab w:val="right" w:pos="2140"/>
              </w:tabs>
              <w:spacing w:before="0"/>
              <w:rPr>
                <w:b/>
                <w:lang w:val="sr-Cyrl-RS"/>
              </w:rPr>
            </w:pPr>
            <w:r w:rsidRPr="0081082A">
              <w:rPr>
                <w:b/>
                <w:lang w:val="sr-Cyrl-RS"/>
              </w:rPr>
              <w:t>Број разматраних извештаја о ревизији</w:t>
            </w:r>
          </w:p>
        </w:tc>
      </w:tr>
      <w:tr w:rsidR="00192373" w:rsidRPr="0081082A" w:rsidTr="00D01626">
        <w:tc>
          <w:tcPr>
            <w:tcW w:w="1121" w:type="pct"/>
            <w:tcBorders>
              <w:top w:val="single" w:sz="4"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lastRenderedPageBreak/>
              <w:t>Одговарајући општи циљ, посебан циљ или мера</w:t>
            </w:r>
          </w:p>
        </w:tc>
        <w:tc>
          <w:tcPr>
            <w:tcW w:w="3879" w:type="pct"/>
            <w:gridSpan w:val="9"/>
            <w:tcBorders>
              <w:top w:val="single" w:sz="4" w:space="0" w:color="auto"/>
              <w:right w:val="single" w:sz="4" w:space="0" w:color="auto"/>
            </w:tcBorders>
            <w:shd w:val="clear" w:color="auto" w:fill="auto"/>
          </w:tcPr>
          <w:p w:rsidR="00192373" w:rsidRPr="0081082A" w:rsidRDefault="00192373" w:rsidP="00D01626">
            <w:pPr>
              <w:tabs>
                <w:tab w:val="right" w:pos="2140"/>
              </w:tabs>
              <w:spacing w:before="0"/>
              <w:rPr>
                <w:rFonts w:eastAsia="Calibri"/>
                <w:lang w:val="sr-Cyrl-RS"/>
              </w:rPr>
            </w:pPr>
            <w:r w:rsidRPr="0081082A">
              <w:rPr>
                <w:rFonts w:eastAsia="Calibri"/>
                <w:lang w:val="sr-Cyrl-RS"/>
              </w:rPr>
              <w:t>Посебан циљ 6</w:t>
            </w:r>
            <w:r w:rsidRPr="0081082A">
              <w:rPr>
                <w:rFonts w:eastAsia="Calibri"/>
                <w:bCs/>
                <w:lang w:val="sr-Cyrl-RS"/>
              </w:rPr>
              <w:t xml:space="preserve">: </w:t>
            </w:r>
            <w:r w:rsidRPr="0081082A">
              <w:rPr>
                <w:bCs/>
                <w:lang w:val="sr-Cyrl-RS"/>
              </w:rPr>
              <w:t>Јачање спољног надзора над јавним финансијама</w:t>
            </w:r>
            <w:r w:rsidRPr="0081082A">
              <w:rPr>
                <w:lang w:val="sr-Cyrl-RS"/>
              </w:rPr>
              <w:t xml:space="preserve">  </w:t>
            </w:r>
          </w:p>
        </w:tc>
      </w:tr>
      <w:tr w:rsidR="00192373" w:rsidRPr="0081082A" w:rsidTr="00D01626">
        <w:tc>
          <w:tcPr>
            <w:tcW w:w="1121"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 xml:space="preserve">Тип показатеља </w:t>
            </w:r>
          </w:p>
        </w:tc>
        <w:tc>
          <w:tcPr>
            <w:tcW w:w="2071" w:type="pct"/>
            <w:gridSpan w:val="5"/>
            <w:tcBorders>
              <w:right w:val="single" w:sz="4" w:space="0" w:color="auto"/>
            </w:tcBorders>
            <w:shd w:val="clear" w:color="auto" w:fill="auto"/>
          </w:tcPr>
          <w:p w:rsidR="00192373" w:rsidRPr="0081082A" w:rsidRDefault="00192373" w:rsidP="00D01626">
            <w:pPr>
              <w:rPr>
                <w:lang w:val="sr-Cyrl-RS"/>
              </w:rPr>
            </w:pPr>
            <w:r w:rsidRPr="0081082A">
              <w:rPr>
                <w:lang w:val="sr-Cyrl-RS"/>
              </w:rPr>
              <w:t>Квантитативни</w:t>
            </w:r>
          </w:p>
        </w:tc>
        <w:tc>
          <w:tcPr>
            <w:tcW w:w="1808" w:type="pct"/>
            <w:gridSpan w:val="4"/>
            <w:tcBorders>
              <w:right w:val="single" w:sz="4" w:space="0" w:color="auto"/>
            </w:tcBorders>
            <w:shd w:val="clear" w:color="auto" w:fill="auto"/>
          </w:tcPr>
          <w:p w:rsidR="00192373" w:rsidRPr="0081082A" w:rsidRDefault="00192373" w:rsidP="00D01626">
            <w:pPr>
              <w:rPr>
                <w:lang w:val="sr-Cyrl-RS"/>
              </w:rPr>
            </w:pPr>
            <w:r w:rsidRPr="0081082A">
              <w:rPr>
                <w:bCs/>
                <w:lang w:val="sr-Cyrl-RS"/>
              </w:rPr>
              <w:t>Показатељ на нивоу посебног циља ПРУЈФ</w:t>
            </w:r>
          </w:p>
        </w:tc>
      </w:tr>
      <w:tr w:rsidR="00192373" w:rsidRPr="0081082A" w:rsidTr="00D01626">
        <w:tc>
          <w:tcPr>
            <w:tcW w:w="1121" w:type="pct"/>
            <w:tcBorders>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Јединица мере и природа</w:t>
            </w:r>
          </w:p>
        </w:tc>
        <w:tc>
          <w:tcPr>
            <w:tcW w:w="2071" w:type="pct"/>
            <w:gridSpan w:val="5"/>
            <w:tcBorders>
              <w:right w:val="single" w:sz="4" w:space="0" w:color="auto"/>
            </w:tcBorders>
            <w:shd w:val="clear" w:color="auto" w:fill="auto"/>
          </w:tcPr>
          <w:p w:rsidR="00192373" w:rsidRPr="0081082A" w:rsidRDefault="00192373" w:rsidP="00D01626">
            <w:pPr>
              <w:rPr>
                <w:lang w:val="sr-Cyrl-RS"/>
              </w:rPr>
            </w:pPr>
            <w:r w:rsidRPr="0081082A">
              <w:rPr>
                <w:lang w:val="sr-Cyrl-RS"/>
              </w:rPr>
              <w:t>Број</w:t>
            </w:r>
          </w:p>
        </w:tc>
        <w:tc>
          <w:tcPr>
            <w:tcW w:w="1808" w:type="pct"/>
            <w:gridSpan w:val="4"/>
            <w:tcBorders>
              <w:right w:val="single" w:sz="4" w:space="0" w:color="auto"/>
            </w:tcBorders>
            <w:shd w:val="clear" w:color="auto" w:fill="auto"/>
          </w:tcPr>
          <w:p w:rsidR="00192373" w:rsidRPr="0081082A" w:rsidRDefault="00192373" w:rsidP="00D01626">
            <w:pPr>
              <w:rPr>
                <w:lang w:val="sr-Cyrl-RS"/>
              </w:rPr>
            </w:pPr>
            <w:r w:rsidRPr="0081082A">
              <w:rPr>
                <w:lang w:val="sr-Cyrl-RS"/>
              </w:rPr>
              <w:t>Побољшање праћења поступања по препорукама и мерама наведених у закључцима Народне скупштине</w:t>
            </w:r>
          </w:p>
          <w:p w:rsidR="00192373" w:rsidRPr="0081082A" w:rsidRDefault="00192373" w:rsidP="00D01626">
            <w:pPr>
              <w:rPr>
                <w:lang w:val="sr-Cyrl-RS"/>
              </w:rPr>
            </w:pPr>
            <w:r w:rsidRPr="0081082A">
              <w:rPr>
                <w:lang w:val="sr-Cyrl-RS"/>
              </w:rPr>
              <w:t>Већи број је бољи.</w:t>
            </w:r>
          </w:p>
        </w:tc>
      </w:tr>
      <w:tr w:rsidR="00192373" w:rsidRPr="0081082A" w:rsidTr="00D01626">
        <w:tc>
          <w:tcPr>
            <w:tcW w:w="1121"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Извор података</w:t>
            </w:r>
          </w:p>
        </w:tc>
        <w:tc>
          <w:tcPr>
            <w:tcW w:w="3879" w:type="pct"/>
            <w:gridSpan w:val="9"/>
            <w:tcBorders>
              <w:bottom w:val="single" w:sz="4" w:space="0" w:color="auto"/>
              <w:right w:val="single" w:sz="4" w:space="0" w:color="auto"/>
            </w:tcBorders>
            <w:shd w:val="clear" w:color="auto" w:fill="auto"/>
          </w:tcPr>
          <w:p w:rsidR="00192373" w:rsidRPr="0081082A" w:rsidRDefault="00192373" w:rsidP="00D01626">
            <w:pPr>
              <w:rPr>
                <w:lang w:val="sr-Cyrl-RS"/>
              </w:rPr>
            </w:pPr>
            <w:r w:rsidRPr="0081082A">
              <w:rPr>
                <w:lang w:val="sr-Cyrl-RS"/>
              </w:rPr>
              <w:t>Извештаји Одбора/Записници са седница Одбора</w:t>
            </w:r>
          </w:p>
        </w:tc>
      </w:tr>
      <w:tr w:rsidR="00192373" w:rsidRPr="0081082A" w:rsidTr="00D01626">
        <w:tc>
          <w:tcPr>
            <w:tcW w:w="1121" w:type="pct"/>
            <w:tcBorders>
              <w:left w:val="single" w:sz="4" w:space="0" w:color="auto"/>
              <w:bottom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bCs/>
                <w:lang w:val="sr-Cyrl-RS"/>
              </w:rPr>
              <w:t>Назив носиоца прикупљања података</w:t>
            </w:r>
          </w:p>
        </w:tc>
        <w:tc>
          <w:tcPr>
            <w:tcW w:w="3879" w:type="pct"/>
            <w:gridSpan w:val="9"/>
            <w:tcBorders>
              <w:bottom w:val="single" w:sz="4" w:space="0" w:color="auto"/>
              <w:right w:val="single" w:sz="4" w:space="0" w:color="auto"/>
            </w:tcBorders>
            <w:shd w:val="clear" w:color="auto" w:fill="auto"/>
          </w:tcPr>
          <w:p w:rsidR="00192373" w:rsidRPr="0081082A" w:rsidRDefault="00192373" w:rsidP="00D01626">
            <w:pPr>
              <w:rPr>
                <w:lang w:val="sr-Cyrl-RS"/>
              </w:rPr>
            </w:pPr>
            <w:r w:rsidRPr="0081082A">
              <w:rPr>
                <w:lang w:val="sr-Cyrl-RS"/>
              </w:rPr>
              <w:t>Одбор за финансије, републички буџет и контролу трошења јавних средстава Народне скупштине</w:t>
            </w:r>
          </w:p>
        </w:tc>
      </w:tr>
      <w:tr w:rsidR="00192373" w:rsidRPr="0081082A" w:rsidTr="00D01626">
        <w:tc>
          <w:tcPr>
            <w:tcW w:w="1121" w:type="pct"/>
            <w:tcBorders>
              <w:top w:val="single" w:sz="4" w:space="0" w:color="auto"/>
              <w:left w:val="single" w:sz="4" w:space="0" w:color="auto"/>
            </w:tcBorders>
            <w:shd w:val="clear" w:color="auto" w:fill="auto"/>
          </w:tcPr>
          <w:p w:rsidR="00192373" w:rsidRPr="0081082A" w:rsidRDefault="00192373" w:rsidP="00D01626">
            <w:pPr>
              <w:tabs>
                <w:tab w:val="right" w:pos="2140"/>
              </w:tabs>
              <w:spacing w:before="0"/>
              <w:rPr>
                <w:rFonts w:eastAsia="Calibri"/>
                <w:b/>
                <w:lang w:val="sr-Cyrl-RS"/>
              </w:rPr>
            </w:pPr>
            <w:r w:rsidRPr="0081082A">
              <w:rPr>
                <w:rFonts w:eastAsia="Calibri"/>
                <w:b/>
                <w:lang w:val="sr-Cyrl-RS"/>
              </w:rPr>
              <w:t>Учесталост</w:t>
            </w:r>
          </w:p>
        </w:tc>
        <w:tc>
          <w:tcPr>
            <w:tcW w:w="3879" w:type="pct"/>
            <w:gridSpan w:val="9"/>
            <w:tcBorders>
              <w:top w:val="single" w:sz="4" w:space="0" w:color="auto"/>
              <w:right w:val="single" w:sz="4" w:space="0" w:color="auto"/>
            </w:tcBorders>
            <w:shd w:val="clear" w:color="auto" w:fill="auto"/>
          </w:tcPr>
          <w:p w:rsidR="00192373" w:rsidRPr="0081082A" w:rsidRDefault="00192373" w:rsidP="00D01626">
            <w:pPr>
              <w:rPr>
                <w:lang w:val="sr-Cyrl-RS"/>
              </w:rPr>
            </w:pPr>
            <w:r w:rsidRPr="0081082A">
              <w:rPr>
                <w:rFonts w:eastAsia="Calibri"/>
                <w:lang w:val="sr-Cyrl-RS"/>
              </w:rPr>
              <w:t>Подаци се прикупљају на годишњем нивоу.</w:t>
            </w:r>
          </w:p>
        </w:tc>
      </w:tr>
      <w:tr w:rsidR="00192373" w:rsidRPr="0081082A" w:rsidTr="00D01626">
        <w:trPr>
          <w:trHeight w:val="1232"/>
        </w:trPr>
        <w:tc>
          <w:tcPr>
            <w:tcW w:w="1121" w:type="pct"/>
            <w:tcBorders>
              <w:left w:val="single" w:sz="4" w:space="0" w:color="auto"/>
              <w:bottom w:val="single" w:sz="6" w:space="0" w:color="auto"/>
            </w:tcBorders>
            <w:shd w:val="clear" w:color="auto" w:fill="auto"/>
          </w:tcPr>
          <w:p w:rsidR="00192373" w:rsidRPr="0081082A" w:rsidRDefault="00192373" w:rsidP="00D01626">
            <w:pPr>
              <w:spacing w:before="0"/>
              <w:rPr>
                <w:rFonts w:eastAsia="Calibri"/>
                <w:b/>
                <w:bCs/>
                <w:lang w:val="sr-Cyrl-RS"/>
              </w:rPr>
            </w:pPr>
            <w:r w:rsidRPr="0081082A">
              <w:rPr>
                <w:rFonts w:eastAsia="Calibri"/>
                <w:b/>
                <w:bCs/>
                <w:lang w:val="sr-Cyrl-RS"/>
              </w:rPr>
              <w:t>Кратак опис показатеља и методологије израчунавања</w:t>
            </w:r>
          </w:p>
          <w:p w:rsidR="00192373" w:rsidRPr="0081082A" w:rsidRDefault="00192373" w:rsidP="00D01626">
            <w:pPr>
              <w:tabs>
                <w:tab w:val="right" w:pos="2140"/>
              </w:tabs>
              <w:spacing w:before="0"/>
              <w:rPr>
                <w:rFonts w:eastAsia="Calibri"/>
                <w:b/>
                <w:lang w:val="sr-Cyrl-RS"/>
              </w:rPr>
            </w:pPr>
            <w:r w:rsidRPr="0081082A">
              <w:rPr>
                <w:rFonts w:eastAsia="Calibri"/>
                <w:b/>
                <w:bCs/>
                <w:lang w:val="sr-Cyrl-RS"/>
              </w:rPr>
              <w:t>(формуле/једначине)</w:t>
            </w:r>
          </w:p>
        </w:tc>
        <w:tc>
          <w:tcPr>
            <w:tcW w:w="3879" w:type="pct"/>
            <w:gridSpan w:val="9"/>
            <w:tcBorders>
              <w:right w:val="single" w:sz="4" w:space="0" w:color="auto"/>
            </w:tcBorders>
            <w:shd w:val="clear" w:color="auto" w:fill="auto"/>
          </w:tcPr>
          <w:p w:rsidR="00192373" w:rsidRPr="0081082A" w:rsidRDefault="00192373" w:rsidP="00D01626">
            <w:pPr>
              <w:rPr>
                <w:lang w:val="sr-Cyrl-RS"/>
              </w:rPr>
            </w:pPr>
            <w:r w:rsidRPr="0081082A">
              <w:rPr>
                <w:lang w:val="sr-Cyrl-RS"/>
              </w:rPr>
              <w:t>Показатељ се односи на праћење поступања Владе/Министарства финансија по препорукама и мерама наведеним у закључцима Народне скупштине поводом разматрања и усвајања извештаја ДРИ</w:t>
            </w:r>
          </w:p>
        </w:tc>
      </w:tr>
      <w:tr w:rsidR="00192373" w:rsidRPr="0081082A" w:rsidTr="00D01626">
        <w:tc>
          <w:tcPr>
            <w:tcW w:w="1121" w:type="pct"/>
            <w:vMerge w:val="restart"/>
            <w:tcBorders>
              <w:top w:val="single" w:sz="6" w:space="0" w:color="auto"/>
              <w:left w:val="single" w:sz="4" w:space="0" w:color="auto"/>
            </w:tcBorders>
            <w:shd w:val="clear" w:color="auto" w:fill="auto"/>
          </w:tcPr>
          <w:p w:rsidR="00192373" w:rsidRPr="0081082A" w:rsidRDefault="00192373" w:rsidP="00D01626">
            <w:pPr>
              <w:spacing w:before="0"/>
              <w:rPr>
                <w:rFonts w:eastAsia="Calibri"/>
                <w:b/>
                <w:bCs/>
                <w:color w:val="000000" w:themeColor="text1"/>
                <w:lang w:val="sr-Cyrl-RS"/>
              </w:rPr>
            </w:pPr>
            <w:r w:rsidRPr="0081082A">
              <w:rPr>
                <w:rFonts w:eastAsia="Calibri"/>
                <w:b/>
                <w:bCs/>
                <w:color w:val="000000" w:themeColor="text1"/>
                <w:lang w:val="sr-Cyrl-RS"/>
              </w:rPr>
              <w:t>Подаци о полазној вредности и години кад је измерена, као и о ранијем тренду</w:t>
            </w:r>
          </w:p>
        </w:tc>
        <w:tc>
          <w:tcPr>
            <w:tcW w:w="2910" w:type="pct"/>
            <w:gridSpan w:val="7"/>
            <w:tcBorders>
              <w:top w:val="single" w:sz="6" w:space="0" w:color="auto"/>
            </w:tcBorders>
            <w:shd w:val="clear" w:color="auto" w:fill="auto"/>
            <w:vAlign w:val="center"/>
          </w:tcPr>
          <w:p w:rsidR="00192373" w:rsidRPr="0081082A" w:rsidRDefault="00192373" w:rsidP="00D01626">
            <w:pPr>
              <w:tabs>
                <w:tab w:val="right" w:pos="2140"/>
              </w:tabs>
              <w:spacing w:before="0"/>
              <w:rPr>
                <w:rFonts w:eastAsia="Calibri"/>
                <w:bCs/>
                <w:lang w:val="sr-Cyrl-RS"/>
              </w:rPr>
            </w:pPr>
            <w:r w:rsidRPr="0081082A">
              <w:rPr>
                <w:rFonts w:eastAsia="Calibri"/>
                <w:lang w:val="sr-Cyrl-RS"/>
              </w:rPr>
              <w:t>Ранији тренд</w:t>
            </w:r>
          </w:p>
        </w:tc>
        <w:tc>
          <w:tcPr>
            <w:tcW w:w="969" w:type="pct"/>
            <w:gridSpan w:val="2"/>
            <w:tcBorders>
              <w:top w:val="single" w:sz="6" w:space="0" w:color="auto"/>
              <w:right w:val="single" w:sz="4" w:space="0" w:color="auto"/>
            </w:tcBorders>
            <w:shd w:val="clear" w:color="auto" w:fill="auto"/>
            <w:vAlign w:val="center"/>
          </w:tcPr>
          <w:p w:rsidR="00192373" w:rsidRPr="0081082A" w:rsidRDefault="00192373" w:rsidP="00D01626">
            <w:pPr>
              <w:tabs>
                <w:tab w:val="right" w:pos="2140"/>
              </w:tabs>
              <w:spacing w:before="0"/>
              <w:jc w:val="center"/>
              <w:rPr>
                <w:rFonts w:eastAsia="Calibri"/>
                <w:bCs/>
                <w:lang w:val="sr-Cyrl-RS"/>
              </w:rPr>
            </w:pPr>
            <w:r w:rsidRPr="0081082A">
              <w:rPr>
                <w:rFonts w:eastAsia="Calibri"/>
                <w:lang w:val="sr-Cyrl-RS"/>
              </w:rPr>
              <w:t>Полазна вредност</w:t>
            </w:r>
          </w:p>
        </w:tc>
      </w:tr>
      <w:tr w:rsidR="00192373" w:rsidRPr="0081082A" w:rsidTr="00D01626">
        <w:tc>
          <w:tcPr>
            <w:tcW w:w="1121" w:type="pct"/>
            <w:vMerge/>
            <w:tcBorders>
              <w:left w:val="single" w:sz="4" w:space="0" w:color="auto"/>
            </w:tcBorders>
            <w:shd w:val="clear" w:color="auto" w:fill="auto"/>
          </w:tcPr>
          <w:p w:rsidR="00192373" w:rsidRPr="0081082A" w:rsidRDefault="00192373" w:rsidP="00D01626">
            <w:pPr>
              <w:spacing w:before="0"/>
              <w:rPr>
                <w:rFonts w:eastAsia="Calibri"/>
                <w:b/>
                <w:color w:val="000000" w:themeColor="text1"/>
                <w:lang w:val="sr-Cyrl-RS"/>
              </w:rPr>
            </w:pPr>
          </w:p>
        </w:tc>
        <w:tc>
          <w:tcPr>
            <w:tcW w:w="971"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2016.</w:t>
            </w:r>
          </w:p>
        </w:tc>
        <w:tc>
          <w:tcPr>
            <w:tcW w:w="973" w:type="pct"/>
            <w:gridSpan w:val="2"/>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2018.</w:t>
            </w:r>
          </w:p>
        </w:tc>
        <w:tc>
          <w:tcPr>
            <w:tcW w:w="966" w:type="pct"/>
            <w:gridSpan w:val="3"/>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2019.</w:t>
            </w:r>
          </w:p>
        </w:tc>
        <w:tc>
          <w:tcPr>
            <w:tcW w:w="969"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rFonts w:eastAsia="Calibri"/>
                <w:bCs/>
                <w:lang w:val="sr-Cyrl-RS"/>
              </w:rPr>
              <w:t xml:space="preserve">2020. </w:t>
            </w:r>
          </w:p>
        </w:tc>
      </w:tr>
      <w:tr w:rsidR="00192373" w:rsidRPr="0081082A" w:rsidTr="00D01626">
        <w:tc>
          <w:tcPr>
            <w:tcW w:w="1121" w:type="pct"/>
            <w:vMerge/>
            <w:tcBorders>
              <w:left w:val="single" w:sz="4" w:space="0" w:color="auto"/>
            </w:tcBorders>
            <w:shd w:val="clear" w:color="auto" w:fill="auto"/>
          </w:tcPr>
          <w:p w:rsidR="00192373" w:rsidRPr="0081082A" w:rsidRDefault="00192373" w:rsidP="00D01626">
            <w:pPr>
              <w:spacing w:before="0"/>
              <w:rPr>
                <w:rFonts w:eastAsia="Calibri"/>
                <w:b/>
                <w:color w:val="000000" w:themeColor="text1"/>
                <w:lang w:val="sr-Cyrl-RS"/>
              </w:rPr>
            </w:pPr>
          </w:p>
        </w:tc>
        <w:tc>
          <w:tcPr>
            <w:tcW w:w="971" w:type="pct"/>
            <w:gridSpan w:val="2"/>
            <w:shd w:val="clear" w:color="auto" w:fill="auto"/>
          </w:tcPr>
          <w:p w:rsidR="00192373" w:rsidRPr="0081082A" w:rsidRDefault="00192373" w:rsidP="00D01626">
            <w:pPr>
              <w:tabs>
                <w:tab w:val="right" w:pos="2140"/>
              </w:tabs>
              <w:spacing w:before="0"/>
              <w:jc w:val="center"/>
              <w:rPr>
                <w:rFonts w:eastAsia="Calibri"/>
                <w:bCs/>
                <w:lang w:val="sr-Cyrl-RS"/>
              </w:rPr>
            </w:pPr>
          </w:p>
        </w:tc>
        <w:tc>
          <w:tcPr>
            <w:tcW w:w="973" w:type="pct"/>
            <w:gridSpan w:val="2"/>
            <w:shd w:val="clear" w:color="auto" w:fill="auto"/>
          </w:tcPr>
          <w:p w:rsidR="00192373" w:rsidRPr="0081082A" w:rsidRDefault="0087467F" w:rsidP="00D01626">
            <w:pPr>
              <w:tabs>
                <w:tab w:val="right" w:pos="2140"/>
              </w:tabs>
              <w:spacing w:before="0"/>
              <w:jc w:val="center"/>
              <w:rPr>
                <w:rFonts w:eastAsia="Calibri"/>
                <w:bCs/>
                <w:lang w:val="sr-Cyrl-RS"/>
              </w:rPr>
            </w:pPr>
            <w:r w:rsidRPr="0081082A">
              <w:rPr>
                <w:rFonts w:eastAsia="Calibri"/>
                <w:bCs/>
                <w:lang w:val="sr-Cyrl-RS"/>
              </w:rPr>
              <w:t>9</w:t>
            </w:r>
          </w:p>
        </w:tc>
        <w:tc>
          <w:tcPr>
            <w:tcW w:w="966" w:type="pct"/>
            <w:gridSpan w:val="3"/>
            <w:shd w:val="clear" w:color="auto" w:fill="auto"/>
          </w:tcPr>
          <w:p w:rsidR="00192373" w:rsidRPr="0081082A" w:rsidRDefault="0087467F" w:rsidP="00D01626">
            <w:pPr>
              <w:tabs>
                <w:tab w:val="right" w:pos="2140"/>
              </w:tabs>
              <w:spacing w:before="0"/>
              <w:jc w:val="center"/>
              <w:rPr>
                <w:rFonts w:eastAsia="Calibri"/>
                <w:bCs/>
                <w:lang w:val="sr-Cyrl-RS"/>
              </w:rPr>
            </w:pPr>
            <w:r w:rsidRPr="0081082A">
              <w:rPr>
                <w:rFonts w:eastAsia="Calibri"/>
                <w:bCs/>
                <w:lang w:val="sr-Cyrl-RS"/>
              </w:rPr>
              <w:t>115</w:t>
            </w:r>
          </w:p>
        </w:tc>
        <w:tc>
          <w:tcPr>
            <w:tcW w:w="969" w:type="pct"/>
            <w:gridSpan w:val="2"/>
            <w:tcBorders>
              <w:right w:val="single" w:sz="4" w:space="0" w:color="auto"/>
            </w:tcBorders>
            <w:shd w:val="clear" w:color="auto" w:fill="auto"/>
          </w:tcPr>
          <w:p w:rsidR="00192373" w:rsidRPr="0081082A" w:rsidRDefault="00192373" w:rsidP="00D01626">
            <w:pPr>
              <w:tabs>
                <w:tab w:val="right" w:pos="2140"/>
              </w:tabs>
              <w:spacing w:before="0"/>
              <w:jc w:val="center"/>
              <w:rPr>
                <w:rFonts w:eastAsia="Calibri"/>
                <w:bCs/>
                <w:lang w:val="sr-Cyrl-RS"/>
              </w:rPr>
            </w:pPr>
            <w:r w:rsidRPr="0081082A">
              <w:rPr>
                <w:lang w:val="sr-Cyrl-RS"/>
              </w:rPr>
              <w:t>194</w:t>
            </w:r>
          </w:p>
        </w:tc>
      </w:tr>
      <w:tr w:rsidR="00192373" w:rsidRPr="0081082A" w:rsidTr="00D01626">
        <w:tc>
          <w:tcPr>
            <w:tcW w:w="1121" w:type="pct"/>
            <w:vMerge w:val="restart"/>
            <w:tcBorders>
              <w:left w:val="single" w:sz="4" w:space="0" w:color="auto"/>
            </w:tcBorders>
            <w:shd w:val="clear" w:color="auto" w:fill="auto"/>
          </w:tcPr>
          <w:p w:rsidR="00192373" w:rsidRPr="0081082A" w:rsidRDefault="00192373" w:rsidP="00D01626">
            <w:pPr>
              <w:spacing w:before="0"/>
              <w:rPr>
                <w:rFonts w:eastAsia="Calibri"/>
                <w:b/>
                <w:color w:val="000000" w:themeColor="text1"/>
                <w:lang w:val="sr-Cyrl-RS"/>
              </w:rPr>
            </w:pPr>
            <w:r w:rsidRPr="0081082A">
              <w:rPr>
                <w:rFonts w:eastAsia="Calibri"/>
                <w:b/>
                <w:color w:val="000000" w:themeColor="text1"/>
                <w:lang w:val="sr-Cyrl-RS"/>
              </w:rPr>
              <w:t>Подаци о циљној вредност</w:t>
            </w:r>
          </w:p>
        </w:tc>
        <w:tc>
          <w:tcPr>
            <w:tcW w:w="778" w:type="pct"/>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76"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74" w:type="pct"/>
            <w:gridSpan w:val="3"/>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76" w:type="pct"/>
            <w:gridSpan w:val="2"/>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75" w:type="pct"/>
            <w:tcBorders>
              <w:right w:val="single" w:sz="4" w:space="0" w:color="auto"/>
            </w:tcBorders>
            <w:shd w:val="clear" w:color="auto" w:fill="auto"/>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c>
          <w:tcPr>
            <w:tcW w:w="1121" w:type="pct"/>
            <w:vMerge/>
            <w:tcBorders>
              <w:left w:val="single" w:sz="4" w:space="0" w:color="auto"/>
            </w:tcBorders>
            <w:shd w:val="clear" w:color="auto" w:fill="auto"/>
          </w:tcPr>
          <w:p w:rsidR="00192373" w:rsidRPr="0081082A" w:rsidRDefault="00192373" w:rsidP="00D01626">
            <w:pPr>
              <w:spacing w:before="0"/>
              <w:rPr>
                <w:rFonts w:eastAsia="Calibri"/>
                <w:b/>
                <w:lang w:val="sr-Cyrl-RS"/>
              </w:rPr>
            </w:pPr>
          </w:p>
        </w:tc>
        <w:tc>
          <w:tcPr>
            <w:tcW w:w="778" w:type="pct"/>
            <w:shd w:val="clear" w:color="auto" w:fill="auto"/>
            <w:vAlign w:val="center"/>
          </w:tcPr>
          <w:p w:rsidR="00192373" w:rsidRPr="0081082A" w:rsidRDefault="00192373" w:rsidP="00D01626">
            <w:pPr>
              <w:shd w:val="clear" w:color="auto" w:fill="FFFFFF"/>
              <w:jc w:val="center"/>
              <w:rPr>
                <w:lang w:val="sr-Cyrl-RS"/>
              </w:rPr>
            </w:pPr>
            <w:r w:rsidRPr="0081082A">
              <w:rPr>
                <w:lang w:val="sr-Cyrl-RS"/>
              </w:rPr>
              <w:t>205</w:t>
            </w:r>
          </w:p>
        </w:tc>
        <w:tc>
          <w:tcPr>
            <w:tcW w:w="776" w:type="pct"/>
            <w:gridSpan w:val="2"/>
            <w:shd w:val="clear" w:color="auto" w:fill="auto"/>
            <w:vAlign w:val="center"/>
          </w:tcPr>
          <w:p w:rsidR="00192373" w:rsidRPr="0081082A" w:rsidRDefault="00192373" w:rsidP="00D01626">
            <w:pPr>
              <w:shd w:val="clear" w:color="auto" w:fill="FFFFFF"/>
              <w:jc w:val="center"/>
              <w:rPr>
                <w:lang w:val="sr-Cyrl-RS"/>
              </w:rPr>
            </w:pPr>
            <w:r w:rsidRPr="0081082A">
              <w:rPr>
                <w:lang w:val="sr-Cyrl-RS"/>
              </w:rPr>
              <w:t>215</w:t>
            </w:r>
          </w:p>
        </w:tc>
        <w:tc>
          <w:tcPr>
            <w:tcW w:w="774" w:type="pct"/>
            <w:gridSpan w:val="3"/>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225</w:t>
            </w:r>
          </w:p>
        </w:tc>
        <w:tc>
          <w:tcPr>
            <w:tcW w:w="776" w:type="pct"/>
            <w:gridSpan w:val="2"/>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235</w:t>
            </w:r>
          </w:p>
        </w:tc>
        <w:tc>
          <w:tcPr>
            <w:tcW w:w="775" w:type="pct"/>
            <w:tcBorders>
              <w:right w:val="single" w:sz="4" w:space="0" w:color="auto"/>
            </w:tcBorders>
            <w:shd w:val="clear" w:color="auto" w:fill="auto"/>
            <w:vAlign w:val="center"/>
          </w:tcPr>
          <w:p w:rsidR="00192373" w:rsidRPr="0081082A" w:rsidRDefault="00192373" w:rsidP="00D01626">
            <w:pPr>
              <w:spacing w:before="0"/>
              <w:jc w:val="center"/>
              <w:rPr>
                <w:rFonts w:eastAsia="Calibri"/>
                <w:bCs/>
                <w:lang w:val="sr-Cyrl-RS"/>
              </w:rPr>
            </w:pPr>
            <w:r w:rsidRPr="0081082A">
              <w:rPr>
                <w:lang w:val="sr-Cyrl-RS"/>
              </w:rPr>
              <w:t>245</w:t>
            </w:r>
          </w:p>
        </w:tc>
      </w:tr>
      <w:tr w:rsidR="00192373" w:rsidRPr="0081082A" w:rsidTr="00D01626">
        <w:tc>
          <w:tcPr>
            <w:tcW w:w="1121" w:type="pct"/>
            <w:tcBorders>
              <w:left w:val="single" w:sz="4" w:space="0" w:color="auto"/>
              <w:bottom w:val="single" w:sz="4" w:space="0" w:color="auto"/>
            </w:tcBorders>
            <w:shd w:val="clear" w:color="auto" w:fill="auto"/>
          </w:tcPr>
          <w:p w:rsidR="00192373" w:rsidRPr="0081082A" w:rsidRDefault="00192373" w:rsidP="00D01626">
            <w:pPr>
              <w:spacing w:before="0"/>
              <w:rPr>
                <w:rFonts w:eastAsia="Calibri"/>
                <w:b/>
                <w:color w:val="FF0000"/>
                <w:lang w:val="sr-Cyrl-RS"/>
              </w:rPr>
            </w:pPr>
            <w:r w:rsidRPr="0081082A">
              <w:rPr>
                <w:rFonts w:eastAsia="Calibri"/>
                <w:b/>
                <w:color w:val="000000" w:themeColor="text1"/>
                <w:lang w:val="sr-Cyrl-RS"/>
              </w:rPr>
              <w:t>Процена успешности:</w:t>
            </w:r>
          </w:p>
        </w:tc>
        <w:tc>
          <w:tcPr>
            <w:tcW w:w="3879" w:type="pct"/>
            <w:gridSpan w:val="9"/>
            <w:tcBorders>
              <w:bottom w:val="single" w:sz="4" w:space="0" w:color="auto"/>
              <w:right w:val="single" w:sz="4" w:space="0" w:color="auto"/>
            </w:tcBorders>
            <w:shd w:val="clear" w:color="auto" w:fill="auto"/>
          </w:tcPr>
          <w:p w:rsidR="00192373" w:rsidRPr="0081082A" w:rsidRDefault="00192373" w:rsidP="00D01626">
            <w:pPr>
              <w:tabs>
                <w:tab w:val="right" w:pos="2140"/>
              </w:tabs>
              <w:spacing w:before="0"/>
              <w:rPr>
                <w:rFonts w:eastAsia="Calibri"/>
                <w:bCs/>
                <w:color w:val="FF0000"/>
                <w:lang w:val="sr-Cyrl-RS"/>
              </w:rPr>
            </w:pPr>
            <w:r w:rsidRPr="0081082A">
              <w:rPr>
                <w:rFonts w:eastAsia="Calibri"/>
                <w:bCs/>
                <w:lang w:val="sr-Cyrl-RS"/>
              </w:rPr>
              <w:t>Одступање до 5 је прихватљиво</w:t>
            </w:r>
          </w:p>
        </w:tc>
      </w:tr>
    </w:tbl>
    <w:p w:rsidR="00192373" w:rsidRDefault="00192373" w:rsidP="00192373">
      <w:pPr>
        <w:spacing w:before="0" w:after="160" w:line="259" w:lineRule="auto"/>
        <w:rPr>
          <w:rFonts w:ascii="Calibri" w:eastAsia="Calibri" w:hAnsi="Calibri"/>
          <w:sz w:val="22"/>
          <w:szCs w:val="22"/>
          <w:lang w:val="sr-Cyrl-RS"/>
        </w:rPr>
      </w:pPr>
    </w:p>
    <w:p w:rsidR="007600E7" w:rsidRDefault="007600E7" w:rsidP="00192373">
      <w:pPr>
        <w:spacing w:before="0" w:after="160" w:line="259" w:lineRule="auto"/>
        <w:rPr>
          <w:rFonts w:ascii="Calibri" w:eastAsia="Calibri" w:hAnsi="Calibri"/>
          <w:sz w:val="22"/>
          <w:szCs w:val="22"/>
          <w:lang w:val="sr-Cyrl-RS"/>
        </w:rPr>
      </w:pPr>
    </w:p>
    <w:p w:rsidR="007600E7" w:rsidRDefault="007600E7" w:rsidP="00192373">
      <w:pPr>
        <w:spacing w:before="0" w:after="160" w:line="259" w:lineRule="auto"/>
        <w:rPr>
          <w:rFonts w:ascii="Calibri" w:eastAsia="Calibri" w:hAnsi="Calibri"/>
          <w:sz w:val="22"/>
          <w:szCs w:val="22"/>
          <w:lang w:val="sr-Cyrl-RS"/>
        </w:rPr>
      </w:pPr>
    </w:p>
    <w:p w:rsidR="007600E7" w:rsidRPr="0081082A" w:rsidRDefault="007600E7" w:rsidP="00192373">
      <w:pPr>
        <w:spacing w:before="0" w:after="160" w:line="259" w:lineRule="auto"/>
        <w:rPr>
          <w:rFonts w:ascii="Calibri" w:eastAsia="Calibri" w:hAnsi="Calibri"/>
          <w:sz w:val="22"/>
          <w:szCs w:val="22"/>
          <w:lang w:val="sr-Cyrl-RS"/>
        </w:rPr>
      </w:pPr>
    </w:p>
    <w:p w:rsidR="004A7992" w:rsidRDefault="004A7992" w:rsidP="00192373">
      <w:pPr>
        <w:spacing w:before="0" w:after="160" w:line="259" w:lineRule="auto"/>
        <w:rPr>
          <w:rFonts w:ascii="Calibri" w:eastAsia="Calibri" w:hAnsi="Calibri"/>
          <w:sz w:val="22"/>
          <w:szCs w:val="22"/>
          <w:lang w:val="sr-Cyrl-RS"/>
        </w:rPr>
      </w:pPr>
    </w:p>
    <w:p w:rsidR="007600E7" w:rsidRPr="0081082A" w:rsidRDefault="007600E7" w:rsidP="00192373">
      <w:pPr>
        <w:spacing w:before="0" w:after="160" w:line="259" w:lineRule="auto"/>
        <w:rPr>
          <w:rFonts w:ascii="Calibri" w:eastAsia="Calibri" w:hAnsi="Calibri"/>
          <w:sz w:val="22"/>
          <w:szCs w:val="22"/>
          <w:lang w:val="sr-Cyrl-RS"/>
        </w:rPr>
      </w:pPr>
    </w:p>
    <w:p w:rsidR="004A7992" w:rsidRPr="0081082A" w:rsidRDefault="004A7992" w:rsidP="00192373">
      <w:pPr>
        <w:spacing w:before="0" w:after="160" w:line="259" w:lineRule="auto"/>
        <w:rPr>
          <w:rFonts w:ascii="Calibri" w:eastAsia="Calibri" w:hAnsi="Calibri"/>
          <w:sz w:val="22"/>
          <w:szCs w:val="22"/>
          <w:lang w:val="sr-Cyrl-RS"/>
        </w:rPr>
      </w:pPr>
    </w:p>
    <w:p w:rsidR="00192373" w:rsidRPr="0081082A" w:rsidRDefault="00192373" w:rsidP="00192373">
      <w:pPr>
        <w:spacing w:before="0" w:after="160" w:line="259" w:lineRule="auto"/>
        <w:jc w:val="center"/>
        <w:rPr>
          <w:rFonts w:eastAsia="Calibri"/>
          <w:b/>
          <w:color w:val="002060"/>
          <w:lang w:val="sr-Cyrl-RS"/>
        </w:rPr>
      </w:pPr>
      <w:r w:rsidRPr="0081082A">
        <w:rPr>
          <w:rFonts w:eastAsia="Calibri"/>
          <w:b/>
          <w:color w:val="002060"/>
          <w:lang w:val="sr-Cyrl-RS"/>
        </w:rPr>
        <w:t>ПОКАЗАТЕЉИ НА НИВОУ МЕРА</w:t>
      </w:r>
    </w:p>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9"/>
        <w:gridCol w:w="1379"/>
        <w:gridCol w:w="523"/>
        <w:gridCol w:w="956"/>
        <w:gridCol w:w="641"/>
        <w:gridCol w:w="48"/>
        <w:gridCol w:w="691"/>
        <w:gridCol w:w="991"/>
        <w:gridCol w:w="390"/>
        <w:gridCol w:w="1384"/>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bookmarkStart w:id="145" w:name="_Hlk57114987"/>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Израђена анализа примене програмског буџета</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1.1: Унапређење програмског буџета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3"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6"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3"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6" w:type="pct"/>
            <w:gridSpan w:val="5"/>
            <w:shd w:val="clear" w:color="auto" w:fill="FFFFFF"/>
            <w:vAlign w:val="center"/>
          </w:tcPr>
          <w:p w:rsidR="00192373" w:rsidRPr="0081082A" w:rsidRDefault="00192373" w:rsidP="00D01626">
            <w:pPr>
              <w:spacing w:before="0" w:after="0"/>
              <w:rPr>
                <w:rFonts w:eastAsia="Arial"/>
                <w:iCs/>
                <w:spacing w:val="-1"/>
                <w:kern w:val="24"/>
                <w:lang w:val="sr-Cyrl-RS"/>
              </w:rPr>
            </w:pPr>
            <w:r w:rsidRPr="0081082A">
              <w:rPr>
                <w:rFonts w:eastAsia="Arial"/>
                <w:iCs/>
                <w:spacing w:val="-1"/>
                <w:kern w:val="24"/>
                <w:lang w:val="sr-Cyrl-RS"/>
              </w:rPr>
              <w:t>Унапређење програмског буџета</w:t>
            </w:r>
          </w:p>
          <w:p w:rsidR="00192373" w:rsidRPr="0081082A" w:rsidRDefault="00192373" w:rsidP="00D01626">
            <w:pPr>
              <w:spacing w:before="0" w:after="0"/>
              <w:rPr>
                <w:rFonts w:eastAsia="Arial"/>
                <w:iCs/>
                <w:spacing w:val="-1"/>
                <w:kern w:val="24"/>
                <w:lang w:val="sr-Cyrl-RS"/>
              </w:rPr>
            </w:pPr>
            <w:r w:rsidRPr="0081082A">
              <w:rPr>
                <w:rFonts w:eastAsia="Arial"/>
                <w:iCs/>
                <w:spacing w:val="-1"/>
                <w:kern w:val="24"/>
                <w:lang w:val="sr-Cyrl-RS"/>
              </w:rPr>
              <w:t>0-не</w:t>
            </w:r>
          </w:p>
          <w:p w:rsidR="00192373" w:rsidRPr="0081082A" w:rsidRDefault="00192373" w:rsidP="00D01626">
            <w:pPr>
              <w:spacing w:before="0" w:after="0"/>
              <w:rPr>
                <w:rFonts w:eastAsia="Arial"/>
                <w:iCs/>
                <w:color w:val="FF0000"/>
                <w:spacing w:val="-1"/>
                <w:kern w:val="24"/>
                <w:lang w:val="sr-Cyrl-RS"/>
              </w:rPr>
            </w:pPr>
            <w:r w:rsidRPr="0081082A">
              <w:rPr>
                <w:rFonts w:eastAsia="Arial"/>
                <w:iCs/>
                <w:spacing w:val="-1"/>
                <w:kern w:val="24"/>
                <w:lang w:val="sr-Cyrl-RS"/>
              </w:rPr>
              <w:t>1-да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Министарство финансија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 буџета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за време трајања Програма</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има за циљ да пружи увид у примену програмског буџетирања на свим нивоима власти, и тиме помогне у отклањању свих уочених слабости и недостатака у изради и примени програмског буџета </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29"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90"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1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90"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1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800"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4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6"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00"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47"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49"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Одступања нису дозвољена</w:t>
            </w:r>
          </w:p>
        </w:tc>
      </w:tr>
    </w:tbl>
    <w:bookmarkEnd w:id="145"/>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1.1</w:t>
      </w:r>
    </w:p>
    <w:tbl>
      <w:tblPr>
        <w:tblW w:w="50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76"/>
        <w:gridCol w:w="1403"/>
        <w:gridCol w:w="346"/>
        <w:gridCol w:w="732"/>
        <w:gridCol w:w="325"/>
        <w:gridCol w:w="703"/>
        <w:gridCol w:w="703"/>
        <w:gridCol w:w="1052"/>
        <w:gridCol w:w="351"/>
        <w:gridCol w:w="1403"/>
      </w:tblGrid>
      <w:tr w:rsidR="00192373" w:rsidRPr="0081082A" w:rsidTr="00D01626">
        <w:trPr>
          <w:jc w:val="center"/>
        </w:trPr>
        <w:tc>
          <w:tcPr>
            <w:tcW w:w="1224" w:type="pct"/>
            <w:shd w:val="clear" w:color="auto" w:fill="6C7781"/>
            <w:vAlign w:val="center"/>
          </w:tcPr>
          <w:p w:rsidR="00192373" w:rsidRPr="0081082A" w:rsidRDefault="00192373" w:rsidP="00CF0A72">
            <w:pPr>
              <w:spacing w:after="100"/>
              <w:rPr>
                <w:rFonts w:eastAsia="Calibri"/>
                <w:b/>
                <w:bCs/>
                <w:color w:val="FFFFFF"/>
                <w:lang w:val="sr-Cyrl-RS"/>
              </w:rPr>
            </w:pPr>
            <w:r w:rsidRPr="0081082A">
              <w:rPr>
                <w:rFonts w:eastAsia="Calibri"/>
                <w:b/>
                <w:bCs/>
                <w:color w:val="FFFFFF"/>
                <w:lang w:val="sr-Cyrl-RS"/>
              </w:rPr>
              <w:t>Назив показатеља</w:t>
            </w:r>
          </w:p>
        </w:tc>
        <w:tc>
          <w:tcPr>
            <w:tcW w:w="3776" w:type="pct"/>
            <w:gridSpan w:val="9"/>
            <w:shd w:val="clear" w:color="auto" w:fill="6C7781"/>
            <w:vAlign w:val="center"/>
          </w:tcPr>
          <w:p w:rsidR="00192373" w:rsidRPr="0081082A" w:rsidRDefault="00192373" w:rsidP="00CF0A72">
            <w:pPr>
              <w:spacing w:after="100"/>
              <w:rPr>
                <w:rFonts w:eastAsia="Calibri"/>
                <w:b/>
                <w:bCs/>
                <w:color w:val="FFFFFF"/>
                <w:lang w:val="sr-Cyrl-RS"/>
              </w:rPr>
            </w:pPr>
            <w:r w:rsidRPr="0081082A">
              <w:rPr>
                <w:rFonts w:eastAsia="Calibri"/>
                <w:b/>
                <w:bCs/>
                <w:color w:val="FFFFFF"/>
                <w:lang w:val="sr-Cyrl-RS"/>
              </w:rPr>
              <w:t>Израђена анализа униформне структуре програмског буџета јединица локалне самоуправе</w:t>
            </w:r>
          </w:p>
        </w:tc>
      </w:tr>
      <w:tr w:rsidR="00192373" w:rsidRPr="0081082A" w:rsidTr="00D01626">
        <w:trPr>
          <w:jc w:val="center"/>
        </w:trPr>
        <w:tc>
          <w:tcPr>
            <w:tcW w:w="1224" w:type="pct"/>
            <w:shd w:val="clear" w:color="auto" w:fill="auto"/>
          </w:tcPr>
          <w:p w:rsidR="00192373" w:rsidRPr="0081082A" w:rsidRDefault="00192373" w:rsidP="00D01626">
            <w:pPr>
              <w:spacing w:before="0" w:after="0"/>
              <w:rPr>
                <w:rFonts w:eastAsia="Calibri"/>
                <w:b/>
                <w:bCs/>
                <w:lang w:val="sr-Cyrl-RS"/>
              </w:rPr>
            </w:pPr>
            <w:bookmarkStart w:id="146" w:name="_Hlk57115024"/>
            <w:r w:rsidRPr="0081082A">
              <w:rPr>
                <w:rFonts w:eastAsia="Calibri"/>
                <w:b/>
                <w:bCs/>
                <w:lang w:val="sr-Cyrl-RS"/>
              </w:rPr>
              <w:t>Одговарајући општи циљ, посебан циљ или мера</w:t>
            </w:r>
          </w:p>
        </w:tc>
        <w:tc>
          <w:tcPr>
            <w:tcW w:w="3776" w:type="pct"/>
            <w:gridSpan w:val="9"/>
            <w:shd w:val="clear" w:color="auto" w:fill="FFFFFF"/>
            <w:vAlign w:val="center"/>
          </w:tcPr>
          <w:p w:rsidR="00192373" w:rsidRPr="0081082A" w:rsidRDefault="00192373" w:rsidP="00D01626">
            <w:pPr>
              <w:tabs>
                <w:tab w:val="left" w:pos="152"/>
              </w:tabs>
              <w:spacing w:before="0" w:after="0"/>
              <w:rPr>
                <w:rFonts w:eastAsia="Calibri"/>
                <w:bCs/>
                <w:kern w:val="24"/>
                <w:lang w:val="sr-Cyrl-RS"/>
              </w:rPr>
            </w:pPr>
            <w:r w:rsidRPr="0081082A">
              <w:rPr>
                <w:rFonts w:eastAsia="Calibri"/>
                <w:b/>
                <w:iCs/>
                <w:color w:val="000000"/>
                <w:lang w:val="sr-Cyrl-RS"/>
              </w:rPr>
              <w:t>Мера 1.1: Унапређење програмског буџета</w:t>
            </w:r>
          </w:p>
        </w:tc>
      </w:tr>
      <w:tr w:rsidR="00192373" w:rsidRPr="0081082A" w:rsidTr="00D01626">
        <w:trPr>
          <w:jc w:val="center"/>
        </w:trPr>
        <w:tc>
          <w:tcPr>
            <w:tcW w:w="1224" w:type="pct"/>
            <w:shd w:val="clear" w:color="auto" w:fill="auto"/>
          </w:tcPr>
          <w:p w:rsidR="00192373" w:rsidRPr="0081082A" w:rsidRDefault="00192373" w:rsidP="00D01626">
            <w:pPr>
              <w:spacing w:before="0" w:after="0"/>
              <w:rPr>
                <w:rFonts w:eastAsia="Calibri"/>
                <w:b/>
                <w:bCs/>
                <w:lang w:val="sr-Cyrl-RS"/>
              </w:rPr>
            </w:pPr>
            <w:r w:rsidRPr="0081082A">
              <w:rPr>
                <w:rFonts w:eastAsia="Calibri"/>
                <w:b/>
                <w:kern w:val="24"/>
                <w:lang w:val="sr-Cyrl-RS"/>
              </w:rPr>
              <w:t>Тип и ниво показатеља</w:t>
            </w:r>
          </w:p>
        </w:tc>
        <w:tc>
          <w:tcPr>
            <w:tcW w:w="1335" w:type="pct"/>
            <w:gridSpan w:val="3"/>
            <w:shd w:val="clear" w:color="auto" w:fill="FFFFFF"/>
            <w:vAlign w:val="center"/>
          </w:tcPr>
          <w:p w:rsidR="00192373" w:rsidRPr="0081082A" w:rsidRDefault="00192373" w:rsidP="00D01626">
            <w:pPr>
              <w:tabs>
                <w:tab w:val="left" w:pos="152"/>
              </w:tabs>
              <w:spacing w:before="0" w:after="0"/>
              <w:rPr>
                <w:rFonts w:eastAsia="Calibri"/>
                <w:bCs/>
                <w:color w:val="000000"/>
                <w:kern w:val="24"/>
                <w:lang w:val="sr-Cyrl-RS"/>
              </w:rPr>
            </w:pPr>
            <w:r w:rsidRPr="0081082A">
              <w:rPr>
                <w:rFonts w:eastAsia="Calibri"/>
                <w:bCs/>
                <w:color w:val="000000"/>
                <w:kern w:val="24"/>
                <w:lang w:val="sr-Cyrl-RS"/>
              </w:rPr>
              <w:t>Квантитативни</w:t>
            </w:r>
          </w:p>
        </w:tc>
        <w:tc>
          <w:tcPr>
            <w:tcW w:w="2441" w:type="pct"/>
            <w:gridSpan w:val="6"/>
            <w:shd w:val="clear" w:color="auto" w:fill="FFFFFF"/>
            <w:vAlign w:val="center"/>
          </w:tcPr>
          <w:p w:rsidR="00192373" w:rsidRPr="0081082A" w:rsidRDefault="00192373" w:rsidP="00D01626">
            <w:pPr>
              <w:spacing w:before="0" w:after="0"/>
              <w:rPr>
                <w:rFonts w:eastAsia="Calibri"/>
                <w:bCs/>
                <w:color w:val="000000"/>
                <w:kern w:val="24"/>
                <w:lang w:val="sr-Cyrl-RS"/>
              </w:rPr>
            </w:pPr>
            <w:r w:rsidRPr="0081082A">
              <w:rPr>
                <w:rFonts w:eastAsia="Calibri"/>
                <w:bCs/>
                <w:color w:val="000000"/>
                <w:kern w:val="24"/>
                <w:lang w:val="sr-Cyrl-RS"/>
              </w:rPr>
              <w:t>Показатељ на нивоу мере</w:t>
            </w:r>
          </w:p>
        </w:tc>
      </w:tr>
      <w:tr w:rsidR="00192373" w:rsidRPr="0081082A" w:rsidTr="00D01626">
        <w:trPr>
          <w:trHeight w:val="373"/>
          <w:jc w:val="center"/>
        </w:trPr>
        <w:tc>
          <w:tcPr>
            <w:tcW w:w="1224" w:type="pct"/>
            <w:shd w:val="clear" w:color="auto" w:fill="auto"/>
          </w:tcPr>
          <w:p w:rsidR="00192373" w:rsidRPr="0081082A" w:rsidRDefault="00192373" w:rsidP="00D01626">
            <w:pPr>
              <w:spacing w:before="0" w:after="0"/>
              <w:rPr>
                <w:rFonts w:eastAsia="Calibri"/>
                <w:b/>
                <w:kern w:val="24"/>
                <w:lang w:val="sr-Cyrl-RS"/>
              </w:rPr>
            </w:pPr>
            <w:r w:rsidRPr="0081082A">
              <w:rPr>
                <w:rFonts w:eastAsia="Calibri"/>
                <w:b/>
                <w:kern w:val="24"/>
                <w:lang w:val="sr-Cyrl-RS"/>
              </w:rPr>
              <w:t xml:space="preserve">Јединица мере и </w:t>
            </w:r>
            <w:r w:rsidRPr="0081082A">
              <w:rPr>
                <w:rFonts w:eastAsia="Calibri"/>
                <w:b/>
                <w:kern w:val="24"/>
                <w:lang w:val="sr-Cyrl-RS"/>
              </w:rPr>
              <w:lastRenderedPageBreak/>
              <w:t>природа</w:t>
            </w:r>
          </w:p>
        </w:tc>
        <w:tc>
          <w:tcPr>
            <w:tcW w:w="1335" w:type="pct"/>
            <w:gridSpan w:val="3"/>
            <w:shd w:val="clear" w:color="auto" w:fill="FFFFFF"/>
            <w:vAlign w:val="center"/>
          </w:tcPr>
          <w:p w:rsidR="00192373" w:rsidRPr="0081082A" w:rsidRDefault="00192373" w:rsidP="00D01626">
            <w:pPr>
              <w:tabs>
                <w:tab w:val="left" w:pos="152"/>
              </w:tabs>
              <w:spacing w:before="0" w:after="0"/>
              <w:rPr>
                <w:rFonts w:eastAsia="Calibri"/>
                <w:color w:val="000000"/>
                <w:lang w:val="sr-Cyrl-RS"/>
              </w:rPr>
            </w:pPr>
            <w:r w:rsidRPr="0081082A">
              <w:rPr>
                <w:rFonts w:eastAsia="Calibri"/>
                <w:bCs/>
                <w:color w:val="000000"/>
                <w:kern w:val="24"/>
                <w:lang w:val="sr-Cyrl-RS"/>
              </w:rPr>
              <w:lastRenderedPageBreak/>
              <w:t>Број</w:t>
            </w:r>
          </w:p>
        </w:tc>
        <w:tc>
          <w:tcPr>
            <w:tcW w:w="2441" w:type="pct"/>
            <w:gridSpan w:val="6"/>
            <w:shd w:val="clear" w:color="auto" w:fill="FFFFFF"/>
            <w:vAlign w:val="center"/>
          </w:tcPr>
          <w:p w:rsidR="00192373" w:rsidRPr="0081082A" w:rsidRDefault="00192373" w:rsidP="00D01626">
            <w:pPr>
              <w:spacing w:before="0" w:after="0"/>
              <w:rPr>
                <w:rFonts w:eastAsia="Arial"/>
                <w:color w:val="000000"/>
                <w:spacing w:val="-1"/>
                <w:kern w:val="24"/>
                <w:lang w:val="sr-Cyrl-RS"/>
              </w:rPr>
            </w:pPr>
            <w:r w:rsidRPr="0081082A">
              <w:rPr>
                <w:rFonts w:eastAsia="Arial"/>
                <w:color w:val="000000"/>
                <w:spacing w:val="-1"/>
                <w:kern w:val="24"/>
                <w:lang w:val="sr-Cyrl-RS"/>
              </w:rPr>
              <w:t xml:space="preserve">Унапређење програмског буџета на нивоу </w:t>
            </w:r>
            <w:r w:rsidRPr="0081082A">
              <w:rPr>
                <w:rFonts w:eastAsia="Arial"/>
                <w:color w:val="000000"/>
                <w:spacing w:val="-1"/>
                <w:kern w:val="24"/>
                <w:lang w:val="sr-Cyrl-RS"/>
              </w:rPr>
              <w:lastRenderedPageBreak/>
              <w:t>јединица локалне самоуправе</w:t>
            </w:r>
          </w:p>
          <w:p w:rsidR="00192373" w:rsidRPr="0081082A" w:rsidRDefault="00192373" w:rsidP="00D01626">
            <w:pPr>
              <w:spacing w:before="0" w:after="0"/>
              <w:rPr>
                <w:rFonts w:eastAsia="Arial"/>
                <w:spacing w:val="-1"/>
                <w:kern w:val="24"/>
                <w:lang w:val="sr-Cyrl-RS"/>
              </w:rPr>
            </w:pPr>
            <w:r w:rsidRPr="0081082A">
              <w:rPr>
                <w:rFonts w:eastAsia="Arial"/>
                <w:spacing w:val="-1"/>
                <w:kern w:val="24"/>
                <w:lang w:val="sr-Cyrl-RS"/>
              </w:rPr>
              <w:t>0-не</w:t>
            </w:r>
          </w:p>
          <w:p w:rsidR="00192373" w:rsidRPr="0081082A" w:rsidRDefault="00192373" w:rsidP="00D01626">
            <w:pPr>
              <w:spacing w:before="0" w:after="0"/>
              <w:rPr>
                <w:rFonts w:eastAsia="Arial"/>
                <w:color w:val="000000"/>
                <w:spacing w:val="-1"/>
                <w:kern w:val="24"/>
                <w:lang w:val="sr-Cyrl-RS"/>
              </w:rPr>
            </w:pPr>
            <w:r w:rsidRPr="0081082A">
              <w:rPr>
                <w:rFonts w:eastAsia="Arial"/>
                <w:spacing w:val="-1"/>
                <w:kern w:val="24"/>
                <w:lang w:val="sr-Cyrl-RS"/>
              </w:rPr>
              <w:t>1-да</w:t>
            </w:r>
          </w:p>
        </w:tc>
      </w:tr>
      <w:bookmarkEnd w:id="146"/>
      <w:tr w:rsidR="00192373" w:rsidRPr="0081082A" w:rsidTr="00D01626">
        <w:trPr>
          <w:jc w:val="center"/>
        </w:trPr>
        <w:tc>
          <w:tcPr>
            <w:tcW w:w="1224" w:type="pct"/>
            <w:shd w:val="clear" w:color="auto" w:fill="auto"/>
          </w:tcPr>
          <w:p w:rsidR="00192373" w:rsidRPr="0081082A" w:rsidRDefault="00192373" w:rsidP="00D01626">
            <w:pPr>
              <w:spacing w:before="0" w:after="0"/>
              <w:rPr>
                <w:rFonts w:eastAsia="Calibri"/>
                <w:b/>
                <w:bCs/>
                <w:lang w:val="sr-Cyrl-RS"/>
              </w:rPr>
            </w:pPr>
            <w:r w:rsidRPr="0081082A">
              <w:rPr>
                <w:rFonts w:eastAsia="Calibri"/>
                <w:b/>
                <w:bCs/>
                <w:lang w:val="sr-Cyrl-RS"/>
              </w:rPr>
              <w:lastRenderedPageBreak/>
              <w:t>Извор података за праћење показатеља учинка</w:t>
            </w:r>
          </w:p>
        </w:tc>
        <w:tc>
          <w:tcPr>
            <w:tcW w:w="3776" w:type="pct"/>
            <w:gridSpan w:val="9"/>
            <w:shd w:val="clear" w:color="auto" w:fill="FFFFFF"/>
            <w:vAlign w:val="center"/>
          </w:tcPr>
          <w:p w:rsidR="00192373" w:rsidRPr="0081082A" w:rsidRDefault="00192373" w:rsidP="00D01626">
            <w:pPr>
              <w:tabs>
                <w:tab w:val="left" w:pos="152"/>
              </w:tabs>
              <w:spacing w:before="0" w:after="0"/>
              <w:rPr>
                <w:rFonts w:eastAsia="Calibri"/>
                <w:color w:val="000000"/>
                <w:lang w:val="sr-Cyrl-RS"/>
              </w:rPr>
            </w:pPr>
            <w:r w:rsidRPr="0081082A">
              <w:rPr>
                <w:rFonts w:eastAsia="Calibri"/>
                <w:bCs/>
                <w:color w:val="000000"/>
                <w:kern w:val="24"/>
                <w:lang w:val="sr-Cyrl-RS"/>
              </w:rPr>
              <w:t>Министарство финансија</w:t>
            </w:r>
          </w:p>
        </w:tc>
      </w:tr>
      <w:tr w:rsidR="00192373" w:rsidRPr="0081082A" w:rsidTr="00D01626">
        <w:trPr>
          <w:jc w:val="center"/>
        </w:trPr>
        <w:tc>
          <w:tcPr>
            <w:tcW w:w="1224" w:type="pct"/>
            <w:shd w:val="clear" w:color="auto" w:fill="auto"/>
          </w:tcPr>
          <w:p w:rsidR="00192373" w:rsidRPr="0081082A" w:rsidRDefault="00192373" w:rsidP="00D01626">
            <w:pPr>
              <w:spacing w:before="0" w:after="0"/>
              <w:rPr>
                <w:rFonts w:eastAsia="Calibri"/>
                <w:b/>
                <w:bCs/>
                <w:lang w:val="sr-Cyrl-RS"/>
              </w:rPr>
            </w:pPr>
            <w:r w:rsidRPr="0081082A">
              <w:rPr>
                <w:rFonts w:eastAsia="Calibri"/>
                <w:b/>
                <w:bCs/>
                <w:lang w:val="sr-Cyrl-RS"/>
              </w:rPr>
              <w:t>Назив носиоца прикупљања података</w:t>
            </w:r>
          </w:p>
        </w:tc>
        <w:tc>
          <w:tcPr>
            <w:tcW w:w="3776" w:type="pct"/>
            <w:gridSpan w:val="9"/>
            <w:shd w:val="clear" w:color="auto" w:fill="FFFFFF"/>
            <w:vAlign w:val="center"/>
          </w:tcPr>
          <w:p w:rsidR="00192373" w:rsidRPr="0081082A" w:rsidRDefault="00192373" w:rsidP="00D01626">
            <w:pPr>
              <w:spacing w:before="0" w:after="0"/>
              <w:rPr>
                <w:rFonts w:eastAsia="Calibri"/>
                <w:color w:val="000000"/>
                <w:lang w:val="sr-Cyrl-RS"/>
              </w:rPr>
            </w:pPr>
            <w:r w:rsidRPr="0081082A">
              <w:rPr>
                <w:rFonts w:eastAsia="Calibri"/>
                <w:bCs/>
                <w:color w:val="000000"/>
                <w:kern w:val="24"/>
                <w:lang w:val="sr-Cyrl-RS"/>
              </w:rPr>
              <w:t>Министарство финансија- Сектор буџета</w:t>
            </w:r>
          </w:p>
        </w:tc>
      </w:tr>
      <w:tr w:rsidR="00192373" w:rsidRPr="0081082A" w:rsidTr="00D01626">
        <w:trPr>
          <w:jc w:val="center"/>
        </w:trPr>
        <w:tc>
          <w:tcPr>
            <w:tcW w:w="1224" w:type="pct"/>
            <w:shd w:val="clear" w:color="auto" w:fill="auto"/>
          </w:tcPr>
          <w:p w:rsidR="00192373" w:rsidRPr="0081082A" w:rsidRDefault="00192373" w:rsidP="00D01626">
            <w:pPr>
              <w:spacing w:before="0" w:after="0"/>
              <w:rPr>
                <w:rFonts w:eastAsia="Calibri"/>
                <w:b/>
                <w:bCs/>
                <w:lang w:val="sr-Cyrl-RS"/>
              </w:rPr>
            </w:pPr>
            <w:r w:rsidRPr="0081082A">
              <w:rPr>
                <w:rFonts w:eastAsia="Calibri"/>
                <w:b/>
                <w:bCs/>
                <w:lang w:val="sr-Cyrl-RS"/>
              </w:rPr>
              <w:t>Учесталост прикупљања података</w:t>
            </w:r>
          </w:p>
        </w:tc>
        <w:tc>
          <w:tcPr>
            <w:tcW w:w="3776" w:type="pct"/>
            <w:gridSpan w:val="9"/>
            <w:shd w:val="clear" w:color="auto" w:fill="FFFFFF"/>
            <w:vAlign w:val="center"/>
          </w:tcPr>
          <w:p w:rsidR="00192373" w:rsidRPr="0081082A" w:rsidRDefault="00192373" w:rsidP="00D01626">
            <w:pPr>
              <w:spacing w:before="0" w:after="0"/>
              <w:rPr>
                <w:rFonts w:eastAsia="Calibri"/>
                <w:color w:val="000000"/>
                <w:lang w:val="sr-Cyrl-RS"/>
              </w:rPr>
            </w:pPr>
            <w:r w:rsidRPr="0081082A">
              <w:rPr>
                <w:rFonts w:eastAsia="Calibri"/>
                <w:color w:val="000000"/>
                <w:lang w:val="sr-Cyrl-RS"/>
              </w:rPr>
              <w:t xml:space="preserve">Једном за време трајања Програма </w:t>
            </w:r>
          </w:p>
        </w:tc>
      </w:tr>
      <w:tr w:rsidR="00192373" w:rsidRPr="0081082A" w:rsidTr="00D01626">
        <w:trPr>
          <w:trHeight w:val="1853"/>
          <w:jc w:val="center"/>
        </w:trPr>
        <w:tc>
          <w:tcPr>
            <w:tcW w:w="1224" w:type="pct"/>
            <w:shd w:val="clear" w:color="auto" w:fill="auto"/>
          </w:tcPr>
          <w:p w:rsidR="00192373" w:rsidRPr="0081082A" w:rsidRDefault="00192373" w:rsidP="00D01626">
            <w:pPr>
              <w:spacing w:before="0" w:after="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0" w:after="0"/>
              <w:rPr>
                <w:rFonts w:eastAsia="Calibri"/>
                <w:b/>
                <w:lang w:val="sr-Cyrl-RS"/>
              </w:rPr>
            </w:pPr>
            <w:r w:rsidRPr="0081082A">
              <w:rPr>
                <w:rFonts w:eastAsia="Calibri"/>
                <w:b/>
                <w:lang w:val="sr-Cyrl-RS"/>
              </w:rPr>
              <w:t>(формуле/ једначине)</w:t>
            </w:r>
          </w:p>
          <w:p w:rsidR="00192373" w:rsidRPr="0081082A" w:rsidRDefault="00192373" w:rsidP="00D01626">
            <w:pPr>
              <w:spacing w:before="0" w:after="0"/>
              <w:rPr>
                <w:rFonts w:eastAsia="Calibri"/>
                <w:b/>
                <w:bCs/>
                <w:lang w:val="sr-Cyrl-RS"/>
              </w:rPr>
            </w:pPr>
          </w:p>
          <w:p w:rsidR="00192373" w:rsidRPr="0081082A" w:rsidRDefault="00192373" w:rsidP="00D01626">
            <w:pPr>
              <w:spacing w:before="0" w:after="0"/>
              <w:rPr>
                <w:rFonts w:eastAsia="Calibri"/>
                <w:b/>
                <w:bCs/>
                <w:lang w:val="sr-Cyrl-RS"/>
              </w:rPr>
            </w:pPr>
          </w:p>
          <w:p w:rsidR="00192373" w:rsidRPr="0081082A" w:rsidRDefault="00192373" w:rsidP="00D01626">
            <w:pPr>
              <w:spacing w:before="0" w:after="0"/>
              <w:rPr>
                <w:rFonts w:eastAsia="Calibri"/>
                <w:b/>
                <w:bCs/>
                <w:lang w:val="sr-Cyrl-RS"/>
              </w:rPr>
            </w:pPr>
          </w:p>
          <w:p w:rsidR="00192373" w:rsidRPr="0081082A" w:rsidRDefault="00192373" w:rsidP="00D01626">
            <w:pPr>
              <w:spacing w:before="0" w:after="0"/>
              <w:rPr>
                <w:rFonts w:eastAsia="Calibri"/>
                <w:b/>
                <w:bCs/>
                <w:lang w:val="sr-Cyrl-RS"/>
              </w:rPr>
            </w:pPr>
          </w:p>
        </w:tc>
        <w:tc>
          <w:tcPr>
            <w:tcW w:w="3776" w:type="pct"/>
            <w:gridSpan w:val="9"/>
            <w:shd w:val="clear" w:color="auto" w:fill="FFFFFF"/>
          </w:tcPr>
          <w:p w:rsidR="00192373" w:rsidRPr="0081082A" w:rsidRDefault="00192373" w:rsidP="00D01626">
            <w:pPr>
              <w:spacing w:before="0" w:after="0"/>
              <w:rPr>
                <w:rFonts w:eastAsia="Calibri"/>
                <w:color w:val="000000"/>
                <w:lang w:val="sr-Cyrl-RS"/>
              </w:rPr>
            </w:pPr>
            <w:r w:rsidRPr="0081082A">
              <w:rPr>
                <w:rFonts w:eastAsia="Calibri"/>
                <w:color w:val="000000"/>
                <w:lang w:val="sr-Cyrl-RS"/>
              </w:rPr>
              <w:t>Овај показатељ указује на јединственост структуре програмског буџета и евентуална одступања и разлике у припреми буџета јединица локалне самоуправе. Показатељ има за циљ да утврди да ли се буџети јединица локалних самоуправа припремају на јединствен начин како би се обезбедило ефикасно планирање и буџетирање јавних средстава.</w:t>
            </w:r>
          </w:p>
        </w:tc>
      </w:tr>
      <w:tr w:rsidR="00192373" w:rsidRPr="0081082A" w:rsidTr="00D01626">
        <w:trPr>
          <w:trHeight w:val="265"/>
          <w:jc w:val="center"/>
        </w:trPr>
        <w:tc>
          <w:tcPr>
            <w:tcW w:w="1224" w:type="pct"/>
            <w:vMerge w:val="restart"/>
            <w:shd w:val="clear" w:color="auto" w:fill="auto"/>
          </w:tcPr>
          <w:p w:rsidR="00192373" w:rsidRPr="0081082A" w:rsidRDefault="00192373" w:rsidP="00D01626">
            <w:pPr>
              <w:spacing w:before="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32" w:type="pct"/>
            <w:gridSpan w:val="7"/>
            <w:tcBorders>
              <w:bottom w:val="single" w:sz="4" w:space="0" w:color="auto"/>
            </w:tcBorders>
            <w:shd w:val="clear" w:color="auto" w:fill="FFFFFF"/>
            <w:vAlign w:val="center"/>
          </w:tcPr>
          <w:p w:rsidR="00192373" w:rsidRPr="0081082A" w:rsidRDefault="00192373" w:rsidP="00D01626">
            <w:pPr>
              <w:spacing w:before="0" w:after="0"/>
              <w:rPr>
                <w:rFonts w:eastAsia="Calibri"/>
                <w:color w:val="000000"/>
                <w:lang w:val="sr-Cyrl-RS"/>
              </w:rPr>
            </w:pPr>
            <w:r w:rsidRPr="0081082A">
              <w:rPr>
                <w:rFonts w:eastAsia="Calibri"/>
                <w:color w:val="000000"/>
                <w:lang w:val="sr-Cyrl-RS"/>
              </w:rPr>
              <w:t>Ранији тренд</w:t>
            </w:r>
          </w:p>
        </w:tc>
        <w:tc>
          <w:tcPr>
            <w:tcW w:w="944" w:type="pct"/>
            <w:gridSpan w:val="2"/>
            <w:shd w:val="clear" w:color="auto" w:fill="FFFFFF"/>
            <w:vAlign w:val="center"/>
          </w:tcPr>
          <w:p w:rsidR="00192373" w:rsidRPr="0081082A" w:rsidRDefault="00192373" w:rsidP="00D01626">
            <w:pPr>
              <w:spacing w:before="0" w:after="0"/>
              <w:rPr>
                <w:rFonts w:eastAsia="Calibri"/>
                <w:color w:val="000000"/>
                <w:lang w:val="sr-Cyrl-RS"/>
              </w:rPr>
            </w:pPr>
            <w:r w:rsidRPr="0081082A">
              <w:rPr>
                <w:rFonts w:eastAsia="Calibri"/>
                <w:color w:val="000000"/>
                <w:lang w:val="sr-Cyrl-RS"/>
              </w:rPr>
              <w:t>Полазна вредност</w:t>
            </w:r>
          </w:p>
        </w:tc>
      </w:tr>
      <w:tr w:rsidR="00192373" w:rsidRPr="0081082A" w:rsidTr="00D01626">
        <w:trPr>
          <w:trHeight w:val="137"/>
          <w:jc w:val="center"/>
        </w:trPr>
        <w:tc>
          <w:tcPr>
            <w:tcW w:w="1224" w:type="pct"/>
            <w:vMerge/>
            <w:shd w:val="clear" w:color="auto" w:fill="auto"/>
          </w:tcPr>
          <w:p w:rsidR="00192373" w:rsidRPr="0081082A" w:rsidRDefault="00192373" w:rsidP="00D01626">
            <w:pPr>
              <w:spacing w:before="0" w:after="0"/>
              <w:rPr>
                <w:rFonts w:eastAsia="Calibri"/>
                <w:b/>
                <w:bCs/>
                <w:lang w:val="sr-Cyrl-RS"/>
              </w:rPr>
            </w:pPr>
          </w:p>
        </w:tc>
        <w:tc>
          <w:tcPr>
            <w:tcW w:w="941"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2017.</w:t>
            </w:r>
          </w:p>
        </w:tc>
        <w:tc>
          <w:tcPr>
            <w:tcW w:w="947"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2018.</w:t>
            </w:r>
          </w:p>
        </w:tc>
        <w:tc>
          <w:tcPr>
            <w:tcW w:w="944"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2019.</w:t>
            </w:r>
          </w:p>
        </w:tc>
        <w:tc>
          <w:tcPr>
            <w:tcW w:w="944" w:type="pct"/>
            <w:gridSpan w:val="2"/>
            <w:tcBorders>
              <w:left w:val="single" w:sz="4" w:space="0" w:color="auto"/>
            </w:tcBorders>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2020.</w:t>
            </w:r>
          </w:p>
        </w:tc>
      </w:tr>
      <w:tr w:rsidR="00192373" w:rsidRPr="0081082A" w:rsidTr="00D01626">
        <w:trPr>
          <w:trHeight w:val="323"/>
          <w:jc w:val="center"/>
        </w:trPr>
        <w:tc>
          <w:tcPr>
            <w:tcW w:w="1224" w:type="pct"/>
            <w:vMerge/>
            <w:shd w:val="clear" w:color="auto" w:fill="auto"/>
          </w:tcPr>
          <w:p w:rsidR="00192373" w:rsidRPr="0081082A" w:rsidRDefault="00192373" w:rsidP="00D01626">
            <w:pPr>
              <w:spacing w:before="0" w:after="0"/>
              <w:rPr>
                <w:rFonts w:eastAsia="Calibri"/>
                <w:b/>
                <w:bCs/>
                <w:lang w:val="sr-Cyrl-RS"/>
              </w:rPr>
            </w:pPr>
          </w:p>
        </w:tc>
        <w:tc>
          <w:tcPr>
            <w:tcW w:w="941" w:type="pct"/>
            <w:gridSpan w:val="2"/>
            <w:tcBorders>
              <w:top w:val="single" w:sz="4" w:space="0" w:color="auto"/>
            </w:tcBorders>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0</w:t>
            </w:r>
          </w:p>
        </w:tc>
        <w:tc>
          <w:tcPr>
            <w:tcW w:w="947" w:type="pct"/>
            <w:gridSpan w:val="3"/>
            <w:tcBorders>
              <w:top w:val="single" w:sz="4" w:space="0" w:color="auto"/>
            </w:tcBorders>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0</w:t>
            </w:r>
          </w:p>
        </w:tc>
        <w:tc>
          <w:tcPr>
            <w:tcW w:w="944" w:type="pct"/>
            <w:gridSpan w:val="2"/>
            <w:tcBorders>
              <w:top w:val="single" w:sz="4" w:space="0" w:color="auto"/>
            </w:tcBorders>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0</w:t>
            </w:r>
          </w:p>
        </w:tc>
        <w:tc>
          <w:tcPr>
            <w:tcW w:w="944" w:type="pct"/>
            <w:gridSpan w:val="2"/>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0</w:t>
            </w:r>
          </w:p>
        </w:tc>
      </w:tr>
      <w:tr w:rsidR="00192373" w:rsidRPr="0081082A" w:rsidTr="00D01626">
        <w:trPr>
          <w:trHeight w:val="350"/>
          <w:jc w:val="center"/>
        </w:trPr>
        <w:tc>
          <w:tcPr>
            <w:tcW w:w="1224" w:type="pct"/>
            <w:vMerge w:val="restart"/>
            <w:shd w:val="clear" w:color="auto" w:fill="auto"/>
          </w:tcPr>
          <w:p w:rsidR="00192373" w:rsidRPr="0081082A" w:rsidRDefault="00192373" w:rsidP="00D01626">
            <w:pPr>
              <w:spacing w:before="0" w:after="0"/>
              <w:rPr>
                <w:rFonts w:eastAsia="Calibri"/>
                <w:b/>
                <w:bCs/>
                <w:lang w:val="sr-Cyrl-RS"/>
              </w:rPr>
            </w:pPr>
            <w:r w:rsidRPr="0081082A">
              <w:rPr>
                <w:rFonts w:eastAsia="Calibri"/>
                <w:b/>
                <w:bCs/>
                <w:lang w:val="sr-Cyrl-RS"/>
              </w:rPr>
              <w:t>Подаци о циљним вредностима</w:t>
            </w:r>
          </w:p>
        </w:tc>
        <w:tc>
          <w:tcPr>
            <w:tcW w:w="755" w:type="pct"/>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2021.</w:t>
            </w:r>
          </w:p>
        </w:tc>
        <w:tc>
          <w:tcPr>
            <w:tcW w:w="755" w:type="pct"/>
            <w:gridSpan w:val="3"/>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2022.</w:t>
            </w:r>
          </w:p>
        </w:tc>
        <w:tc>
          <w:tcPr>
            <w:tcW w:w="756" w:type="pct"/>
            <w:gridSpan w:val="2"/>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2023.</w:t>
            </w:r>
          </w:p>
        </w:tc>
        <w:tc>
          <w:tcPr>
            <w:tcW w:w="755" w:type="pct"/>
            <w:gridSpan w:val="2"/>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2024.</w:t>
            </w:r>
          </w:p>
        </w:tc>
        <w:tc>
          <w:tcPr>
            <w:tcW w:w="755" w:type="pct"/>
            <w:shd w:val="clear" w:color="auto" w:fill="FFFFFF"/>
            <w:vAlign w:val="center"/>
          </w:tcPr>
          <w:p w:rsidR="00192373" w:rsidRPr="0081082A" w:rsidRDefault="00192373" w:rsidP="00D01626">
            <w:pPr>
              <w:spacing w:before="0" w:after="0"/>
              <w:jc w:val="center"/>
              <w:rPr>
                <w:rFonts w:eastAsia="Calibri"/>
                <w:color w:val="000000"/>
                <w:lang w:val="sr-Cyrl-RS"/>
              </w:rPr>
            </w:pPr>
            <w:r w:rsidRPr="0081082A">
              <w:rPr>
                <w:rFonts w:eastAsia="Calibri"/>
                <w:color w:val="000000"/>
                <w:lang w:val="sr-Cyrl-RS"/>
              </w:rPr>
              <w:t>2025.</w:t>
            </w:r>
          </w:p>
        </w:tc>
      </w:tr>
      <w:tr w:rsidR="00192373" w:rsidRPr="0081082A" w:rsidTr="00D01626">
        <w:trPr>
          <w:trHeight w:val="160"/>
          <w:jc w:val="center"/>
        </w:trPr>
        <w:tc>
          <w:tcPr>
            <w:tcW w:w="1224" w:type="pct"/>
            <w:vMerge/>
            <w:shd w:val="clear" w:color="auto" w:fill="auto"/>
          </w:tcPr>
          <w:p w:rsidR="00192373" w:rsidRPr="0081082A" w:rsidRDefault="00192373" w:rsidP="00D01626">
            <w:pPr>
              <w:spacing w:before="0" w:after="0"/>
              <w:rPr>
                <w:rFonts w:eastAsia="Calibri"/>
                <w:b/>
                <w:bCs/>
                <w:lang w:val="sr-Cyrl-RS"/>
              </w:rPr>
            </w:pPr>
          </w:p>
        </w:tc>
        <w:tc>
          <w:tcPr>
            <w:tcW w:w="755" w:type="pct"/>
            <w:shd w:val="clear" w:color="auto" w:fill="FFFFFF"/>
            <w:vAlign w:val="center"/>
          </w:tcPr>
          <w:p w:rsidR="00192373" w:rsidRPr="0081082A" w:rsidRDefault="00192373" w:rsidP="00D01626">
            <w:pPr>
              <w:spacing w:before="0" w:after="0"/>
              <w:jc w:val="center"/>
              <w:rPr>
                <w:rFonts w:eastAsia="Calibri"/>
                <w:color w:val="000000"/>
                <w:sz w:val="18"/>
                <w:szCs w:val="18"/>
                <w:lang w:val="sr-Cyrl-RS"/>
              </w:rPr>
            </w:pPr>
            <w:r w:rsidRPr="0081082A">
              <w:rPr>
                <w:rFonts w:eastAsia="Calibri"/>
                <w:color w:val="000000"/>
                <w:sz w:val="18"/>
                <w:szCs w:val="18"/>
                <w:lang w:val="sr-Cyrl-RS"/>
              </w:rPr>
              <w:t>-</w:t>
            </w:r>
          </w:p>
        </w:tc>
        <w:tc>
          <w:tcPr>
            <w:tcW w:w="755" w:type="pct"/>
            <w:gridSpan w:val="3"/>
            <w:shd w:val="clear" w:color="auto" w:fill="FFFFFF"/>
            <w:vAlign w:val="center"/>
          </w:tcPr>
          <w:p w:rsidR="00192373" w:rsidRPr="0081082A" w:rsidRDefault="00192373" w:rsidP="00D01626">
            <w:pPr>
              <w:spacing w:before="0" w:after="0"/>
              <w:jc w:val="center"/>
              <w:rPr>
                <w:rFonts w:eastAsia="Calibri"/>
                <w:color w:val="000000"/>
                <w:sz w:val="18"/>
                <w:szCs w:val="18"/>
                <w:lang w:val="sr-Cyrl-RS"/>
              </w:rPr>
            </w:pPr>
            <w:r w:rsidRPr="0081082A">
              <w:rPr>
                <w:rFonts w:eastAsia="Calibri"/>
                <w:color w:val="000000"/>
                <w:sz w:val="18"/>
                <w:szCs w:val="18"/>
                <w:lang w:val="sr-Cyrl-RS"/>
              </w:rPr>
              <w:t>1</w:t>
            </w:r>
          </w:p>
        </w:tc>
        <w:tc>
          <w:tcPr>
            <w:tcW w:w="756" w:type="pct"/>
            <w:gridSpan w:val="2"/>
            <w:shd w:val="clear" w:color="auto" w:fill="FFFFFF"/>
            <w:vAlign w:val="center"/>
          </w:tcPr>
          <w:p w:rsidR="00192373" w:rsidRPr="0081082A" w:rsidRDefault="00192373" w:rsidP="00D01626">
            <w:pPr>
              <w:spacing w:before="0" w:after="0"/>
              <w:jc w:val="center"/>
              <w:rPr>
                <w:rFonts w:eastAsia="Calibri"/>
                <w:color w:val="000000"/>
                <w:sz w:val="18"/>
                <w:szCs w:val="18"/>
                <w:lang w:val="sr-Cyrl-RS"/>
              </w:rPr>
            </w:pPr>
            <w:r w:rsidRPr="0081082A">
              <w:rPr>
                <w:rFonts w:eastAsia="Calibri"/>
                <w:color w:val="000000"/>
                <w:sz w:val="18"/>
                <w:szCs w:val="18"/>
                <w:lang w:val="sr-Cyrl-RS"/>
              </w:rPr>
              <w:t>-</w:t>
            </w:r>
          </w:p>
        </w:tc>
        <w:tc>
          <w:tcPr>
            <w:tcW w:w="755" w:type="pct"/>
            <w:gridSpan w:val="2"/>
            <w:shd w:val="clear" w:color="auto" w:fill="FFFFFF"/>
            <w:vAlign w:val="center"/>
          </w:tcPr>
          <w:p w:rsidR="00192373" w:rsidRPr="0081082A" w:rsidRDefault="00192373" w:rsidP="00D01626">
            <w:pPr>
              <w:spacing w:before="0" w:after="0"/>
              <w:jc w:val="center"/>
              <w:rPr>
                <w:rFonts w:eastAsia="Calibri"/>
                <w:color w:val="000000"/>
                <w:sz w:val="18"/>
                <w:szCs w:val="18"/>
                <w:lang w:val="sr-Cyrl-RS"/>
              </w:rPr>
            </w:pPr>
            <w:r w:rsidRPr="0081082A">
              <w:rPr>
                <w:rFonts w:eastAsia="Calibri"/>
                <w:color w:val="000000"/>
                <w:sz w:val="18"/>
                <w:szCs w:val="18"/>
                <w:lang w:val="sr-Cyrl-RS"/>
              </w:rPr>
              <w:t>-</w:t>
            </w:r>
          </w:p>
        </w:tc>
        <w:tc>
          <w:tcPr>
            <w:tcW w:w="755" w:type="pct"/>
            <w:shd w:val="clear" w:color="auto" w:fill="FFFFFF"/>
            <w:vAlign w:val="center"/>
          </w:tcPr>
          <w:p w:rsidR="00192373" w:rsidRPr="0081082A" w:rsidRDefault="00192373" w:rsidP="00D01626">
            <w:pPr>
              <w:spacing w:before="0" w:after="0"/>
              <w:jc w:val="center"/>
              <w:rPr>
                <w:rFonts w:eastAsia="Calibri"/>
                <w:color w:val="000000"/>
                <w:sz w:val="18"/>
                <w:szCs w:val="18"/>
                <w:lang w:val="sr-Cyrl-RS"/>
              </w:rPr>
            </w:pPr>
            <w:r w:rsidRPr="0081082A">
              <w:rPr>
                <w:rFonts w:eastAsia="Calibri"/>
                <w:color w:val="000000"/>
                <w:sz w:val="18"/>
                <w:szCs w:val="18"/>
                <w:lang w:val="sr-Cyrl-RS"/>
              </w:rPr>
              <w:t>-</w:t>
            </w:r>
          </w:p>
        </w:tc>
      </w:tr>
      <w:tr w:rsidR="00192373" w:rsidRPr="0081082A" w:rsidTr="00D01626">
        <w:trPr>
          <w:trHeight w:val="160"/>
          <w:jc w:val="center"/>
        </w:trPr>
        <w:tc>
          <w:tcPr>
            <w:tcW w:w="1224" w:type="pct"/>
            <w:shd w:val="clear" w:color="auto" w:fill="auto"/>
          </w:tcPr>
          <w:p w:rsidR="00192373" w:rsidRPr="0081082A" w:rsidRDefault="00192373" w:rsidP="00D01626">
            <w:pPr>
              <w:spacing w:before="0" w:after="0"/>
              <w:rPr>
                <w:rFonts w:eastAsia="Calibri"/>
                <w:b/>
                <w:bCs/>
                <w:lang w:val="sr-Cyrl-RS"/>
              </w:rPr>
            </w:pPr>
            <w:r w:rsidRPr="0081082A">
              <w:rPr>
                <w:rFonts w:eastAsia="Calibri"/>
                <w:b/>
                <w:bCs/>
                <w:lang w:val="sr-Cyrl-RS"/>
              </w:rPr>
              <w:t>Процена успешности</w:t>
            </w:r>
          </w:p>
        </w:tc>
        <w:tc>
          <w:tcPr>
            <w:tcW w:w="3776" w:type="pct"/>
            <w:gridSpan w:val="9"/>
            <w:shd w:val="clear" w:color="auto" w:fill="FFFFFF"/>
            <w:vAlign w:val="center"/>
          </w:tcPr>
          <w:p w:rsidR="00192373" w:rsidRPr="0081082A" w:rsidRDefault="00192373" w:rsidP="00D01626">
            <w:pPr>
              <w:spacing w:before="0" w:after="0"/>
              <w:rPr>
                <w:rFonts w:eastAsia="Calibri"/>
                <w:color w:val="000000"/>
                <w:lang w:val="sr-Cyrl-RS"/>
              </w:rPr>
            </w:pPr>
            <w:r w:rsidRPr="0081082A">
              <w:rPr>
                <w:rFonts w:eastAsia="Calibri"/>
                <w:color w:val="000000"/>
                <w:lang w:val="sr-Cyrl-RS"/>
              </w:rPr>
              <w:t xml:space="preserve">Успешно израђена анализа униформне структуре програмског буџета јединица локалне самоуправе. </w:t>
            </w:r>
            <w:r w:rsidRPr="0081082A">
              <w:rPr>
                <w:rFonts w:eastAsia="Calibri"/>
                <w:lang w:val="sr-Cyrl-RS"/>
              </w:rPr>
              <w:t>Одступања нису дозвољена.</w:t>
            </w:r>
          </w:p>
        </w:tc>
      </w:tr>
    </w:tbl>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40"/>
        <w:gridCol w:w="1381"/>
        <w:gridCol w:w="523"/>
        <w:gridCol w:w="954"/>
        <w:gridCol w:w="638"/>
        <w:gridCol w:w="50"/>
        <w:gridCol w:w="689"/>
        <w:gridCol w:w="993"/>
        <w:gridCol w:w="386"/>
        <w:gridCol w:w="1388"/>
      </w:tblGrid>
      <w:tr w:rsidR="00192373" w:rsidRPr="0081082A" w:rsidTr="00D01626">
        <w:trPr>
          <w:jc w:val="center"/>
        </w:trPr>
        <w:tc>
          <w:tcPr>
            <w:tcW w:w="1212"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8"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Утврђена униформна програмска структура за организације обавезног социјалног осигурања и њихове кориснике</w:t>
            </w:r>
          </w:p>
        </w:tc>
      </w:tr>
      <w:tr w:rsidR="00192373" w:rsidRPr="0081082A" w:rsidTr="00D01626">
        <w:trPr>
          <w:jc w:val="center"/>
        </w:trPr>
        <w:tc>
          <w:tcPr>
            <w:tcW w:w="1212"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8"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1.1: Унапређење програмског буџета</w:t>
            </w:r>
          </w:p>
        </w:tc>
      </w:tr>
      <w:tr w:rsidR="00192373" w:rsidRPr="0081082A" w:rsidTr="00D01626">
        <w:trPr>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1"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7"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2"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1"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7"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 xml:space="preserve">Унапређење програмског буџета на нивоу организација обавезног социјалног осигурања и њихових корисника </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0-не</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1-да</w:t>
            </w:r>
          </w:p>
          <w:p w:rsidR="00192373" w:rsidRPr="0081082A" w:rsidRDefault="00192373" w:rsidP="00D01626">
            <w:pPr>
              <w:spacing w:before="0" w:after="0"/>
              <w:rPr>
                <w:rFonts w:eastAsia="Arial"/>
                <w:iCs/>
                <w:color w:val="000000"/>
                <w:spacing w:val="-1"/>
                <w:kern w:val="24"/>
                <w:lang w:val="sr-Cyrl-RS"/>
              </w:rPr>
            </w:pPr>
          </w:p>
        </w:tc>
      </w:tr>
      <w:tr w:rsidR="00192373" w:rsidRPr="0081082A" w:rsidTr="00D01626">
        <w:trPr>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8"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Министарство финансија</w:t>
            </w:r>
          </w:p>
        </w:tc>
      </w:tr>
      <w:tr w:rsidR="00192373" w:rsidRPr="0081082A" w:rsidTr="00D01626">
        <w:trPr>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lastRenderedPageBreak/>
              <w:t>Назив носиоца прикупљања података</w:t>
            </w:r>
          </w:p>
        </w:tc>
        <w:tc>
          <w:tcPr>
            <w:tcW w:w="3788"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 буџета</w:t>
            </w:r>
          </w:p>
        </w:tc>
      </w:tr>
      <w:tr w:rsidR="00192373" w:rsidRPr="0081082A" w:rsidTr="00D01626">
        <w:trPr>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8"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за време трајања Програма</w:t>
            </w:r>
          </w:p>
        </w:tc>
      </w:tr>
      <w:tr w:rsidR="00192373" w:rsidRPr="0081082A" w:rsidTr="00D01626">
        <w:trPr>
          <w:trHeight w:val="274"/>
          <w:jc w:val="center"/>
        </w:trPr>
        <w:tc>
          <w:tcPr>
            <w:tcW w:w="1212"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8"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има за циљ да утврди структуру програмског буџета за организације обавезног социјалног осигурања и њихове кориснике што би допринело унапређењу целокупног система планирања и буџетирања јавних расхода</w:t>
            </w:r>
          </w:p>
        </w:tc>
      </w:tr>
      <w:tr w:rsidR="00192373" w:rsidRPr="0081082A" w:rsidTr="00D01626">
        <w:trPr>
          <w:trHeight w:val="413"/>
          <w:jc w:val="center"/>
        </w:trPr>
        <w:tc>
          <w:tcPr>
            <w:tcW w:w="1212"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28"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2"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3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1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2" w:type="pct"/>
            <w:vMerge/>
            <w:shd w:val="clear" w:color="auto" w:fill="auto"/>
          </w:tcPr>
          <w:p w:rsidR="00192373" w:rsidRPr="0081082A" w:rsidRDefault="00192373" w:rsidP="00D01626">
            <w:pPr>
              <w:spacing w:before="50" w:after="50"/>
              <w:rPr>
                <w:rFonts w:eastAsia="Calibri"/>
                <w:b/>
                <w:bCs/>
                <w:lang w:val="sr-Cyrl-RS"/>
              </w:rPr>
            </w:pPr>
          </w:p>
        </w:tc>
        <w:tc>
          <w:tcPr>
            <w:tcW w:w="103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1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212"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9"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5"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2"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99"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45"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51"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8"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Осигурана униформност програмске структуре за организације обавезног социјалног осигурања и њихових корисника. Одступања нису дозвољена.</w:t>
            </w:r>
          </w:p>
        </w:tc>
      </w:tr>
    </w:tbl>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1.2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40"/>
        <w:gridCol w:w="1381"/>
        <w:gridCol w:w="523"/>
        <w:gridCol w:w="954"/>
        <w:gridCol w:w="638"/>
        <w:gridCol w:w="50"/>
        <w:gridCol w:w="689"/>
        <w:gridCol w:w="993"/>
        <w:gridCol w:w="386"/>
        <w:gridCol w:w="1388"/>
      </w:tblGrid>
      <w:tr w:rsidR="00192373" w:rsidRPr="0081082A" w:rsidTr="00D01626">
        <w:trPr>
          <w:jc w:val="center"/>
        </w:trPr>
        <w:tc>
          <w:tcPr>
            <w:tcW w:w="1212"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8"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Израђена анализа процеса припреме буџета земаља чланица ЕУ</w:t>
            </w:r>
          </w:p>
        </w:tc>
      </w:tr>
      <w:tr w:rsidR="00192373" w:rsidRPr="0081082A" w:rsidTr="00D01626">
        <w:trPr>
          <w:jc w:val="center"/>
        </w:trPr>
        <w:tc>
          <w:tcPr>
            <w:tcW w:w="1212"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8"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1.2: Унапређење капацитета у вези припреме и обавеза земаља чланица ЕУ током процеса припреме буџета</w:t>
            </w:r>
          </w:p>
        </w:tc>
      </w:tr>
      <w:tr w:rsidR="00192373" w:rsidRPr="0081082A" w:rsidTr="00D01626">
        <w:trPr>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1"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7"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2"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1"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7"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spacing w:val="-1"/>
                <w:kern w:val="24"/>
                <w:lang w:val="sr-Cyrl-RS"/>
              </w:rPr>
              <w:t>Унапређење процеса припреме буџета кроз израду анализе</w:t>
            </w:r>
          </w:p>
        </w:tc>
      </w:tr>
      <w:tr w:rsidR="00192373" w:rsidRPr="0081082A" w:rsidTr="00D01626">
        <w:trPr>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8"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 xml:space="preserve">Министарство финансија </w:t>
            </w:r>
          </w:p>
        </w:tc>
      </w:tr>
      <w:tr w:rsidR="00192373" w:rsidRPr="0081082A" w:rsidTr="00D01626">
        <w:trPr>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8"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 буџета</w:t>
            </w:r>
          </w:p>
        </w:tc>
      </w:tr>
      <w:tr w:rsidR="00192373" w:rsidRPr="0081082A" w:rsidTr="00D01626">
        <w:trPr>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8"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за време трајања Програма</w:t>
            </w:r>
          </w:p>
        </w:tc>
      </w:tr>
      <w:tr w:rsidR="00192373" w:rsidRPr="0081082A" w:rsidTr="00D01626">
        <w:trPr>
          <w:trHeight w:val="274"/>
          <w:jc w:val="center"/>
        </w:trPr>
        <w:tc>
          <w:tcPr>
            <w:tcW w:w="1212"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8"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подразумева анализу процеса припреме буџета земаља чланица Европске уније у којој ће детаљно бити описане обавезе Републике Србије приликом припреме. Показатељ ће допринети унапређењу капацитета у вези припреме буџета када Србија приступи Европској унији</w:t>
            </w:r>
          </w:p>
        </w:tc>
      </w:tr>
      <w:tr w:rsidR="00192373" w:rsidRPr="0081082A" w:rsidTr="00D01626">
        <w:trPr>
          <w:trHeight w:val="413"/>
          <w:jc w:val="center"/>
        </w:trPr>
        <w:tc>
          <w:tcPr>
            <w:tcW w:w="1212"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w:t>
            </w:r>
            <w:r w:rsidRPr="0081082A">
              <w:rPr>
                <w:rFonts w:eastAsia="Calibri"/>
                <w:b/>
                <w:bCs/>
                <w:lang w:val="sr-Cyrl-RS"/>
              </w:rPr>
              <w:lastRenderedPageBreak/>
              <w:t xml:space="preserve">вредности и години кад је измерена, као и о ранијем тренду </w:t>
            </w:r>
          </w:p>
        </w:tc>
        <w:tc>
          <w:tcPr>
            <w:tcW w:w="2828"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lastRenderedPageBreak/>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2"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3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1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2" w:type="pct"/>
            <w:vMerge/>
            <w:shd w:val="clear" w:color="auto" w:fill="auto"/>
          </w:tcPr>
          <w:p w:rsidR="00192373" w:rsidRPr="0081082A" w:rsidRDefault="00192373" w:rsidP="00D01626">
            <w:pPr>
              <w:spacing w:before="50" w:after="50"/>
              <w:rPr>
                <w:rFonts w:eastAsia="Calibri"/>
                <w:b/>
                <w:bCs/>
                <w:lang w:val="sr-Cyrl-RS"/>
              </w:rPr>
            </w:pPr>
          </w:p>
        </w:tc>
        <w:tc>
          <w:tcPr>
            <w:tcW w:w="103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1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212"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9"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5"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2"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99"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45"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51"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21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8"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Одступање није прихватљиво. </w:t>
            </w:r>
          </w:p>
        </w:tc>
      </w:tr>
    </w:tbl>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1.2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51"/>
        <w:gridCol w:w="1318"/>
        <w:gridCol w:w="384"/>
        <w:gridCol w:w="932"/>
        <w:gridCol w:w="460"/>
        <w:gridCol w:w="200"/>
        <w:gridCol w:w="658"/>
        <w:gridCol w:w="867"/>
        <w:gridCol w:w="449"/>
        <w:gridCol w:w="1323"/>
      </w:tblGrid>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Број студијских посета</w:t>
            </w:r>
          </w:p>
        </w:tc>
      </w:tr>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1.2: Унапређење капацитета у вези припреме и обавеза земаља чланица ЕУ током процеса припреме буџета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74"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3"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34"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74"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3"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процеса припреме буџета у погледу обавеза земаља чланица ЕУ. Већа вредност је боља.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66"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 xml:space="preserve">Министарство финансија </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66"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 буџета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66"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34"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66" w:type="pct"/>
            <w:gridSpan w:val="9"/>
            <w:shd w:val="clear" w:color="auto" w:fill="FFFFFF"/>
          </w:tcPr>
          <w:p w:rsidR="00192373" w:rsidRPr="0081082A" w:rsidRDefault="00192373" w:rsidP="007E728E">
            <w:pPr>
              <w:spacing w:before="50" w:after="50"/>
              <w:rPr>
                <w:rFonts w:eastAsia="Calibri"/>
                <w:lang w:val="sr-Cyrl-RS"/>
              </w:rPr>
            </w:pPr>
            <w:r w:rsidRPr="0081082A">
              <w:rPr>
                <w:rFonts w:eastAsia="Calibri"/>
                <w:lang w:val="sr-Cyrl-RS"/>
              </w:rPr>
              <w:t>Показатељ подразумева одржавање студијске посете за запослене у Министарству финансија како би се разменила искуства у процесу припреме буџета земаља чланица Европске уније која ће запослене упознати са обавезама Републике Србије приликом припреме. Показатељ ће допринети унапређењу капацитета у вези припреме буџета када Србија приступи Европској унији</w:t>
            </w:r>
          </w:p>
        </w:tc>
      </w:tr>
      <w:tr w:rsidR="00192373" w:rsidRPr="0081082A" w:rsidTr="00D01626">
        <w:trPr>
          <w:trHeight w:val="413"/>
          <w:jc w:val="center"/>
        </w:trPr>
        <w:tc>
          <w:tcPr>
            <w:tcW w:w="1434"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06"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34"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21"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61"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25"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921"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61"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25"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434"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13"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3"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713"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3"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r>
      <w:tr w:rsidR="00192373" w:rsidRPr="0081082A" w:rsidTr="00D01626">
        <w:trPr>
          <w:trHeight w:val="160"/>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66"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Одржавање студијске посете. Одступање није прихватљиво. </w:t>
            </w:r>
          </w:p>
        </w:tc>
      </w:tr>
    </w:tbl>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1.3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51"/>
        <w:gridCol w:w="1316"/>
        <w:gridCol w:w="386"/>
        <w:gridCol w:w="933"/>
        <w:gridCol w:w="458"/>
        <w:gridCol w:w="198"/>
        <w:gridCol w:w="662"/>
        <w:gridCol w:w="863"/>
        <w:gridCol w:w="453"/>
        <w:gridCol w:w="1322"/>
      </w:tblGrid>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Број усвојених средњорочних планова обвезника средњорочног планирања на републичком нивоу</w:t>
            </w:r>
          </w:p>
        </w:tc>
      </w:tr>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lastRenderedPageBreak/>
              <w:t>Одговарајући општи циљ, посебан циљ или мера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1.3: Унапређење средњорочног планирања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74"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2"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34"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74"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2"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 xml:space="preserve">Унапређење средњорочног планирања на републичком нивоу, пожељна је већа вредност. </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66"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Интернет странице обвезника средњорочног планирања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66"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Републички секретаријат за јавне политике (РСЈП)</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66"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34"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66"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подразумева праћење броја усвојених средњорочних планова обвезника средњорочног планирања на републичком нивоу како би се допринело одговарајућем планирању буџетских средстава на нивоу организације обвезника средњорочног планирања. </w:t>
            </w:r>
          </w:p>
        </w:tc>
      </w:tr>
      <w:tr w:rsidR="00192373" w:rsidRPr="0081082A" w:rsidTr="00D01626">
        <w:trPr>
          <w:trHeight w:val="413"/>
          <w:jc w:val="center"/>
        </w:trPr>
        <w:tc>
          <w:tcPr>
            <w:tcW w:w="1434"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06"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34"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21"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60"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25"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921"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60"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25"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6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w:t>
            </w:r>
          </w:p>
        </w:tc>
      </w:tr>
      <w:tr w:rsidR="00192373" w:rsidRPr="0081082A" w:rsidTr="00D01626">
        <w:trPr>
          <w:trHeight w:val="274"/>
          <w:jc w:val="center"/>
        </w:trPr>
        <w:tc>
          <w:tcPr>
            <w:tcW w:w="1434"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12"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4"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3"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5"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712"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 xml:space="preserve">6  </w:t>
            </w:r>
          </w:p>
        </w:tc>
        <w:tc>
          <w:tcPr>
            <w:tcW w:w="714"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22</w:t>
            </w:r>
          </w:p>
        </w:tc>
        <w:tc>
          <w:tcPr>
            <w:tcW w:w="713"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40</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40</w:t>
            </w:r>
          </w:p>
        </w:tc>
        <w:tc>
          <w:tcPr>
            <w:tcW w:w="715"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40</w:t>
            </w:r>
          </w:p>
        </w:tc>
      </w:tr>
      <w:tr w:rsidR="00192373" w:rsidRPr="0081082A" w:rsidTr="00D01626">
        <w:trPr>
          <w:trHeight w:val="160"/>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66"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Усвојени средњорочни планови обвезника средњорочног планирања, прихватљиво одступање  од 1. </w:t>
            </w:r>
          </w:p>
        </w:tc>
      </w:tr>
    </w:tbl>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1.4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51"/>
        <w:gridCol w:w="1318"/>
        <w:gridCol w:w="384"/>
        <w:gridCol w:w="932"/>
        <w:gridCol w:w="460"/>
        <w:gridCol w:w="198"/>
        <w:gridCol w:w="658"/>
        <w:gridCol w:w="867"/>
        <w:gridCol w:w="449"/>
        <w:gridCol w:w="1325"/>
      </w:tblGrid>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 xml:space="preserve">Капитални </w:t>
            </w:r>
            <w:r w:rsidR="00CF0A72" w:rsidRPr="0081082A">
              <w:rPr>
                <w:rFonts w:eastAsia="Calibri"/>
                <w:b/>
                <w:bCs/>
                <w:color w:val="FFFFFF"/>
                <w:lang w:val="sr-Cyrl-RS"/>
              </w:rPr>
              <w:t>пројекти који</w:t>
            </w:r>
            <w:r w:rsidR="00DE2823">
              <w:rPr>
                <w:rFonts w:eastAsia="Calibri"/>
                <w:b/>
                <w:bCs/>
                <w:color w:val="FFFFFF"/>
                <w:lang w:val="sr-Cyrl-RS"/>
              </w:rPr>
              <w:t xml:space="preserve"> нису прошли пред</w:t>
            </w:r>
            <w:r w:rsidRPr="0081082A">
              <w:rPr>
                <w:rFonts w:eastAsia="Calibri"/>
                <w:b/>
                <w:bCs/>
                <w:color w:val="FFFFFF"/>
                <w:lang w:val="sr-Cyrl-RS"/>
              </w:rPr>
              <w:t>имплементациону фазу сходно методо</w:t>
            </w:r>
            <w:r w:rsidR="00D76372">
              <w:rPr>
                <w:rFonts w:eastAsia="Calibri"/>
                <w:b/>
                <w:bCs/>
                <w:color w:val="FFFFFF"/>
                <w:lang w:val="sr-Cyrl-RS"/>
              </w:rPr>
              <w:t>логији, а укључени су у буџет Републике</w:t>
            </w:r>
            <w:r w:rsidRPr="0081082A">
              <w:rPr>
                <w:rFonts w:eastAsia="Calibri"/>
                <w:b/>
                <w:bCs/>
                <w:color w:val="FFFFFF"/>
                <w:lang w:val="sr-Cyrl-RS"/>
              </w:rPr>
              <w:t xml:space="preserve"> Србије, а нису проглашени пројектима од посебног значаја за Р</w:t>
            </w:r>
            <w:r w:rsidR="00146733">
              <w:rPr>
                <w:rFonts w:eastAsia="Calibri"/>
                <w:b/>
                <w:bCs/>
                <w:color w:val="FFFFFF"/>
                <w:lang w:val="sr-Cyrl-RS"/>
              </w:rPr>
              <w:t xml:space="preserve">епублику </w:t>
            </w:r>
            <w:r w:rsidRPr="0081082A">
              <w:rPr>
                <w:rFonts w:eastAsia="Calibri"/>
                <w:b/>
                <w:bCs/>
                <w:color w:val="FFFFFF"/>
                <w:lang w:val="sr-Cyrl-RS"/>
              </w:rPr>
              <w:t>С</w:t>
            </w:r>
            <w:r w:rsidR="00146733">
              <w:rPr>
                <w:rFonts w:eastAsia="Calibri"/>
                <w:b/>
                <w:bCs/>
                <w:color w:val="FFFFFF"/>
                <w:lang w:val="sr-Cyrl-RS"/>
              </w:rPr>
              <w:t>рбију</w:t>
            </w:r>
            <w:r w:rsidRPr="0081082A">
              <w:rPr>
                <w:rFonts w:eastAsia="Calibri"/>
                <w:b/>
                <w:bCs/>
                <w:color w:val="FFFFFF"/>
                <w:lang w:val="sr-Cyrl-RS"/>
              </w:rPr>
              <w:t xml:space="preserve"> (где су ресорна министарства у својству овлашћених предлагача)</w:t>
            </w:r>
          </w:p>
        </w:tc>
      </w:tr>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1.4: Унапређење окружења за ефикасно управљање капиталним пројектима и праћење фискалних ризика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74"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2"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34"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74"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2"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управљања капиталним пројектима, пожељна је мања вредност</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66"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Закон о буџету/Извештај за Републичку комисију за капиталне инвестиције (РККИ)</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lastRenderedPageBreak/>
              <w:t>Назив носиоца прикупљања података</w:t>
            </w:r>
          </w:p>
        </w:tc>
        <w:tc>
          <w:tcPr>
            <w:tcW w:w="3566"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 за праћење фискалних ризика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66"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 xml:space="preserve">Годишње </w:t>
            </w:r>
          </w:p>
        </w:tc>
      </w:tr>
      <w:tr w:rsidR="00192373" w:rsidRPr="0081082A" w:rsidTr="00D01626">
        <w:trPr>
          <w:trHeight w:val="274"/>
          <w:jc w:val="center"/>
        </w:trPr>
        <w:tc>
          <w:tcPr>
            <w:tcW w:w="1434"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66"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се односи на Капитални</w:t>
            </w:r>
            <w:r w:rsidR="00405BC3">
              <w:rPr>
                <w:rFonts w:eastAsia="Calibri"/>
                <w:lang w:val="sr-Cyrl-RS"/>
              </w:rPr>
              <w:t xml:space="preserve"> пројекти који нису прошли пред</w:t>
            </w:r>
            <w:r w:rsidRPr="0081082A">
              <w:rPr>
                <w:rFonts w:eastAsia="Calibri"/>
                <w:lang w:val="sr-Cyrl-RS"/>
              </w:rPr>
              <w:t>имплементациону фазу сходно методо</w:t>
            </w:r>
            <w:r w:rsidR="000E762A">
              <w:rPr>
                <w:rFonts w:eastAsia="Calibri"/>
                <w:lang w:val="sr-Cyrl-RS"/>
              </w:rPr>
              <w:t>логији, а укључени су у буџет Републике</w:t>
            </w:r>
            <w:r w:rsidRPr="0081082A">
              <w:rPr>
                <w:rFonts w:eastAsia="Calibri"/>
                <w:lang w:val="sr-Cyrl-RS"/>
              </w:rPr>
              <w:t xml:space="preserve"> Србије, а нису проглашени пројектима од посебног значаја за Р</w:t>
            </w:r>
            <w:r w:rsidR="000E762A">
              <w:rPr>
                <w:rFonts w:eastAsia="Calibri"/>
                <w:lang w:val="sr-Cyrl-RS"/>
              </w:rPr>
              <w:t xml:space="preserve">епублику </w:t>
            </w:r>
            <w:r w:rsidRPr="0081082A">
              <w:rPr>
                <w:rFonts w:eastAsia="Calibri"/>
                <w:lang w:val="sr-Cyrl-RS"/>
              </w:rPr>
              <w:t>С</w:t>
            </w:r>
            <w:r w:rsidR="000E762A">
              <w:rPr>
                <w:rFonts w:eastAsia="Calibri"/>
                <w:lang w:val="sr-Cyrl-RS"/>
              </w:rPr>
              <w:t>рбију</w:t>
            </w:r>
            <w:r w:rsidRPr="0081082A">
              <w:rPr>
                <w:rFonts w:eastAsia="Calibri"/>
                <w:lang w:val="sr-Cyrl-RS"/>
              </w:rPr>
              <w:t xml:space="preserve"> (где су ресорна министарства у својству овлашћених предлагача)</w:t>
            </w:r>
          </w:p>
        </w:tc>
      </w:tr>
      <w:tr w:rsidR="00192373" w:rsidRPr="0081082A" w:rsidTr="00D01626">
        <w:trPr>
          <w:trHeight w:val="413"/>
          <w:jc w:val="center"/>
        </w:trPr>
        <w:tc>
          <w:tcPr>
            <w:tcW w:w="1434"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06"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34"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21"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60"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25"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921"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60"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25"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6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61</w:t>
            </w:r>
          </w:p>
        </w:tc>
      </w:tr>
      <w:tr w:rsidR="00192373" w:rsidRPr="0081082A" w:rsidTr="00D01626">
        <w:trPr>
          <w:trHeight w:val="274"/>
          <w:jc w:val="center"/>
        </w:trPr>
        <w:tc>
          <w:tcPr>
            <w:tcW w:w="1434"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13"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2"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713"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50</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20</w:t>
            </w:r>
          </w:p>
        </w:tc>
        <w:tc>
          <w:tcPr>
            <w:tcW w:w="712"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10</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w:t>
            </w:r>
          </w:p>
        </w:tc>
        <w:tc>
          <w:tcPr>
            <w:tcW w:w="71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160"/>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66"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Одступање до 2 је прихватљиво. </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51"/>
        <w:gridCol w:w="1318"/>
        <w:gridCol w:w="384"/>
        <w:gridCol w:w="932"/>
        <w:gridCol w:w="460"/>
        <w:gridCol w:w="200"/>
        <w:gridCol w:w="658"/>
        <w:gridCol w:w="865"/>
        <w:gridCol w:w="451"/>
        <w:gridCol w:w="1323"/>
      </w:tblGrid>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Обучени државни службеници из јединица за управљање пројектима на нивоу ресорних министарстава и других институција</w:t>
            </w:r>
          </w:p>
        </w:tc>
      </w:tr>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1.4: Унапређење окружења за ефикасно управљање капиталним пројектима и праћење фискалних ризика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74"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2"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34"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74"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 xml:space="preserve">Проценат </w:t>
            </w:r>
          </w:p>
        </w:tc>
        <w:tc>
          <w:tcPr>
            <w:tcW w:w="1892"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управљања капиталним пројектима,, пожељна је већа вредност</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66" w:type="pct"/>
            <w:gridSpan w:val="9"/>
            <w:shd w:val="clear" w:color="auto" w:fill="FFFFFF"/>
            <w:vAlign w:val="center"/>
          </w:tcPr>
          <w:p w:rsidR="00192373" w:rsidRPr="0081082A" w:rsidRDefault="00192373" w:rsidP="00D01626">
            <w:pPr>
              <w:spacing w:after="100"/>
              <w:rPr>
                <w:rFonts w:eastAsia="Calibri"/>
                <w:lang w:val="sr-Cyrl-RS"/>
              </w:rPr>
            </w:pPr>
            <w:r w:rsidRPr="0081082A">
              <w:rPr>
                <w:rFonts w:eastAsia="Calibri"/>
                <w:lang w:val="sr-Cyrl-RS"/>
              </w:rPr>
              <w:t>Закон о буџету/Извештај за Републичку комисију за капиталне инвестиције (РККИ)</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66" w:type="pct"/>
            <w:gridSpan w:val="9"/>
            <w:shd w:val="clear" w:color="auto" w:fill="FFFFFF"/>
            <w:vAlign w:val="center"/>
          </w:tcPr>
          <w:p w:rsidR="00192373" w:rsidRPr="0081082A" w:rsidRDefault="00192373" w:rsidP="00D01626">
            <w:pPr>
              <w:spacing w:after="100"/>
              <w:rPr>
                <w:rFonts w:eastAsia="Calibri"/>
                <w:lang w:val="sr-Cyrl-RS"/>
              </w:rPr>
            </w:pPr>
            <w:r w:rsidRPr="0081082A">
              <w:rPr>
                <w:rFonts w:eastAsia="Calibri"/>
                <w:lang w:val="sr-Cyrl-RS"/>
              </w:rPr>
              <w:t>Извештај о одржаним радионицама - НАЈУ</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66"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 xml:space="preserve">Годишње </w:t>
            </w:r>
          </w:p>
        </w:tc>
      </w:tr>
      <w:tr w:rsidR="00192373" w:rsidRPr="0081082A" w:rsidTr="00D01626">
        <w:trPr>
          <w:trHeight w:val="274"/>
          <w:jc w:val="center"/>
        </w:trPr>
        <w:tc>
          <w:tcPr>
            <w:tcW w:w="1434"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66"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се односи на </w:t>
            </w:r>
            <w:r w:rsidRPr="0081082A">
              <w:rPr>
                <w:rFonts w:eastAsia="Times New Roman"/>
                <w:sz w:val="16"/>
                <w:szCs w:val="16"/>
                <w:lang w:val="sr-Cyrl-RS" w:eastAsia="en-GB"/>
              </w:rPr>
              <w:t xml:space="preserve">Капиталне </w:t>
            </w:r>
            <w:r w:rsidR="00AB2F03">
              <w:rPr>
                <w:rFonts w:eastAsia="Times New Roman"/>
                <w:sz w:val="16"/>
                <w:szCs w:val="16"/>
                <w:lang w:val="sr-Cyrl-RS" w:eastAsia="en-GB"/>
              </w:rPr>
              <w:t>пројекте  који нису прошли пред</w:t>
            </w:r>
            <w:r w:rsidRPr="0081082A">
              <w:rPr>
                <w:rFonts w:eastAsia="Times New Roman"/>
                <w:sz w:val="16"/>
                <w:szCs w:val="16"/>
                <w:lang w:val="sr-Cyrl-RS" w:eastAsia="en-GB"/>
              </w:rPr>
              <w:t>имплементациону фазу сходно методо</w:t>
            </w:r>
            <w:r w:rsidR="002215A9">
              <w:rPr>
                <w:rFonts w:eastAsia="Times New Roman"/>
                <w:sz w:val="16"/>
                <w:szCs w:val="16"/>
                <w:lang w:val="sr-Cyrl-RS" w:eastAsia="en-GB"/>
              </w:rPr>
              <w:t>логији, а укључени су у буџет Републике</w:t>
            </w:r>
            <w:r w:rsidRPr="0081082A">
              <w:rPr>
                <w:rFonts w:eastAsia="Times New Roman"/>
                <w:sz w:val="16"/>
                <w:szCs w:val="16"/>
                <w:lang w:val="sr-Cyrl-RS" w:eastAsia="en-GB"/>
              </w:rPr>
              <w:t xml:space="preserve"> Србије, а нису проглашени пројектима од посебног значаја за Р</w:t>
            </w:r>
            <w:r w:rsidR="00146733">
              <w:rPr>
                <w:rFonts w:eastAsia="Times New Roman"/>
                <w:sz w:val="16"/>
                <w:szCs w:val="16"/>
                <w:lang w:val="sr-Cyrl-RS" w:eastAsia="en-GB"/>
              </w:rPr>
              <w:t xml:space="preserve">епублику </w:t>
            </w:r>
            <w:r w:rsidRPr="0081082A">
              <w:rPr>
                <w:rFonts w:eastAsia="Times New Roman"/>
                <w:sz w:val="16"/>
                <w:szCs w:val="16"/>
                <w:lang w:val="sr-Cyrl-RS" w:eastAsia="en-GB"/>
              </w:rPr>
              <w:t>С</w:t>
            </w:r>
            <w:r w:rsidR="00146733">
              <w:rPr>
                <w:rFonts w:eastAsia="Times New Roman"/>
                <w:sz w:val="16"/>
                <w:szCs w:val="16"/>
                <w:lang w:val="sr-Cyrl-RS" w:eastAsia="en-GB"/>
              </w:rPr>
              <w:t>рбију</w:t>
            </w:r>
            <w:r w:rsidRPr="0081082A">
              <w:rPr>
                <w:rFonts w:eastAsia="Times New Roman"/>
                <w:sz w:val="16"/>
                <w:szCs w:val="16"/>
                <w:lang w:val="sr-Cyrl-RS" w:eastAsia="en-GB"/>
              </w:rPr>
              <w:t xml:space="preserve"> (где су ресорна министарства у својству овлашћених предлагача)</w:t>
            </w:r>
          </w:p>
        </w:tc>
      </w:tr>
      <w:tr w:rsidR="00192373" w:rsidRPr="0081082A" w:rsidTr="00D01626">
        <w:trPr>
          <w:trHeight w:val="413"/>
          <w:jc w:val="center"/>
        </w:trPr>
        <w:tc>
          <w:tcPr>
            <w:tcW w:w="1434"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w:t>
            </w:r>
            <w:r w:rsidRPr="0081082A">
              <w:rPr>
                <w:rFonts w:eastAsia="Calibri"/>
                <w:b/>
                <w:bCs/>
                <w:lang w:val="sr-Cyrl-RS"/>
              </w:rPr>
              <w:lastRenderedPageBreak/>
              <w:t xml:space="preserve">вредности и години кад је измерена, као и о ранијем тренду </w:t>
            </w:r>
          </w:p>
        </w:tc>
        <w:tc>
          <w:tcPr>
            <w:tcW w:w="2606"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lastRenderedPageBreak/>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34"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21"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61"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24"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921"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61"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24"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6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434"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13"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3"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713"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20</w:t>
            </w:r>
          </w:p>
        </w:tc>
        <w:tc>
          <w:tcPr>
            <w:tcW w:w="713"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50</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70</w:t>
            </w:r>
          </w:p>
        </w:tc>
        <w:tc>
          <w:tcPr>
            <w:tcW w:w="71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80</w:t>
            </w:r>
          </w:p>
        </w:tc>
      </w:tr>
      <w:tr w:rsidR="00192373" w:rsidRPr="0081082A" w:rsidTr="00D01626">
        <w:trPr>
          <w:trHeight w:val="160"/>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66"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Одступање до 5% је прихватљиво.  </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35"/>
        <w:gridCol w:w="1551"/>
        <w:gridCol w:w="386"/>
        <w:gridCol w:w="933"/>
        <w:gridCol w:w="462"/>
        <w:gridCol w:w="207"/>
        <w:gridCol w:w="551"/>
        <w:gridCol w:w="976"/>
        <w:gridCol w:w="277"/>
        <w:gridCol w:w="1264"/>
      </w:tblGrid>
      <w:tr w:rsidR="00192373" w:rsidRPr="0081082A" w:rsidTr="00D01626">
        <w:trPr>
          <w:jc w:val="center"/>
        </w:trPr>
        <w:tc>
          <w:tcPr>
            <w:tcW w:w="1425"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5"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 xml:space="preserve">Попуњена </w:t>
            </w:r>
            <w:r w:rsidR="00CF0A72" w:rsidRPr="0081082A">
              <w:rPr>
                <w:rFonts w:eastAsia="Calibri"/>
                <w:b/>
                <w:bCs/>
                <w:color w:val="FFFFFF"/>
                <w:lang w:val="sr-Cyrl-RS"/>
              </w:rPr>
              <w:t>систематизована радна</w:t>
            </w:r>
            <w:r w:rsidRPr="0081082A">
              <w:rPr>
                <w:rFonts w:eastAsia="Calibri"/>
                <w:b/>
                <w:bCs/>
                <w:color w:val="FFFFFF"/>
                <w:lang w:val="sr-Cyrl-RS"/>
              </w:rPr>
              <w:t xml:space="preserve"> места у Сектору за праћење фискалних ризика  </w:t>
            </w:r>
          </w:p>
        </w:tc>
      </w:tr>
      <w:tr w:rsidR="00192373" w:rsidRPr="0081082A" w:rsidTr="00D01626">
        <w:trPr>
          <w:jc w:val="center"/>
        </w:trPr>
        <w:tc>
          <w:tcPr>
            <w:tcW w:w="1425"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5"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1.5: Јачање капацитета Сектора за праћење фискалних ризика</w:t>
            </w:r>
          </w:p>
        </w:tc>
      </w:tr>
      <w:tr w:rsidR="00192373" w:rsidRPr="0081082A" w:rsidTr="00D01626">
        <w:trPr>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03"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772"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5"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03"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w:t>
            </w:r>
          </w:p>
        </w:tc>
        <w:tc>
          <w:tcPr>
            <w:tcW w:w="1772"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праћења фискалних ризика, пожељна је већа вредност</w:t>
            </w:r>
          </w:p>
        </w:tc>
      </w:tr>
      <w:tr w:rsidR="00192373" w:rsidRPr="0081082A" w:rsidTr="00D01626">
        <w:trPr>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5"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Информатор о раду Министарства финансија</w:t>
            </w:r>
          </w:p>
        </w:tc>
      </w:tr>
      <w:tr w:rsidR="00192373" w:rsidRPr="0081082A" w:rsidTr="00D01626">
        <w:trPr>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5"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 за праћење фискалних ризика</w:t>
            </w:r>
          </w:p>
        </w:tc>
      </w:tr>
      <w:tr w:rsidR="00192373" w:rsidRPr="0081082A" w:rsidTr="00D01626">
        <w:trPr>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5"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 xml:space="preserve">Годишње </w:t>
            </w:r>
          </w:p>
        </w:tc>
      </w:tr>
      <w:tr w:rsidR="00192373" w:rsidRPr="0081082A" w:rsidTr="00D01626">
        <w:trPr>
          <w:trHeight w:val="274"/>
          <w:jc w:val="center"/>
        </w:trPr>
        <w:tc>
          <w:tcPr>
            <w:tcW w:w="1425"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5"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подразумева праћење попуњавања систематизованих радних места у Сектору за праћење фискалних ризика Министарства финансија, што доприноси јачању административних капацитета јединице надлежне за праћење фискалних ризика на буџет Републике Србије</w:t>
            </w:r>
          </w:p>
        </w:tc>
      </w:tr>
      <w:tr w:rsidR="00192373" w:rsidRPr="0081082A" w:rsidTr="00D01626">
        <w:trPr>
          <w:trHeight w:val="413"/>
          <w:jc w:val="center"/>
        </w:trPr>
        <w:tc>
          <w:tcPr>
            <w:tcW w:w="1425"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741"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34"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5"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48"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6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2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34"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5" w:type="pct"/>
            <w:vMerge/>
            <w:shd w:val="clear" w:color="auto" w:fill="auto"/>
          </w:tcPr>
          <w:p w:rsidR="00192373" w:rsidRPr="0081082A" w:rsidRDefault="00192373" w:rsidP="00D01626">
            <w:pPr>
              <w:spacing w:before="50" w:after="50"/>
              <w:rPr>
                <w:rFonts w:eastAsia="Calibri"/>
                <w:b/>
                <w:bCs/>
                <w:lang w:val="sr-Cyrl-RS"/>
              </w:rPr>
            </w:pPr>
          </w:p>
        </w:tc>
        <w:tc>
          <w:tcPr>
            <w:tcW w:w="1048"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6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2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34"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33%</w:t>
            </w:r>
          </w:p>
        </w:tc>
      </w:tr>
      <w:tr w:rsidR="00192373" w:rsidRPr="0081082A" w:rsidTr="00D01626">
        <w:trPr>
          <w:trHeight w:val="274"/>
          <w:jc w:val="center"/>
        </w:trPr>
        <w:tc>
          <w:tcPr>
            <w:tcW w:w="1425"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83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4"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660"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67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684"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25" w:type="pct"/>
            <w:vMerge/>
            <w:shd w:val="clear" w:color="auto" w:fill="auto"/>
          </w:tcPr>
          <w:p w:rsidR="00192373" w:rsidRPr="0081082A" w:rsidRDefault="00192373" w:rsidP="00D01626">
            <w:pPr>
              <w:spacing w:before="50" w:after="50"/>
              <w:rPr>
                <w:rFonts w:eastAsia="Calibri"/>
                <w:b/>
                <w:bCs/>
                <w:lang w:val="sr-Cyrl-RS"/>
              </w:rPr>
            </w:pPr>
          </w:p>
        </w:tc>
        <w:tc>
          <w:tcPr>
            <w:tcW w:w="839"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 xml:space="preserve">60% </w:t>
            </w:r>
          </w:p>
        </w:tc>
        <w:tc>
          <w:tcPr>
            <w:tcW w:w="714"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80%</w:t>
            </w:r>
          </w:p>
        </w:tc>
        <w:tc>
          <w:tcPr>
            <w:tcW w:w="660"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90%</w:t>
            </w:r>
          </w:p>
        </w:tc>
        <w:tc>
          <w:tcPr>
            <w:tcW w:w="67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90%</w:t>
            </w:r>
          </w:p>
        </w:tc>
        <w:tc>
          <w:tcPr>
            <w:tcW w:w="684"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90%</w:t>
            </w:r>
          </w:p>
        </w:tc>
      </w:tr>
      <w:tr w:rsidR="00192373" w:rsidRPr="0081082A" w:rsidTr="00D01626">
        <w:trPr>
          <w:trHeight w:val="160"/>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5"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Прихватљиво одступање 10%. </w:t>
            </w:r>
          </w:p>
        </w:tc>
      </w:tr>
    </w:tbl>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50"/>
        <w:gridCol w:w="1333"/>
        <w:gridCol w:w="407"/>
        <w:gridCol w:w="924"/>
        <w:gridCol w:w="466"/>
        <w:gridCol w:w="205"/>
        <w:gridCol w:w="645"/>
        <w:gridCol w:w="1017"/>
        <w:gridCol w:w="288"/>
        <w:gridCol w:w="1307"/>
      </w:tblGrid>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Обучени запослени у Сектору за праћење фискалних ризика</w:t>
            </w:r>
          </w:p>
        </w:tc>
      </w:tr>
      <w:tr w:rsidR="00192373" w:rsidRPr="0081082A" w:rsidTr="00D01626">
        <w:trPr>
          <w:jc w:val="center"/>
        </w:trPr>
        <w:tc>
          <w:tcPr>
            <w:tcW w:w="1434"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lastRenderedPageBreak/>
              <w:t>Одговарајући општи циљ, посебан циљ или мера</w:t>
            </w:r>
          </w:p>
        </w:tc>
        <w:tc>
          <w:tcPr>
            <w:tcW w:w="3566"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1.5: Јачање капацитета Сектора за праћење фискалних ризика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93"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74"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34"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93"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 xml:space="preserve">Проценат (%) </w:t>
            </w:r>
          </w:p>
        </w:tc>
        <w:tc>
          <w:tcPr>
            <w:tcW w:w="1874"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управљања капиталним пројектима и праћење фискалних ризика, пожељна је већа вредност</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66"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iCs/>
                <w:lang w:val="sr-Cyrl-RS"/>
              </w:rPr>
              <w:t>Извештај о спроведеним обукама</w:t>
            </w:r>
            <w:r w:rsidRPr="0081082A">
              <w:rPr>
                <w:rFonts w:eastAsia="Calibri"/>
                <w:lang w:val="sr-Cyrl-RS"/>
              </w:rPr>
              <w:t xml:space="preserve">. </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66"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 за праћење фискалних ризика</w:t>
            </w:r>
          </w:p>
        </w:tc>
      </w:tr>
      <w:tr w:rsidR="00192373" w:rsidRPr="0081082A" w:rsidTr="00D01626">
        <w:trPr>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66"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34"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66"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проценат запослених у Министарству који су прошли предвиђене стручне обуке ради стицања неопходног знања у вези управљања капиталним пројектима у циљу јачања административних капацитета </w:t>
            </w:r>
          </w:p>
        </w:tc>
      </w:tr>
      <w:tr w:rsidR="00192373" w:rsidRPr="0081082A" w:rsidTr="00D01626">
        <w:trPr>
          <w:trHeight w:val="413"/>
          <w:jc w:val="center"/>
        </w:trPr>
        <w:tc>
          <w:tcPr>
            <w:tcW w:w="1434"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703"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63"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34"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1"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63"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9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63"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422"/>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941"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63"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9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63"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434"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2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20"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2"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0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0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34" w:type="pct"/>
            <w:vMerge/>
            <w:shd w:val="clear" w:color="auto" w:fill="auto"/>
          </w:tcPr>
          <w:p w:rsidR="00192373" w:rsidRPr="0081082A" w:rsidRDefault="00192373" w:rsidP="00D01626">
            <w:pPr>
              <w:spacing w:before="50" w:after="50"/>
              <w:rPr>
                <w:rFonts w:eastAsia="Calibri"/>
                <w:b/>
                <w:bCs/>
                <w:lang w:val="sr-Cyrl-RS"/>
              </w:rPr>
            </w:pPr>
          </w:p>
        </w:tc>
        <w:tc>
          <w:tcPr>
            <w:tcW w:w="721"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 xml:space="preserve">0% </w:t>
            </w:r>
          </w:p>
        </w:tc>
        <w:tc>
          <w:tcPr>
            <w:tcW w:w="72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80%</w:t>
            </w:r>
          </w:p>
        </w:tc>
        <w:tc>
          <w:tcPr>
            <w:tcW w:w="712"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90%</w:t>
            </w:r>
          </w:p>
        </w:tc>
        <w:tc>
          <w:tcPr>
            <w:tcW w:w="706" w:type="pct"/>
            <w:gridSpan w:val="2"/>
            <w:shd w:val="clear" w:color="auto" w:fill="FFFFFF"/>
          </w:tcPr>
          <w:p w:rsidR="00192373" w:rsidRPr="0081082A" w:rsidRDefault="00192373" w:rsidP="00D01626">
            <w:pPr>
              <w:spacing w:before="50" w:after="50"/>
              <w:jc w:val="center"/>
              <w:rPr>
                <w:rFonts w:eastAsia="Calibri"/>
                <w:iCs/>
                <w:lang w:val="sr-Cyrl-RS"/>
              </w:rPr>
            </w:pPr>
          </w:p>
        </w:tc>
        <w:tc>
          <w:tcPr>
            <w:tcW w:w="706" w:type="pct"/>
            <w:shd w:val="clear" w:color="auto" w:fill="FFFFFF"/>
          </w:tcPr>
          <w:p w:rsidR="00192373" w:rsidRPr="0081082A" w:rsidRDefault="00192373" w:rsidP="00D01626">
            <w:pPr>
              <w:spacing w:before="50" w:after="50"/>
              <w:jc w:val="center"/>
              <w:rPr>
                <w:rFonts w:eastAsia="Calibri"/>
                <w:iCs/>
                <w:lang w:val="sr-Cyrl-RS"/>
              </w:rPr>
            </w:pPr>
          </w:p>
        </w:tc>
      </w:tr>
      <w:tr w:rsidR="00192373" w:rsidRPr="0081082A" w:rsidTr="00D01626">
        <w:trPr>
          <w:trHeight w:val="160"/>
          <w:jc w:val="center"/>
        </w:trPr>
        <w:tc>
          <w:tcPr>
            <w:tcW w:w="1434"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66"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Прихватљиво одступање од 10%.   </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2.1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66"/>
        <w:gridCol w:w="1351"/>
        <w:gridCol w:w="405"/>
        <w:gridCol w:w="941"/>
        <w:gridCol w:w="477"/>
        <w:gridCol w:w="207"/>
        <w:gridCol w:w="654"/>
        <w:gridCol w:w="1026"/>
        <w:gridCol w:w="290"/>
        <w:gridCol w:w="1325"/>
      </w:tblGrid>
      <w:tr w:rsidR="00192373" w:rsidRPr="0081082A" w:rsidTr="00D01626">
        <w:trPr>
          <w:jc w:val="center"/>
        </w:trPr>
        <w:tc>
          <w:tcPr>
            <w:tcW w:w="1388"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612"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Проценат оствaрене наплате у односу на одобрену буџетску процену (порез на доходак, порез на добит, бруто домаћи ПДВ, бруто акцизе)</w:t>
            </w:r>
          </w:p>
        </w:tc>
      </w:tr>
      <w:tr w:rsidR="00192373" w:rsidRPr="0081082A" w:rsidTr="00D01626">
        <w:trPr>
          <w:jc w:val="center"/>
        </w:trPr>
        <w:tc>
          <w:tcPr>
            <w:tcW w:w="1388"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612"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2.1: Ефикасно прикупљање буџетских прихода</w:t>
            </w:r>
          </w:p>
        </w:tc>
      </w:tr>
      <w:tr w:rsidR="00192373" w:rsidRPr="0081082A" w:rsidTr="00D01626">
        <w:trPr>
          <w:jc w:val="center"/>
        </w:trPr>
        <w:tc>
          <w:tcPr>
            <w:tcW w:w="1388"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717"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5"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388"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717"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 xml:space="preserve">Проценат (%) </w:t>
            </w:r>
          </w:p>
        </w:tc>
        <w:tc>
          <w:tcPr>
            <w:tcW w:w="1895"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прикупљања буџетских прихода, пожељна је већа вредност</w:t>
            </w:r>
          </w:p>
        </w:tc>
      </w:tr>
      <w:tr w:rsidR="00192373" w:rsidRPr="0081082A" w:rsidTr="00D01626">
        <w:trPr>
          <w:jc w:val="center"/>
        </w:trPr>
        <w:tc>
          <w:tcPr>
            <w:tcW w:w="1388"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612" w:type="pct"/>
            <w:gridSpan w:val="9"/>
            <w:shd w:val="clear" w:color="auto" w:fill="FFFFFF"/>
            <w:vAlign w:val="center"/>
          </w:tcPr>
          <w:p w:rsidR="00192373" w:rsidRPr="0081082A" w:rsidRDefault="00192373" w:rsidP="00320DE7">
            <w:pPr>
              <w:spacing w:after="100"/>
              <w:rPr>
                <w:rFonts w:eastAsia="Calibri"/>
                <w:lang w:val="sr-Cyrl-RS"/>
              </w:rPr>
            </w:pPr>
            <w:r w:rsidRPr="0081082A">
              <w:rPr>
                <w:rFonts w:eastAsia="Calibri"/>
                <w:lang w:val="sr-Cyrl-RS"/>
              </w:rPr>
              <w:t xml:space="preserve">Закон о буџету, Извештај Пореске </w:t>
            </w:r>
          </w:p>
        </w:tc>
      </w:tr>
      <w:tr w:rsidR="00192373" w:rsidRPr="0081082A" w:rsidTr="00D01626">
        <w:trPr>
          <w:jc w:val="center"/>
        </w:trPr>
        <w:tc>
          <w:tcPr>
            <w:tcW w:w="1388"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 xml:space="preserve">Назив носиоца </w:t>
            </w:r>
            <w:r w:rsidRPr="0081082A">
              <w:rPr>
                <w:rFonts w:eastAsia="Calibri"/>
                <w:b/>
                <w:bCs/>
                <w:lang w:val="sr-Cyrl-RS"/>
              </w:rPr>
              <w:lastRenderedPageBreak/>
              <w:t>прикупљања података</w:t>
            </w:r>
          </w:p>
        </w:tc>
        <w:tc>
          <w:tcPr>
            <w:tcW w:w="3612"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lastRenderedPageBreak/>
              <w:t>Министарство финансија- Пореска управа</w:t>
            </w:r>
          </w:p>
        </w:tc>
      </w:tr>
      <w:tr w:rsidR="00192373" w:rsidRPr="0081082A" w:rsidTr="00D01626">
        <w:trPr>
          <w:jc w:val="center"/>
        </w:trPr>
        <w:tc>
          <w:tcPr>
            <w:tcW w:w="1388"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lastRenderedPageBreak/>
              <w:t>Учесталост прикупљања података</w:t>
            </w:r>
          </w:p>
        </w:tc>
        <w:tc>
          <w:tcPr>
            <w:tcW w:w="3612"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388"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612"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указује на проценат остварене наплате пореза у односу на одобрену буџетску процену која подразумева порез на доходак, порез на добит, бруто домаћи порез на додатну вредност и акцизе. Остварена наплата која одговара пројектованој указује на ефикасан систем прикупљања буџетских прихода и тиме доприноси ефикасности целокупног система јавних финансија</w:t>
            </w:r>
          </w:p>
        </w:tc>
      </w:tr>
      <w:tr w:rsidR="00192373" w:rsidRPr="0081082A" w:rsidTr="00D01626">
        <w:trPr>
          <w:trHeight w:val="413"/>
          <w:jc w:val="center"/>
        </w:trPr>
        <w:tc>
          <w:tcPr>
            <w:tcW w:w="1388"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738"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4"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388"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5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7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4"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388" w:type="pct"/>
            <w:vMerge/>
            <w:shd w:val="clear" w:color="auto" w:fill="auto"/>
          </w:tcPr>
          <w:p w:rsidR="00192373" w:rsidRPr="0081082A" w:rsidRDefault="00192373" w:rsidP="00D01626">
            <w:pPr>
              <w:spacing w:before="50" w:after="50"/>
              <w:rPr>
                <w:rFonts w:eastAsia="Calibri"/>
                <w:b/>
                <w:bCs/>
                <w:lang w:val="sr-Cyrl-RS"/>
              </w:rPr>
            </w:pPr>
          </w:p>
        </w:tc>
        <w:tc>
          <w:tcPr>
            <w:tcW w:w="95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4"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110.9%</w:t>
            </w:r>
          </w:p>
        </w:tc>
      </w:tr>
      <w:tr w:rsidR="00192373" w:rsidRPr="0081082A" w:rsidTr="00D01626">
        <w:trPr>
          <w:trHeight w:val="274"/>
          <w:jc w:val="center"/>
        </w:trPr>
        <w:tc>
          <w:tcPr>
            <w:tcW w:w="1388"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3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2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24"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388" w:type="pct"/>
            <w:vMerge/>
            <w:shd w:val="clear" w:color="auto" w:fill="auto"/>
          </w:tcPr>
          <w:p w:rsidR="00192373" w:rsidRPr="0081082A" w:rsidRDefault="00192373" w:rsidP="00D01626">
            <w:pPr>
              <w:spacing w:before="50" w:after="50"/>
              <w:rPr>
                <w:rFonts w:eastAsia="Calibri"/>
                <w:b/>
                <w:bCs/>
                <w:lang w:val="sr-Cyrl-RS"/>
              </w:rPr>
            </w:pPr>
          </w:p>
        </w:tc>
        <w:tc>
          <w:tcPr>
            <w:tcW w:w="731"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72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724"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71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r>
      <w:tr w:rsidR="00192373" w:rsidRPr="0081082A" w:rsidTr="00D01626">
        <w:trPr>
          <w:trHeight w:val="160"/>
          <w:jc w:val="center"/>
        </w:trPr>
        <w:tc>
          <w:tcPr>
            <w:tcW w:w="1388"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612"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Успешно остварена наплата у односу на предвиђену буџетском проценом, прихватљиво одступање до 5%  </w:t>
            </w:r>
          </w:p>
        </w:tc>
      </w:tr>
    </w:tbl>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49"/>
        <w:gridCol w:w="1333"/>
        <w:gridCol w:w="429"/>
        <w:gridCol w:w="906"/>
        <w:gridCol w:w="471"/>
        <w:gridCol w:w="194"/>
        <w:gridCol w:w="654"/>
        <w:gridCol w:w="1007"/>
        <w:gridCol w:w="294"/>
        <w:gridCol w:w="1305"/>
      </w:tblGrid>
      <w:tr w:rsidR="00192373" w:rsidRPr="0081082A" w:rsidTr="00D01626">
        <w:trPr>
          <w:jc w:val="center"/>
        </w:trPr>
        <w:tc>
          <w:tcPr>
            <w:tcW w:w="1433"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67"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Успостављен јединствени систем регистара</w:t>
            </w:r>
          </w:p>
        </w:tc>
      </w:tr>
      <w:tr w:rsidR="00192373" w:rsidRPr="0081082A" w:rsidTr="00D01626">
        <w:trPr>
          <w:jc w:val="center"/>
        </w:trPr>
        <w:tc>
          <w:tcPr>
            <w:tcW w:w="1433"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67"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2.2: Модернизација процеса рада Управе за дуван</w:t>
            </w:r>
          </w:p>
        </w:tc>
      </w:tr>
      <w:tr w:rsidR="00192373" w:rsidRPr="0081082A" w:rsidTr="00D01626">
        <w:trPr>
          <w:jc w:val="center"/>
        </w:trPr>
        <w:tc>
          <w:tcPr>
            <w:tcW w:w="1433"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98"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70"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33"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98"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 xml:space="preserve">Број </w:t>
            </w:r>
          </w:p>
        </w:tc>
        <w:tc>
          <w:tcPr>
            <w:tcW w:w="1870"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прикупљања буџетских прихода</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0-не</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1-да</w:t>
            </w:r>
          </w:p>
        </w:tc>
      </w:tr>
      <w:tr w:rsidR="00192373" w:rsidRPr="0081082A" w:rsidTr="00D01626">
        <w:trPr>
          <w:jc w:val="center"/>
        </w:trPr>
        <w:tc>
          <w:tcPr>
            <w:tcW w:w="1433"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67"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Записник о примопредаји предмета јавне набавке</w:t>
            </w:r>
          </w:p>
        </w:tc>
      </w:tr>
      <w:tr w:rsidR="00192373" w:rsidRPr="0081082A" w:rsidTr="00D01626">
        <w:trPr>
          <w:jc w:val="center"/>
        </w:trPr>
        <w:tc>
          <w:tcPr>
            <w:tcW w:w="1433"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67"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Управа за дуван</w:t>
            </w:r>
          </w:p>
        </w:tc>
      </w:tr>
      <w:tr w:rsidR="00192373" w:rsidRPr="0081082A" w:rsidTr="00D01626">
        <w:trPr>
          <w:jc w:val="center"/>
        </w:trPr>
        <w:tc>
          <w:tcPr>
            <w:tcW w:w="1433"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67"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за време трајања Програма</w:t>
            </w:r>
          </w:p>
        </w:tc>
      </w:tr>
      <w:tr w:rsidR="00192373" w:rsidRPr="0081082A" w:rsidTr="00D01626">
        <w:trPr>
          <w:trHeight w:val="274"/>
          <w:jc w:val="center"/>
        </w:trPr>
        <w:tc>
          <w:tcPr>
            <w:tcW w:w="1433"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67"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указује на успостављање јединственог система регистара који има за циљ обједињавање свих регистара и евиденционих листи са којима послује Управа за дуван ради повећања ефикасности услуга које она пружа, чиме доприноси ефикаснијем прикупљању буџетских средстава</w:t>
            </w:r>
          </w:p>
        </w:tc>
      </w:tr>
      <w:tr w:rsidR="00192373" w:rsidRPr="0081082A" w:rsidTr="00D01626">
        <w:trPr>
          <w:trHeight w:val="413"/>
          <w:jc w:val="center"/>
        </w:trPr>
        <w:tc>
          <w:tcPr>
            <w:tcW w:w="1433"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lastRenderedPageBreak/>
              <w:t xml:space="preserve">Подаци о полазној вредности и години кад је измерена, као и о ранијем тренду </w:t>
            </w:r>
          </w:p>
        </w:tc>
        <w:tc>
          <w:tcPr>
            <w:tcW w:w="2702"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66"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33"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53"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50"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9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66"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33" w:type="pct"/>
            <w:vMerge/>
            <w:shd w:val="clear" w:color="auto" w:fill="auto"/>
          </w:tcPr>
          <w:p w:rsidR="00192373" w:rsidRPr="0081082A" w:rsidRDefault="00192373" w:rsidP="00D01626">
            <w:pPr>
              <w:spacing w:before="50" w:after="50"/>
              <w:rPr>
                <w:rFonts w:eastAsia="Calibri"/>
                <w:b/>
                <w:bCs/>
                <w:lang w:val="sr-Cyrl-RS"/>
              </w:rPr>
            </w:pPr>
          </w:p>
        </w:tc>
        <w:tc>
          <w:tcPr>
            <w:tcW w:w="953"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50"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9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66"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433"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2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2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4"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04"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0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33" w:type="pct"/>
            <w:vMerge/>
            <w:shd w:val="clear" w:color="auto" w:fill="auto"/>
          </w:tcPr>
          <w:p w:rsidR="00192373" w:rsidRPr="0081082A" w:rsidRDefault="00192373" w:rsidP="00D01626">
            <w:pPr>
              <w:spacing w:before="50" w:after="50"/>
              <w:rPr>
                <w:rFonts w:eastAsia="Calibri"/>
                <w:b/>
                <w:bCs/>
                <w:lang w:val="sr-Cyrl-RS"/>
              </w:rPr>
            </w:pPr>
          </w:p>
        </w:tc>
        <w:tc>
          <w:tcPr>
            <w:tcW w:w="721" w:type="pct"/>
            <w:shd w:val="clear" w:color="auto" w:fill="FFFFFF"/>
            <w:vAlign w:val="center"/>
          </w:tcPr>
          <w:p w:rsidR="00192373" w:rsidRPr="0081082A" w:rsidRDefault="00192373" w:rsidP="00D01626">
            <w:pPr>
              <w:spacing w:before="50" w:after="50"/>
              <w:jc w:val="center"/>
              <w:rPr>
                <w:rFonts w:eastAsia="Calibri"/>
                <w:iCs/>
                <w:color w:val="FF0000"/>
                <w:lang w:val="sr-Cyrl-RS"/>
              </w:rPr>
            </w:pPr>
            <w:r w:rsidRPr="0081082A">
              <w:rPr>
                <w:rFonts w:eastAsia="Calibri"/>
                <w:iCs/>
                <w:lang w:val="sr-Cyrl-RS"/>
              </w:rPr>
              <w:t>1</w:t>
            </w:r>
            <w:r w:rsidRPr="0081082A">
              <w:rPr>
                <w:rFonts w:eastAsia="Calibri"/>
                <w:iCs/>
                <w:color w:val="FF0000"/>
                <w:lang w:val="sr-Cyrl-RS"/>
              </w:rPr>
              <w:t xml:space="preserve">   </w:t>
            </w:r>
          </w:p>
        </w:tc>
        <w:tc>
          <w:tcPr>
            <w:tcW w:w="722" w:type="pct"/>
            <w:gridSpan w:val="2"/>
            <w:shd w:val="clear" w:color="auto" w:fill="FFFFFF"/>
            <w:vAlign w:val="center"/>
          </w:tcPr>
          <w:p w:rsidR="00192373" w:rsidRPr="0081082A" w:rsidRDefault="00192373" w:rsidP="00D01626">
            <w:pPr>
              <w:spacing w:before="50" w:after="50"/>
              <w:jc w:val="center"/>
              <w:rPr>
                <w:rFonts w:eastAsia="Calibri"/>
                <w:iCs/>
                <w:color w:val="FF0000"/>
                <w:lang w:val="sr-Cyrl-RS"/>
              </w:rPr>
            </w:pPr>
            <w:r w:rsidRPr="0081082A">
              <w:rPr>
                <w:rFonts w:eastAsia="Calibri"/>
                <w:iCs/>
                <w:color w:val="FF0000"/>
                <w:lang w:val="sr-Cyrl-RS"/>
              </w:rPr>
              <w:t>-</w:t>
            </w:r>
          </w:p>
        </w:tc>
        <w:tc>
          <w:tcPr>
            <w:tcW w:w="714"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color w:val="FF0000"/>
                <w:lang w:val="sr-Cyrl-RS"/>
              </w:rPr>
              <w:t>-</w:t>
            </w:r>
          </w:p>
        </w:tc>
        <w:tc>
          <w:tcPr>
            <w:tcW w:w="704"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color w:val="FF0000"/>
                <w:lang w:val="sr-Cyrl-RS"/>
              </w:rPr>
              <w:t>-</w:t>
            </w:r>
          </w:p>
        </w:tc>
        <w:tc>
          <w:tcPr>
            <w:tcW w:w="70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color w:val="FF0000"/>
                <w:lang w:val="sr-Cyrl-RS"/>
              </w:rPr>
              <w:t>-</w:t>
            </w:r>
          </w:p>
        </w:tc>
      </w:tr>
      <w:tr w:rsidR="00192373" w:rsidRPr="0081082A" w:rsidTr="00D01626">
        <w:trPr>
          <w:trHeight w:val="160"/>
          <w:jc w:val="center"/>
        </w:trPr>
        <w:tc>
          <w:tcPr>
            <w:tcW w:w="1433"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67"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Успешно успостављање јединственог система регистара, одступање није прихватљиво </w:t>
            </w:r>
          </w:p>
        </w:tc>
      </w:tr>
    </w:tbl>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36"/>
        <w:gridCol w:w="1346"/>
        <w:gridCol w:w="431"/>
        <w:gridCol w:w="898"/>
        <w:gridCol w:w="475"/>
        <w:gridCol w:w="192"/>
        <w:gridCol w:w="649"/>
        <w:gridCol w:w="1011"/>
        <w:gridCol w:w="288"/>
        <w:gridCol w:w="1316"/>
      </w:tblGrid>
      <w:tr w:rsidR="00192373" w:rsidRPr="0081082A" w:rsidTr="00D01626">
        <w:trPr>
          <w:jc w:val="center"/>
        </w:trPr>
        <w:tc>
          <w:tcPr>
            <w:tcW w:w="1426"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4"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Обучени сви запослени у Управи за дуван за рад у јединственом систему регистара</w:t>
            </w:r>
          </w:p>
        </w:tc>
      </w:tr>
      <w:tr w:rsidR="00192373" w:rsidRPr="0081082A" w:rsidTr="00D01626">
        <w:trPr>
          <w:jc w:val="center"/>
        </w:trPr>
        <w:tc>
          <w:tcPr>
            <w:tcW w:w="1426"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4"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2.2: Модернизација процеса рада Управе за дуван</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704"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70"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6"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704"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70"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прикупљања буџетских прихода, пожељна је већа вредност</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4"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Листа учесника који су присуствовали специјализованим обукама</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4"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Управа за дуван</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4"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6"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4"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обучавање запослених у Управи за дуван у циљу </w:t>
            </w:r>
            <w:r w:rsidR="00CF0A72" w:rsidRPr="0081082A">
              <w:rPr>
                <w:rFonts w:eastAsia="Calibri"/>
                <w:lang w:val="sr-Cyrl-RS"/>
              </w:rPr>
              <w:t>коришћења јединственог</w:t>
            </w:r>
            <w:r w:rsidRPr="0081082A">
              <w:rPr>
                <w:rFonts w:eastAsia="Calibri"/>
                <w:lang w:val="sr-Cyrl-RS"/>
              </w:rPr>
              <w:t xml:space="preserve"> система регистара који има за циљ повећање ефикасности услуга које Управа за дуван пружа, чиме доприноси ефикаснијем прикупљању буџетских средстава</w:t>
            </w:r>
          </w:p>
        </w:tc>
      </w:tr>
      <w:tr w:rsidR="00192373" w:rsidRPr="0081082A" w:rsidTr="00D01626">
        <w:trPr>
          <w:trHeight w:val="413"/>
          <w:jc w:val="center"/>
        </w:trPr>
        <w:tc>
          <w:tcPr>
            <w:tcW w:w="1426"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705"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69"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6"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61"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4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98"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69"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6" w:type="pct"/>
            <w:vMerge/>
            <w:shd w:val="clear" w:color="auto" w:fill="auto"/>
          </w:tcPr>
          <w:p w:rsidR="00192373" w:rsidRPr="0081082A" w:rsidRDefault="00192373" w:rsidP="00D01626">
            <w:pPr>
              <w:spacing w:before="50" w:after="50"/>
              <w:rPr>
                <w:rFonts w:eastAsia="Calibri"/>
                <w:b/>
                <w:bCs/>
                <w:lang w:val="sr-Cyrl-RS"/>
              </w:rPr>
            </w:pPr>
          </w:p>
        </w:tc>
        <w:tc>
          <w:tcPr>
            <w:tcW w:w="961"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98"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69"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426"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28"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9"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2"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03"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2"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26" w:type="pct"/>
            <w:vMerge/>
            <w:shd w:val="clear" w:color="auto" w:fill="auto"/>
          </w:tcPr>
          <w:p w:rsidR="00192373" w:rsidRPr="0081082A" w:rsidRDefault="00192373" w:rsidP="00D01626">
            <w:pPr>
              <w:spacing w:before="50" w:after="50"/>
              <w:rPr>
                <w:rFonts w:eastAsia="Calibri"/>
                <w:b/>
                <w:bCs/>
                <w:lang w:val="sr-Cyrl-RS"/>
              </w:rPr>
            </w:pPr>
          </w:p>
        </w:tc>
        <w:tc>
          <w:tcPr>
            <w:tcW w:w="728"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719"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 xml:space="preserve">   -</w:t>
            </w:r>
          </w:p>
        </w:tc>
        <w:tc>
          <w:tcPr>
            <w:tcW w:w="712"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03"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2"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4"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Успешно обучавање запослених у Управи за дуван који користе јединствени систем регистара, одступање од 10% је прихватљиво.  </w:t>
            </w:r>
          </w:p>
        </w:tc>
      </w:tr>
    </w:tbl>
    <w:p w:rsidR="00192373" w:rsidRDefault="00192373" w:rsidP="00192373">
      <w:pPr>
        <w:spacing w:after="120"/>
        <w:rPr>
          <w:b/>
          <w:bCs/>
          <w:color w:val="2F5496"/>
          <w:lang w:val="sr-Cyrl-RS"/>
        </w:rPr>
      </w:pPr>
    </w:p>
    <w:p w:rsidR="00F579C2" w:rsidRPr="0081082A" w:rsidRDefault="00F579C2" w:rsidP="00192373">
      <w:pPr>
        <w:spacing w:after="120"/>
        <w:rPr>
          <w:b/>
          <w:bCs/>
          <w:color w:val="2F5496"/>
          <w:lang w:val="sr-Cyrl-RS"/>
        </w:rPr>
      </w:pPr>
    </w:p>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75"/>
        <w:gridCol w:w="1403"/>
        <w:gridCol w:w="429"/>
        <w:gridCol w:w="887"/>
        <w:gridCol w:w="466"/>
        <w:gridCol w:w="190"/>
        <w:gridCol w:w="660"/>
        <w:gridCol w:w="1022"/>
        <w:gridCol w:w="294"/>
        <w:gridCol w:w="1316"/>
      </w:tblGrid>
      <w:tr w:rsidR="00192373" w:rsidRPr="0081082A" w:rsidTr="00D01626">
        <w:trPr>
          <w:jc w:val="center"/>
        </w:trPr>
        <w:tc>
          <w:tcPr>
            <w:tcW w:w="1393"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607"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Проценат привредних субјеката који послују на тржишту дувана и дуванских производа користи електронске услуге Управе за дуван</w:t>
            </w:r>
          </w:p>
        </w:tc>
      </w:tr>
      <w:tr w:rsidR="00192373" w:rsidRPr="0081082A" w:rsidTr="00D01626">
        <w:trPr>
          <w:jc w:val="center"/>
        </w:trPr>
        <w:tc>
          <w:tcPr>
            <w:tcW w:w="1393"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607"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2.2: Модернизација процеса рада Управе за дуван</w:t>
            </w:r>
          </w:p>
        </w:tc>
      </w:tr>
      <w:tr w:rsidR="00192373" w:rsidRPr="0081082A" w:rsidTr="00D01626">
        <w:trPr>
          <w:jc w:val="center"/>
        </w:trPr>
        <w:tc>
          <w:tcPr>
            <w:tcW w:w="1393"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723"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4"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393"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723"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84"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прикупљања буџетских прихода кроз унапређење услуга, пожељна је већа вредност</w:t>
            </w:r>
          </w:p>
        </w:tc>
      </w:tr>
      <w:tr w:rsidR="00192373" w:rsidRPr="0081082A" w:rsidTr="00D01626">
        <w:trPr>
          <w:jc w:val="center"/>
        </w:trPr>
        <w:tc>
          <w:tcPr>
            <w:tcW w:w="1393"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607"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Јединствени систем регистара</w:t>
            </w:r>
          </w:p>
          <w:p w:rsidR="00192373" w:rsidRPr="0081082A" w:rsidRDefault="00192373" w:rsidP="00D01626">
            <w:pPr>
              <w:spacing w:before="0" w:after="134"/>
              <w:rPr>
                <w:rFonts w:eastAsia="Calibri"/>
                <w:lang w:val="sr-Cyrl-RS"/>
              </w:rPr>
            </w:pPr>
            <w:r w:rsidRPr="0081082A">
              <w:rPr>
                <w:rFonts w:eastAsia="Calibri"/>
                <w:lang w:val="sr-Cyrl-RS"/>
              </w:rPr>
              <w:t>Деловодник</w:t>
            </w:r>
          </w:p>
        </w:tc>
      </w:tr>
      <w:tr w:rsidR="00192373" w:rsidRPr="0081082A" w:rsidTr="00D01626">
        <w:trPr>
          <w:jc w:val="center"/>
        </w:trPr>
        <w:tc>
          <w:tcPr>
            <w:tcW w:w="1393"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607"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Управа за дуван</w:t>
            </w:r>
          </w:p>
        </w:tc>
      </w:tr>
      <w:tr w:rsidR="00192373" w:rsidRPr="0081082A" w:rsidTr="00D01626">
        <w:trPr>
          <w:jc w:val="center"/>
        </w:trPr>
        <w:tc>
          <w:tcPr>
            <w:tcW w:w="1393"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607"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393"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607"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повећање дигиталне свести и коришћења електронских услуга Управе за дуван од стране привредних субјеката који послују на тржишту дувана. Очекује се да ће повећање коришћења електронских услуга ма ширем плану допринети повећању квалитета услуга које Управа за дуван пружа, чиме би се обезбедило ефикасније прикупљање буџетских средстава </w:t>
            </w:r>
          </w:p>
        </w:tc>
      </w:tr>
      <w:tr w:rsidR="00192373" w:rsidRPr="0081082A" w:rsidTr="00D01626">
        <w:trPr>
          <w:trHeight w:val="413"/>
          <w:jc w:val="center"/>
        </w:trPr>
        <w:tc>
          <w:tcPr>
            <w:tcW w:w="1393"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736"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1"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393"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91"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35"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1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1"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393" w:type="pct"/>
            <w:vMerge/>
            <w:shd w:val="clear" w:color="auto" w:fill="auto"/>
          </w:tcPr>
          <w:p w:rsidR="00192373" w:rsidRPr="0081082A" w:rsidRDefault="00192373" w:rsidP="00D01626">
            <w:pPr>
              <w:spacing w:before="50" w:after="50"/>
              <w:rPr>
                <w:rFonts w:eastAsia="Calibri"/>
                <w:b/>
                <w:bCs/>
                <w:lang w:val="sr-Cyrl-RS"/>
              </w:rPr>
            </w:pPr>
          </w:p>
        </w:tc>
        <w:tc>
          <w:tcPr>
            <w:tcW w:w="991"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35"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1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1"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393"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5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2"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2"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393" w:type="pct"/>
            <w:vMerge/>
            <w:shd w:val="clear" w:color="auto" w:fill="auto"/>
          </w:tcPr>
          <w:p w:rsidR="00192373" w:rsidRPr="0081082A" w:rsidRDefault="00192373" w:rsidP="00D01626">
            <w:pPr>
              <w:spacing w:before="50" w:after="50"/>
              <w:rPr>
                <w:rFonts w:eastAsia="Calibri"/>
                <w:b/>
                <w:bCs/>
                <w:lang w:val="sr-Cyrl-RS"/>
              </w:rPr>
            </w:pPr>
          </w:p>
        </w:tc>
        <w:tc>
          <w:tcPr>
            <w:tcW w:w="759"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20%</w:t>
            </w:r>
          </w:p>
        </w:tc>
        <w:tc>
          <w:tcPr>
            <w:tcW w:w="712"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40%</w:t>
            </w:r>
          </w:p>
        </w:tc>
        <w:tc>
          <w:tcPr>
            <w:tcW w:w="712"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60%</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60%</w:t>
            </w:r>
          </w:p>
        </w:tc>
        <w:tc>
          <w:tcPr>
            <w:tcW w:w="712"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60%</w:t>
            </w:r>
          </w:p>
        </w:tc>
      </w:tr>
      <w:tr w:rsidR="00192373" w:rsidRPr="0081082A" w:rsidTr="00D01626">
        <w:trPr>
          <w:trHeight w:val="160"/>
          <w:jc w:val="center"/>
        </w:trPr>
        <w:tc>
          <w:tcPr>
            <w:tcW w:w="1393"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607"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Повећано коришћење електронских услуга које пружа Управа за дуван од стране привредних субјеката који послују на тржишту дувана, одступање до 5% је прихватљиво.</w:t>
            </w:r>
          </w:p>
        </w:tc>
      </w:tr>
    </w:tbl>
    <w:p w:rsidR="00192373" w:rsidRPr="0081082A" w:rsidRDefault="00192373" w:rsidP="00192373">
      <w:pPr>
        <w:spacing w:after="120"/>
        <w:rPr>
          <w:rFonts w:eastAsia="Calibri"/>
          <w:b/>
          <w:bCs/>
          <w:color w:val="2F5496"/>
          <w:lang w:val="sr-Cyrl-RS"/>
        </w:rPr>
      </w:pPr>
      <w:r w:rsidRPr="0081082A">
        <w:rPr>
          <w:b/>
          <w:bCs/>
          <w:color w:val="2F5496"/>
          <w:lang w:val="sr-Cyrl-RS"/>
        </w:rPr>
        <w:t>Показатељ на нивоу мере 2.3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35"/>
        <w:gridCol w:w="1353"/>
        <w:gridCol w:w="447"/>
        <w:gridCol w:w="902"/>
        <w:gridCol w:w="479"/>
        <w:gridCol w:w="203"/>
        <w:gridCol w:w="647"/>
        <w:gridCol w:w="998"/>
        <w:gridCol w:w="288"/>
        <w:gridCol w:w="1290"/>
      </w:tblGrid>
      <w:tr w:rsidR="00192373" w:rsidRPr="0081082A" w:rsidTr="00D01626">
        <w:trPr>
          <w:jc w:val="center"/>
        </w:trPr>
        <w:tc>
          <w:tcPr>
            <w:tcW w:w="1425"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5"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Проценат оствaрене наплате царина и ПДВ-а из увоза у односу на одобрену буџетску процену</w:t>
            </w:r>
            <w:r w:rsidRPr="0081082A">
              <w:rPr>
                <w:rFonts w:eastAsia="Calibri"/>
                <w:b/>
                <w:iCs/>
                <w:color w:val="FF0000"/>
                <w:lang w:val="sr-Cyrl-RS"/>
              </w:rPr>
              <w:t xml:space="preserve"> </w:t>
            </w:r>
          </w:p>
        </w:tc>
      </w:tr>
      <w:tr w:rsidR="00192373" w:rsidRPr="0081082A" w:rsidTr="00D01626">
        <w:trPr>
          <w:jc w:val="center"/>
        </w:trPr>
        <w:tc>
          <w:tcPr>
            <w:tcW w:w="1425"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 xml:space="preserve">Одговарајући општи циљ, </w:t>
            </w:r>
            <w:r w:rsidRPr="0081082A">
              <w:rPr>
                <w:rFonts w:eastAsia="Calibri"/>
                <w:b/>
                <w:bCs/>
                <w:lang w:val="sr-Cyrl-RS"/>
              </w:rPr>
              <w:lastRenderedPageBreak/>
              <w:t>посебан циљ или мера</w:t>
            </w:r>
          </w:p>
        </w:tc>
        <w:tc>
          <w:tcPr>
            <w:tcW w:w="3575"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lastRenderedPageBreak/>
              <w:t>Мера 2.3: Јачање административних капацитета Управе царина</w:t>
            </w:r>
          </w:p>
        </w:tc>
      </w:tr>
      <w:tr w:rsidR="00192373" w:rsidRPr="0081082A" w:rsidTr="00D01626">
        <w:trPr>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lastRenderedPageBreak/>
              <w:t>Тип и ниво показатеља</w:t>
            </w:r>
          </w:p>
        </w:tc>
        <w:tc>
          <w:tcPr>
            <w:tcW w:w="1721"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55"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5"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721"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55"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прикупљања буџетских прихода, пожељна је већа вредност</w:t>
            </w:r>
          </w:p>
        </w:tc>
      </w:tr>
      <w:tr w:rsidR="00192373" w:rsidRPr="0081082A" w:rsidTr="00D01626">
        <w:trPr>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5" w:type="pct"/>
            <w:gridSpan w:val="9"/>
            <w:shd w:val="clear" w:color="auto" w:fill="FFFFFF"/>
            <w:vAlign w:val="center"/>
          </w:tcPr>
          <w:p w:rsidR="00192373" w:rsidRPr="0081082A" w:rsidRDefault="00192373" w:rsidP="001F3B03">
            <w:pPr>
              <w:spacing w:before="0" w:after="134"/>
              <w:rPr>
                <w:rFonts w:eastAsia="Calibri"/>
                <w:lang w:val="sr-Cyrl-RS"/>
              </w:rPr>
            </w:pPr>
            <w:r w:rsidRPr="0081082A">
              <w:rPr>
                <w:rFonts w:eastAsia="Calibri"/>
                <w:lang w:val="sr-Cyrl-RS"/>
              </w:rPr>
              <w:t>Закон о буџету и Информатор о раду Управе царина (веб</w:t>
            </w:r>
            <w:r w:rsidR="00FC5C84">
              <w:rPr>
                <w:rFonts w:eastAsia="Calibri"/>
                <w:lang w:val="sr-Cyrl-RS"/>
              </w:rPr>
              <w:t>-</w:t>
            </w:r>
            <w:r w:rsidR="001F3B03">
              <w:rPr>
                <w:rFonts w:eastAsia="Calibri"/>
                <w:lang w:val="sr-Cyrl-RS"/>
              </w:rPr>
              <w:t>сајт МФ и веб</w:t>
            </w:r>
            <w:r w:rsidR="00FC5C84">
              <w:rPr>
                <w:rFonts w:eastAsia="Calibri"/>
                <w:lang w:val="sr-Cyrl-RS"/>
              </w:rPr>
              <w:t>-</w:t>
            </w:r>
            <w:r w:rsidR="001F3B03">
              <w:rPr>
                <w:rFonts w:eastAsia="Calibri"/>
                <w:lang w:val="sr-Cyrl-RS"/>
              </w:rPr>
              <w:t xml:space="preserve"> </w:t>
            </w:r>
            <w:r w:rsidRPr="0081082A">
              <w:rPr>
                <w:rFonts w:eastAsia="Calibri"/>
                <w:lang w:val="sr-Cyrl-RS"/>
              </w:rPr>
              <w:t>сајт Управе царина)</w:t>
            </w:r>
          </w:p>
        </w:tc>
      </w:tr>
      <w:tr w:rsidR="00192373" w:rsidRPr="0081082A" w:rsidTr="00D01626">
        <w:trPr>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5"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Управа царина</w:t>
            </w:r>
          </w:p>
        </w:tc>
      </w:tr>
      <w:tr w:rsidR="00192373" w:rsidRPr="0081082A" w:rsidTr="00D01626">
        <w:trPr>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5"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5"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5"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проценат остварене наплате царина и ПДВ-а из увоза у односу на одобрену буџетску процену. Већа остварена наплата као резултат побољшане ефикасности Управе царина допринеће прикупљању буџетских прихода што представља један од најважнијих целокупног система јавних финансија. </w:t>
            </w:r>
          </w:p>
        </w:tc>
      </w:tr>
      <w:tr w:rsidR="00192373" w:rsidRPr="0081082A" w:rsidTr="00D01626">
        <w:trPr>
          <w:trHeight w:val="413"/>
          <w:jc w:val="center"/>
        </w:trPr>
        <w:tc>
          <w:tcPr>
            <w:tcW w:w="1425"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721"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54"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5"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74"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5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9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54"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5" w:type="pct"/>
            <w:vMerge/>
            <w:shd w:val="clear" w:color="auto" w:fill="auto"/>
          </w:tcPr>
          <w:p w:rsidR="00192373" w:rsidRPr="0081082A" w:rsidRDefault="00192373" w:rsidP="00D01626">
            <w:pPr>
              <w:spacing w:before="50" w:after="50"/>
              <w:rPr>
                <w:rFonts w:eastAsia="Calibri"/>
                <w:b/>
                <w:bCs/>
                <w:lang w:val="sr-Cyrl-RS"/>
              </w:rPr>
            </w:pPr>
          </w:p>
        </w:tc>
        <w:tc>
          <w:tcPr>
            <w:tcW w:w="974"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5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9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54"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 xml:space="preserve">Царина 102.29% </w:t>
            </w:r>
          </w:p>
          <w:p w:rsidR="00192373" w:rsidRPr="0081082A" w:rsidRDefault="00192373" w:rsidP="00D01626">
            <w:pPr>
              <w:spacing w:before="50" w:after="50"/>
              <w:jc w:val="center"/>
              <w:rPr>
                <w:rFonts w:eastAsia="Calibri"/>
                <w:iCs/>
                <w:lang w:val="sr-Cyrl-RS"/>
              </w:rPr>
            </w:pPr>
            <w:r w:rsidRPr="0081082A">
              <w:rPr>
                <w:rFonts w:eastAsia="Calibri"/>
                <w:iCs/>
                <w:lang w:val="sr-Cyrl-RS"/>
              </w:rPr>
              <w:t>ПДВ 101.15%</w:t>
            </w:r>
          </w:p>
        </w:tc>
      </w:tr>
      <w:tr w:rsidR="00192373" w:rsidRPr="0081082A" w:rsidTr="00D01626">
        <w:trPr>
          <w:trHeight w:val="274"/>
          <w:jc w:val="center"/>
        </w:trPr>
        <w:tc>
          <w:tcPr>
            <w:tcW w:w="1425"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32"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30"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9"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69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698"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25" w:type="pct"/>
            <w:vMerge/>
            <w:shd w:val="clear" w:color="auto" w:fill="auto"/>
          </w:tcPr>
          <w:p w:rsidR="00192373" w:rsidRPr="0081082A" w:rsidRDefault="00192373" w:rsidP="00D01626">
            <w:pPr>
              <w:spacing w:before="50" w:after="50"/>
              <w:rPr>
                <w:rFonts w:eastAsia="Calibri"/>
                <w:b/>
                <w:bCs/>
                <w:lang w:val="sr-Cyrl-RS"/>
              </w:rPr>
            </w:pPr>
          </w:p>
        </w:tc>
        <w:tc>
          <w:tcPr>
            <w:tcW w:w="732"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73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719"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69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698"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r>
      <w:tr w:rsidR="00192373" w:rsidRPr="0081082A" w:rsidTr="00D01626">
        <w:trPr>
          <w:trHeight w:val="160"/>
          <w:jc w:val="center"/>
        </w:trPr>
        <w:tc>
          <w:tcPr>
            <w:tcW w:w="1425"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5"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Повећана наплата прихода које прикупља Управа царина као проценат БДП-а, одступање до 5% је прихватљиво. </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мере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39"/>
        <w:gridCol w:w="1325"/>
        <w:gridCol w:w="429"/>
        <w:gridCol w:w="896"/>
        <w:gridCol w:w="469"/>
        <w:gridCol w:w="192"/>
        <w:gridCol w:w="658"/>
        <w:gridCol w:w="1018"/>
        <w:gridCol w:w="298"/>
        <w:gridCol w:w="1318"/>
      </w:tblGrid>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3"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 xml:space="preserve">Учешће дуга у домаћој валути у укупном јавном дугу - централни ниво власти </w:t>
            </w:r>
          </w:p>
        </w:tc>
      </w:tr>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3"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2.4: Ефикасно управљање јавним дугом</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8"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4"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7"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8"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84"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управљања јавним дугом, пожељна је већа вредност</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3"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 xml:space="preserve">Квартални извештај стања и структуре јавног дуга </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lastRenderedPageBreak/>
              <w:t>Назив носиоца прикупљања података</w:t>
            </w:r>
          </w:p>
        </w:tc>
        <w:tc>
          <w:tcPr>
            <w:tcW w:w="357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Управа за јавни дуг</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квартално</w:t>
            </w:r>
          </w:p>
        </w:tc>
      </w:tr>
      <w:tr w:rsidR="00192373" w:rsidRPr="0081082A" w:rsidTr="00D01626">
        <w:trPr>
          <w:trHeight w:val="274"/>
          <w:jc w:val="center"/>
        </w:trPr>
        <w:tc>
          <w:tcPr>
            <w:tcW w:w="1427"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3" w:type="pct"/>
            <w:gridSpan w:val="9"/>
            <w:shd w:val="clear" w:color="auto" w:fill="FFFFFF"/>
          </w:tcPr>
          <w:p w:rsidR="00192373" w:rsidRPr="0081082A" w:rsidRDefault="00192373" w:rsidP="005B36B4">
            <w:pPr>
              <w:spacing w:before="50" w:after="50"/>
              <w:rPr>
                <w:rFonts w:eastAsia="Calibri"/>
                <w:lang w:val="sr-Cyrl-RS"/>
              </w:rPr>
            </w:pPr>
            <w:r w:rsidRPr="0081082A">
              <w:rPr>
                <w:rFonts w:eastAsia="Calibri"/>
                <w:lang w:val="sr-Cyrl-RS"/>
              </w:rPr>
              <w:t xml:space="preserve">Показатељ указује на проценат учешћа дуга у домаћој валути у укупном јавном дугу централног нивоа власти. Растом овог показатеља смањују се ризици трошкова сервисирања јавног дуга и повећања стања јавног дуга.  </w:t>
            </w:r>
          </w:p>
        </w:tc>
      </w:tr>
      <w:tr w:rsidR="00192373" w:rsidRPr="0081082A" w:rsidTr="00D01626">
        <w:trPr>
          <w:trHeight w:val="413"/>
          <w:jc w:val="center"/>
        </w:trPr>
        <w:tc>
          <w:tcPr>
            <w:tcW w:w="1427"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9"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4"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7"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43"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907"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4"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94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27.7%</w:t>
            </w:r>
          </w:p>
        </w:tc>
        <w:tc>
          <w:tcPr>
            <w:tcW w:w="874"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30.5%</w:t>
            </w:r>
          </w:p>
        </w:tc>
      </w:tr>
      <w:tr w:rsidR="00192373" w:rsidRPr="0081082A" w:rsidTr="00D01626">
        <w:trPr>
          <w:trHeight w:val="274"/>
          <w:jc w:val="center"/>
        </w:trPr>
        <w:tc>
          <w:tcPr>
            <w:tcW w:w="1427"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1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4"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3"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71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31%</w:t>
            </w:r>
          </w:p>
        </w:tc>
        <w:tc>
          <w:tcPr>
            <w:tcW w:w="71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32%</w:t>
            </w:r>
          </w:p>
        </w:tc>
        <w:tc>
          <w:tcPr>
            <w:tcW w:w="714"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33%</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34%</w:t>
            </w:r>
          </w:p>
        </w:tc>
        <w:tc>
          <w:tcPr>
            <w:tcW w:w="713"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35%</w:t>
            </w:r>
          </w:p>
        </w:tc>
      </w:tr>
      <w:tr w:rsidR="00192373" w:rsidRPr="0081082A" w:rsidTr="00D01626">
        <w:trPr>
          <w:trHeight w:val="160"/>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3"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Одступање је прихватљиво у износу од 0.5%</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мере 2.5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39"/>
        <w:gridCol w:w="1325"/>
        <w:gridCol w:w="429"/>
        <w:gridCol w:w="896"/>
        <w:gridCol w:w="469"/>
        <w:gridCol w:w="192"/>
        <w:gridCol w:w="658"/>
        <w:gridCol w:w="1018"/>
        <w:gridCol w:w="298"/>
        <w:gridCol w:w="1318"/>
      </w:tblGrid>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3"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Број понуда по поступку јавне набавке</w:t>
            </w:r>
          </w:p>
        </w:tc>
      </w:tr>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3"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2.5: Унапређење електронског система јавних набавки</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8"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4"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7"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8"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84"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система јавних набавки, пожељна је већа вредност</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3" w:type="pct"/>
            <w:gridSpan w:val="9"/>
            <w:shd w:val="clear" w:color="auto" w:fill="FFFFFF"/>
            <w:vAlign w:val="center"/>
          </w:tcPr>
          <w:p w:rsidR="00192373" w:rsidRPr="0081082A" w:rsidRDefault="00192373" w:rsidP="00B36DDA">
            <w:pPr>
              <w:spacing w:before="0" w:after="134"/>
              <w:rPr>
                <w:rFonts w:eastAsia="Calibri"/>
                <w:lang w:val="sr-Cyrl-RS"/>
              </w:rPr>
            </w:pPr>
            <w:r w:rsidRPr="0081082A">
              <w:rPr>
                <w:rFonts w:eastAsia="Calibri"/>
                <w:lang w:val="sr-Cyrl-RS"/>
              </w:rPr>
              <w:t>Годишњи извештај о поступцима јавних набавки (</w:t>
            </w:r>
            <w:r w:rsidR="00B36DDA" w:rsidRPr="0081082A">
              <w:rPr>
                <w:rFonts w:eastAsia="Calibri"/>
                <w:lang w:val="sr-Cyrl-RS"/>
              </w:rPr>
              <w:t>Портал јавних набавки)</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Канцеларија за јавне набавке</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7"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3"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указује на број понуда по поступку јавне набавке што упућује на већу конкурентност при обављању тендерске процедуре, што представља један од кључних елемената система јавних набавки</w:t>
            </w:r>
          </w:p>
        </w:tc>
      </w:tr>
      <w:tr w:rsidR="00192373" w:rsidRPr="0081082A" w:rsidTr="00D01626">
        <w:trPr>
          <w:trHeight w:val="413"/>
          <w:jc w:val="center"/>
        </w:trPr>
        <w:tc>
          <w:tcPr>
            <w:tcW w:w="1427"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9"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4"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7"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43"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907"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74"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2019. </w:t>
            </w:r>
          </w:p>
        </w:tc>
      </w:tr>
      <w:tr w:rsidR="00192373" w:rsidRPr="0081082A" w:rsidTr="00D01626">
        <w:trPr>
          <w:trHeight w:val="323"/>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94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4"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2.5%</w:t>
            </w:r>
          </w:p>
        </w:tc>
      </w:tr>
      <w:tr w:rsidR="00192373" w:rsidRPr="0081082A" w:rsidTr="00D01626">
        <w:trPr>
          <w:trHeight w:val="274"/>
          <w:jc w:val="center"/>
        </w:trPr>
        <w:tc>
          <w:tcPr>
            <w:tcW w:w="1427"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1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4"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3"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71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2.7</w:t>
            </w:r>
          </w:p>
        </w:tc>
        <w:tc>
          <w:tcPr>
            <w:tcW w:w="71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2.8</w:t>
            </w:r>
          </w:p>
        </w:tc>
        <w:tc>
          <w:tcPr>
            <w:tcW w:w="714"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2.9</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w:t>
            </w:r>
          </w:p>
        </w:tc>
        <w:tc>
          <w:tcPr>
            <w:tcW w:w="713"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3.1</w:t>
            </w:r>
          </w:p>
        </w:tc>
      </w:tr>
      <w:tr w:rsidR="00192373" w:rsidRPr="0081082A" w:rsidTr="00D01626">
        <w:trPr>
          <w:trHeight w:val="160"/>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3"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Повећање броја понуда по поступку јавне набавке, одступање od 0,1% поена је прихватљиво </w:t>
            </w:r>
          </w:p>
        </w:tc>
      </w:tr>
    </w:tbl>
    <w:p w:rsidR="00192373" w:rsidRPr="0081082A" w:rsidRDefault="00192373" w:rsidP="00192373">
      <w:pPr>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3.1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9"/>
        <w:gridCol w:w="1379"/>
        <w:gridCol w:w="523"/>
        <w:gridCol w:w="956"/>
        <w:gridCol w:w="641"/>
        <w:gridCol w:w="48"/>
        <w:gridCol w:w="691"/>
        <w:gridCol w:w="1094"/>
        <w:gridCol w:w="287"/>
        <w:gridCol w:w="1384"/>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Број ревизорских налаза ЕК у односу на број спроведених препорука ревизије</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3.1: Формирање базе за јачање институционалних и административних капацитета Канцеларије за ревизију система управљања средствима ЕУ који омогућују делотворну ревизију система контроле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3"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6"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3"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6"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Мања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Извештај Европске комисије о ревизији</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Канцеларија за ревизију система управљања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приказује број ревизорских налаза ЕК, у односу на број спроведених препорука ревизије, у циљу спровођења делотворне ревизије система контроле ЕУ </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85"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04"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90"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6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04"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90"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04"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16</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800"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4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6"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w:t>
            </w:r>
          </w:p>
        </w:tc>
        <w:tc>
          <w:tcPr>
            <w:tcW w:w="800"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8</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6</w:t>
            </w:r>
          </w:p>
        </w:tc>
        <w:tc>
          <w:tcPr>
            <w:tcW w:w="747"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w:t>
            </w:r>
          </w:p>
        </w:tc>
        <w:tc>
          <w:tcPr>
            <w:tcW w:w="749"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Успешним се сматра што мањи број ревизорских налаза ЕК, у односу на број спроведених препорука ревизије. Одступања до 2 су прихватљива.</w:t>
            </w:r>
          </w:p>
        </w:tc>
      </w:tr>
    </w:tbl>
    <w:p w:rsidR="00192373" w:rsidRDefault="00192373" w:rsidP="00192373">
      <w:pPr>
        <w:spacing w:after="120"/>
        <w:rPr>
          <w:b/>
          <w:bCs/>
          <w:color w:val="2F5496"/>
          <w:lang w:val="sr-Cyrl-RS"/>
        </w:rPr>
      </w:pPr>
    </w:p>
    <w:p w:rsidR="00F579C2" w:rsidRDefault="00F579C2" w:rsidP="00192373">
      <w:pPr>
        <w:spacing w:after="120"/>
        <w:rPr>
          <w:b/>
          <w:bCs/>
          <w:color w:val="2F5496"/>
          <w:lang w:val="sr-Cyrl-RS"/>
        </w:rPr>
      </w:pPr>
    </w:p>
    <w:p w:rsidR="00F579C2" w:rsidRDefault="00F579C2" w:rsidP="00192373">
      <w:pPr>
        <w:spacing w:after="120"/>
        <w:rPr>
          <w:b/>
          <w:bCs/>
          <w:color w:val="2F5496"/>
          <w:lang w:val="sr-Cyrl-RS"/>
        </w:rPr>
      </w:pPr>
    </w:p>
    <w:p w:rsidR="00F579C2" w:rsidRPr="0081082A" w:rsidRDefault="00F579C2"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3.2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8"/>
        <w:gridCol w:w="1381"/>
        <w:gridCol w:w="521"/>
        <w:gridCol w:w="956"/>
        <w:gridCol w:w="647"/>
        <w:gridCol w:w="41"/>
        <w:gridCol w:w="693"/>
        <w:gridCol w:w="1092"/>
        <w:gridCol w:w="287"/>
        <w:gridCol w:w="1386"/>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Усвојени акти усмерени на политику задржавања кадрова</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3.2: Јачање система за ефикасније и ефективније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6"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3"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6"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3"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Службени гласник Републике Србије</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Сектор за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Учесталост у складу са динамиком усвајања аката</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се односи на број усвојених аката, који су усмерени на политику задржавања кадрова. Показатељ је од кључне важности за спровођење ове мере узимајући у обзир да су кадрови који се баве овим питањима ретки на нивоу Републике Србије. Не постоји формално образовање за ове послове који су специфични, уско стручни, обављају се на енглеском језику на високом нивоу одговорности који захтева дугогодишње обучавање. Узимајући у обзир високу подложност одлива ових кадрова, један од главних циљева система управљања средствима ЕУ је да их задржи.</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84"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05"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6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05"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05"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9"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99"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50"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Успешним се сматра усвајање аката који ће допринети развоју политике задржавање кадрова</w:t>
            </w:r>
          </w:p>
          <w:p w:rsidR="00192373" w:rsidRPr="0081082A" w:rsidRDefault="00192373" w:rsidP="00D01626">
            <w:pPr>
              <w:spacing w:before="50" w:after="50"/>
              <w:rPr>
                <w:rFonts w:eastAsia="Calibri"/>
                <w:iCs/>
                <w:lang w:val="sr-Cyrl-RS"/>
              </w:rPr>
            </w:pPr>
            <w:r w:rsidRPr="0081082A">
              <w:rPr>
                <w:rFonts w:eastAsia="Calibri"/>
                <w:iCs/>
                <w:lang w:val="sr-Cyrl-RS"/>
              </w:rPr>
              <w:t>Одступање није прихватљиво.</w:t>
            </w:r>
          </w:p>
        </w:tc>
      </w:tr>
    </w:tbl>
    <w:p w:rsidR="00192373" w:rsidRPr="0081082A" w:rsidRDefault="00192373" w:rsidP="00192373">
      <w:pPr>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3.2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9"/>
        <w:gridCol w:w="1379"/>
        <w:gridCol w:w="523"/>
        <w:gridCol w:w="956"/>
        <w:gridCol w:w="641"/>
        <w:gridCol w:w="48"/>
        <w:gridCol w:w="691"/>
        <w:gridCol w:w="725"/>
        <w:gridCol w:w="656"/>
        <w:gridCol w:w="1384"/>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lastRenderedPageBreak/>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Проценат обучених службеника у погледу управљања, контроле коришћења средстава, управљања ризицима и неправилностима</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3.2: Јачање система за ефикасније и ефективније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3"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6"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3"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96"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Извештаји о одржаним обукама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Сектор за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На годишњем нивоу</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се односи на проценат службеника који су прошли процес обука организованих од стране НАЈУ и других акредитованих организација, у погледу управљања, контроле коришћења средстава, управљања ризицима и неправилностима, у циљу ефикаснијег и ефективнијег коришћења средстава ЕУ. </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85"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1104"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90"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76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1104"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90"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76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1104"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9,5%</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800"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4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6"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20%</w:t>
            </w:r>
          </w:p>
        </w:tc>
        <w:tc>
          <w:tcPr>
            <w:tcW w:w="800"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30%</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35%</w:t>
            </w:r>
          </w:p>
        </w:tc>
        <w:tc>
          <w:tcPr>
            <w:tcW w:w="747"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40%</w:t>
            </w:r>
          </w:p>
        </w:tc>
        <w:tc>
          <w:tcPr>
            <w:tcW w:w="749"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50%</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Успешно реализован што већи проценат службеника који су прошли обуке на теме управљања, контроле коришћења средстава, управљања ризицима и неправилностима</w:t>
            </w:r>
          </w:p>
          <w:p w:rsidR="00192373" w:rsidRPr="0081082A" w:rsidRDefault="00192373" w:rsidP="00D01626">
            <w:pPr>
              <w:spacing w:before="50" w:after="50"/>
              <w:rPr>
                <w:rFonts w:eastAsia="Calibri"/>
                <w:iCs/>
                <w:lang w:val="sr-Cyrl-RS"/>
              </w:rPr>
            </w:pPr>
            <w:r w:rsidRPr="0081082A">
              <w:rPr>
                <w:rFonts w:eastAsia="Calibri"/>
                <w:iCs/>
                <w:lang w:val="sr-Cyrl-RS"/>
              </w:rPr>
              <w:t>Одступања до 20% су прихватљива</w:t>
            </w:r>
          </w:p>
        </w:tc>
      </w:tr>
    </w:tbl>
    <w:p w:rsidR="00192373" w:rsidRPr="0081082A" w:rsidRDefault="00192373" w:rsidP="00192373">
      <w:pPr>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3.2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9"/>
        <w:gridCol w:w="1381"/>
        <w:gridCol w:w="519"/>
        <w:gridCol w:w="956"/>
        <w:gridCol w:w="638"/>
        <w:gridCol w:w="50"/>
        <w:gridCol w:w="689"/>
        <w:gridCol w:w="911"/>
        <w:gridCol w:w="471"/>
        <w:gridCol w:w="1388"/>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Број извршених провера на лицу места код корисника јавних средстава</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3.2: Јачање система за ефикасније и ефективније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0"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9"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lastRenderedPageBreak/>
              <w:t>Јединица мере и природа</w:t>
            </w:r>
          </w:p>
        </w:tc>
        <w:tc>
          <w:tcPr>
            <w:tcW w:w="1890"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9"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Извештаји о извршеним проверама на лицу места код корисника јавних средстава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 за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Јединица за подршку Националног службеника за одобравање (НАО) је у обавези да на годишњем нивоу врши провере на лицу места код корисника индиректних ИПА средстава. Показатељ се односи на извршене провере на лицу места код корисника јавних средстава, у циљу што ефикаснијег и ефективнијег управљања средствима ЕУ.  </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782"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1006"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6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1006"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6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1006"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9</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5"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w:t>
            </w:r>
          </w:p>
        </w:tc>
        <w:tc>
          <w:tcPr>
            <w:tcW w:w="79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12</w:t>
            </w:r>
          </w:p>
        </w:tc>
        <w:tc>
          <w:tcPr>
            <w:tcW w:w="745"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12</w:t>
            </w:r>
          </w:p>
        </w:tc>
        <w:tc>
          <w:tcPr>
            <w:tcW w:w="74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12</w:t>
            </w:r>
          </w:p>
        </w:tc>
        <w:tc>
          <w:tcPr>
            <w:tcW w:w="750"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12</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Успешно извршење провера на лицу места код корисника јавних средстава</w:t>
            </w:r>
          </w:p>
          <w:p w:rsidR="00192373" w:rsidRPr="0081082A" w:rsidRDefault="00192373" w:rsidP="00D01626">
            <w:pPr>
              <w:spacing w:before="50" w:after="50"/>
              <w:rPr>
                <w:rFonts w:eastAsia="Calibri"/>
                <w:iCs/>
                <w:lang w:val="sr-Cyrl-RS"/>
              </w:rPr>
            </w:pPr>
            <w:r w:rsidRPr="0081082A">
              <w:rPr>
                <w:rFonts w:eastAsia="Calibri"/>
                <w:iCs/>
                <w:lang w:val="sr-Cyrl-RS"/>
              </w:rPr>
              <w:t>Одступања од 2 су прихватљива</w:t>
            </w:r>
          </w:p>
        </w:tc>
      </w:tr>
    </w:tbl>
    <w:p w:rsidR="00192373" w:rsidRPr="0081082A" w:rsidRDefault="00192373" w:rsidP="00192373">
      <w:pPr>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3.2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9"/>
        <w:gridCol w:w="1381"/>
        <w:gridCol w:w="519"/>
        <w:gridCol w:w="956"/>
        <w:gridCol w:w="638"/>
        <w:gridCol w:w="50"/>
        <w:gridCol w:w="689"/>
        <w:gridCol w:w="911"/>
        <w:gridCol w:w="471"/>
        <w:gridCol w:w="1388"/>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Проценат идентификованих неправилности приликом прве/првостепене контроле у односу на укупан број неправилности</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3.2: Јачање система за ефикасније и ефективније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0"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9"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0"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99"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Мања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Извештаји о идентификованим неправилностима приликом првостепене контроле</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Сектор за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 xml:space="preserve">Учесталост </w:t>
            </w:r>
            <w:r w:rsidRPr="0081082A">
              <w:rPr>
                <w:rFonts w:eastAsia="Calibri"/>
                <w:b/>
                <w:bCs/>
                <w:lang w:val="sr-Cyrl-RS"/>
              </w:rPr>
              <w:lastRenderedPageBreak/>
              <w:t>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lastRenderedPageBreak/>
              <w:t>На годишњем нивоу</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lastRenderedPageBreak/>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7F37AF">
            <w:pPr>
              <w:spacing w:before="50" w:after="50"/>
              <w:rPr>
                <w:rFonts w:eastAsia="Calibri"/>
                <w:lang w:val="sr-Cyrl-RS"/>
              </w:rPr>
            </w:pPr>
            <w:r w:rsidRPr="0081082A">
              <w:rPr>
                <w:rFonts w:eastAsia="Calibri"/>
                <w:lang w:val="sr-Cyrl-RS"/>
              </w:rPr>
              <w:t>Откривање неправ</w:t>
            </w:r>
            <w:r w:rsidR="007F37AF">
              <w:rPr>
                <w:rFonts w:eastAsia="Calibri"/>
                <w:lang w:val="sr-Cyrl-RS"/>
              </w:rPr>
              <w:t>и</w:t>
            </w:r>
            <w:r w:rsidRPr="0081082A">
              <w:rPr>
                <w:rFonts w:eastAsia="Calibri"/>
                <w:lang w:val="sr-Cyrl-RS"/>
              </w:rPr>
              <w:t>лности приликом прве контроле представља један од кључних показатеља ефикасног система управљања средствима ЕУ. У складу са тим, показатељ се односи на проценат идентификованих неправилности приликом првостепене контроле, у односу на свеукупан број утврђених неправилности у циљу отклањања неправилности које систем сам открије.</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782"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1006"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6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1006"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6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1006"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75%</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5"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50</w:t>
            </w:r>
          </w:p>
        </w:tc>
        <w:tc>
          <w:tcPr>
            <w:tcW w:w="79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55</w:t>
            </w:r>
          </w:p>
        </w:tc>
        <w:tc>
          <w:tcPr>
            <w:tcW w:w="745"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60</w:t>
            </w:r>
          </w:p>
        </w:tc>
        <w:tc>
          <w:tcPr>
            <w:tcW w:w="74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65</w:t>
            </w:r>
          </w:p>
        </w:tc>
        <w:tc>
          <w:tcPr>
            <w:tcW w:w="750"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70</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Успешна идентификација неправилности, током првостепене контроле у односу на укупан број утврђених неправилности, како би се исте могле отклонити унутар система  и тиме се обезбедило што ефикасније управљање средствима ЕУ. Одступања од 10% су прихватљива</w:t>
            </w:r>
          </w:p>
        </w:tc>
      </w:tr>
    </w:tbl>
    <w:p w:rsidR="00192373" w:rsidRPr="0081082A" w:rsidRDefault="00192373" w:rsidP="00192373">
      <w:pPr>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3.2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8"/>
        <w:gridCol w:w="1381"/>
        <w:gridCol w:w="521"/>
        <w:gridCol w:w="956"/>
        <w:gridCol w:w="647"/>
        <w:gridCol w:w="41"/>
        <w:gridCol w:w="693"/>
        <w:gridCol w:w="1092"/>
        <w:gridCol w:w="287"/>
        <w:gridCol w:w="1386"/>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Проценат пословних процеса који су подржани ИТ системом</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 xml:space="preserve"> Мера 3.2: Јачање система за ефикасније и ефективније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6"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3"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6"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93"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Извештај о функционисању система за електронско управљање радним процесима (MIS)</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Сектор за управљање средствима ЕУ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 од тренутка успостављања система</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Система за електронско управљање радним процесима (MIS) повећаће ефикасност пословних процеса услед поједностављивања и убрзавања обављања пословних процеса. Показатељ се односи проценат пословних процеса који се спроводе кроз MIS</w:t>
            </w:r>
            <w:r w:rsidRPr="0081082A" w:rsidDel="005723F9">
              <w:rPr>
                <w:rFonts w:eastAsia="Calibri"/>
                <w:lang w:val="sr-Cyrl-RS"/>
              </w:rPr>
              <w:t xml:space="preserve"> </w:t>
            </w:r>
            <w:r w:rsidRPr="0081082A">
              <w:rPr>
                <w:rFonts w:eastAsia="Calibri"/>
                <w:lang w:val="sr-Cyrl-RS"/>
              </w:rPr>
              <w:t>систем, како би се систем извештавања о коришћењу ЕУ средстава унапредио.</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lastRenderedPageBreak/>
              <w:t xml:space="preserve">Подаци о полазној вредности и години кад је измерена, као и о ранијем тренду </w:t>
            </w:r>
          </w:p>
        </w:tc>
        <w:tc>
          <w:tcPr>
            <w:tcW w:w="2884"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05"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6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05"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05"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9"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99"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50</w:t>
            </w:r>
          </w:p>
        </w:tc>
        <w:tc>
          <w:tcPr>
            <w:tcW w:w="750"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60</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Успешно увођење ИТ система у пословне процесе, у циљу унапређења система извештавања о коришћењу ЕУ средстава </w:t>
            </w:r>
          </w:p>
          <w:p w:rsidR="00192373" w:rsidRPr="0081082A" w:rsidRDefault="00192373" w:rsidP="00D01626">
            <w:pPr>
              <w:spacing w:before="50" w:after="50"/>
              <w:rPr>
                <w:rFonts w:eastAsia="Calibri"/>
                <w:iCs/>
                <w:lang w:val="sr-Cyrl-RS"/>
              </w:rPr>
            </w:pPr>
            <w:r w:rsidRPr="0081082A">
              <w:rPr>
                <w:rFonts w:eastAsia="Calibri"/>
                <w:iCs/>
                <w:lang w:val="sr-Cyrl-RS"/>
              </w:rPr>
              <w:t>Одступања су прихватљива од 10%</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мере 3.3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8"/>
        <w:gridCol w:w="1381"/>
        <w:gridCol w:w="519"/>
        <w:gridCol w:w="956"/>
        <w:gridCol w:w="640"/>
        <w:gridCol w:w="48"/>
        <w:gridCol w:w="693"/>
        <w:gridCol w:w="993"/>
        <w:gridCol w:w="386"/>
        <w:gridCol w:w="1388"/>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Calibri"/>
                <w:b/>
                <w:iCs/>
                <w:color w:val="FFFFFF"/>
                <w:lang w:val="sr-Cyrl-RS"/>
              </w:rPr>
              <w:t>Укупан број извршених инспекцијских контрола на годишњем нивоу</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 xml:space="preserve"> Мера 3.3: Повећање ефикасности и ефективности инспекцијске контроле</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1"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8"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1"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8"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F81764">
            <w:pPr>
              <w:spacing w:before="0" w:after="134"/>
              <w:rPr>
                <w:rFonts w:eastAsia="Calibri"/>
                <w:lang w:val="sr-Cyrl-RS"/>
              </w:rPr>
            </w:pPr>
            <w:r w:rsidRPr="0081082A">
              <w:rPr>
                <w:rFonts w:eastAsia="Calibri"/>
                <w:lang w:val="sr-Cyrl-RS"/>
              </w:rPr>
              <w:t>Годишњи извештај о раду буџетске инспекције (веб</w:t>
            </w:r>
            <w:r w:rsidR="00DC7AA4">
              <w:rPr>
                <w:rFonts w:eastAsia="Calibri"/>
                <w:lang w:val="sr-Cyrl-RS"/>
              </w:rPr>
              <w:t>-</w:t>
            </w:r>
            <w:r w:rsidRPr="0081082A">
              <w:rPr>
                <w:rFonts w:eastAsia="Calibri"/>
                <w:lang w:val="sr-Cyrl-RS"/>
              </w:rPr>
              <w:t>сајт Министарства финансија)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Сектор за буџетску инспекцију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се односи на укупан број спроведених инспекцијских контрола.  </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29"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12"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12"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0" w:type="pct"/>
            <w:gridSpan w:val="2"/>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          29</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50</w:t>
            </w:r>
          </w:p>
        </w:tc>
        <w:tc>
          <w:tcPr>
            <w:tcW w:w="79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52</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54</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56</w:t>
            </w:r>
          </w:p>
        </w:tc>
        <w:tc>
          <w:tcPr>
            <w:tcW w:w="751"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58</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Успешно извршење планираног броја инспекцијских контрола.</w:t>
            </w:r>
          </w:p>
          <w:p w:rsidR="00192373" w:rsidRPr="0081082A" w:rsidRDefault="00192373" w:rsidP="00D01626">
            <w:pPr>
              <w:spacing w:before="50" w:after="50"/>
              <w:rPr>
                <w:rFonts w:eastAsia="Calibri"/>
                <w:iCs/>
                <w:lang w:val="sr-Cyrl-RS"/>
              </w:rPr>
            </w:pPr>
            <w:r w:rsidRPr="0081082A">
              <w:rPr>
                <w:rFonts w:eastAsia="Calibri"/>
                <w:iCs/>
                <w:lang w:val="sr-Cyrl-RS"/>
              </w:rPr>
              <w:lastRenderedPageBreak/>
              <w:t>Одступања су прихватљива до 5 (10%).</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3.3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8"/>
        <w:gridCol w:w="1381"/>
        <w:gridCol w:w="521"/>
        <w:gridCol w:w="956"/>
        <w:gridCol w:w="647"/>
        <w:gridCol w:w="41"/>
        <w:gridCol w:w="693"/>
        <w:gridCol w:w="1092"/>
        <w:gridCol w:w="287"/>
        <w:gridCol w:w="1386"/>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tabs>
                <w:tab w:val="left" w:pos="9923"/>
              </w:tabs>
              <w:spacing w:before="0" w:after="0"/>
              <w:rPr>
                <w:rFonts w:eastAsia="Calibri"/>
                <w:b/>
                <w:iCs/>
                <w:color w:val="FFFFFF"/>
                <w:lang w:val="sr-Cyrl-RS"/>
              </w:rPr>
            </w:pPr>
            <w:r w:rsidRPr="0081082A">
              <w:rPr>
                <w:rFonts w:eastAsia="Calibri"/>
                <w:b/>
                <w:iCs/>
                <w:color w:val="FFFFFF"/>
                <w:lang w:val="sr-Cyrl-RS"/>
              </w:rPr>
              <w:t xml:space="preserve">Проценат планираних контрола у односу на број примљених представки, пријава и захтева за контролу </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 xml:space="preserve"> Мера 3.3: Повећање ефикасности и ефективности инспекцијске контроле</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6"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3"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6"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93"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ED7C1D">
            <w:pPr>
              <w:spacing w:before="0" w:after="134"/>
              <w:rPr>
                <w:rFonts w:eastAsia="Calibri"/>
                <w:lang w:val="sr-Cyrl-RS"/>
              </w:rPr>
            </w:pPr>
            <w:r w:rsidRPr="0081082A">
              <w:rPr>
                <w:rFonts w:eastAsia="Calibri"/>
                <w:lang w:val="sr-Cyrl-RS"/>
              </w:rPr>
              <w:t>Годишњи извештај о раду буџетске инспекције (веб</w:t>
            </w:r>
            <w:r w:rsidR="00E10993">
              <w:rPr>
                <w:rFonts w:eastAsia="Calibri"/>
                <w:lang w:val="sr-Cyrl-RS"/>
              </w:rPr>
              <w:t>-</w:t>
            </w:r>
            <w:r w:rsidRPr="0081082A">
              <w:rPr>
                <w:rFonts w:eastAsia="Calibri"/>
                <w:lang w:val="sr-Cyrl-RS"/>
              </w:rPr>
              <w:t>сајт Министарства финансија)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Сектор за буџетску инспекцију</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се односи на проценат планираних контрола у текућој години које улазе у план рада, у односу на број примљених представки, пријава и захтева за контролу у претходној години.</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84"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05"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61412D" w:rsidP="0061412D">
            <w:pPr>
              <w:jc w:val="center"/>
              <w:rPr>
                <w:lang w:val="sr-Cyrl-RS"/>
              </w:rPr>
            </w:pPr>
            <w:r w:rsidRPr="0081082A">
              <w:rPr>
                <w:lang w:val="sr-Cyrl-RS"/>
              </w:rPr>
              <w:t>2017</w:t>
            </w:r>
            <w:r w:rsidR="00192373" w:rsidRPr="0081082A">
              <w:rPr>
                <w:lang w:val="sr-Cyrl-RS"/>
              </w:rPr>
              <w:t>.</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61412D">
            <w:pPr>
              <w:jc w:val="center"/>
              <w:rPr>
                <w:lang w:val="sr-Cyrl-RS"/>
              </w:rPr>
            </w:pPr>
            <w:r w:rsidRPr="0081082A">
              <w:rPr>
                <w:lang w:val="sr-Cyrl-RS"/>
              </w:rPr>
              <w:t>2018.</w:t>
            </w:r>
          </w:p>
        </w:tc>
        <w:tc>
          <w:tcPr>
            <w:tcW w:w="96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61412D">
            <w:pPr>
              <w:jc w:val="center"/>
              <w:rPr>
                <w:lang w:val="sr-Cyrl-RS"/>
              </w:rPr>
            </w:pPr>
            <w:r w:rsidRPr="0081082A">
              <w:rPr>
                <w:lang w:val="sr-Cyrl-RS"/>
              </w:rPr>
              <w:t>2019.</w:t>
            </w:r>
          </w:p>
        </w:tc>
        <w:tc>
          <w:tcPr>
            <w:tcW w:w="905" w:type="pct"/>
            <w:gridSpan w:val="2"/>
            <w:tcBorders>
              <w:left w:val="single" w:sz="4" w:space="0" w:color="auto"/>
            </w:tcBorders>
            <w:shd w:val="clear" w:color="auto" w:fill="FFFFFF"/>
          </w:tcPr>
          <w:p w:rsidR="00192373" w:rsidRPr="0081082A" w:rsidRDefault="00192373" w:rsidP="0061412D">
            <w:pPr>
              <w:jc w:val="center"/>
              <w:rPr>
                <w:lang w:val="sr-Cyrl-RS"/>
              </w:rPr>
            </w:pPr>
            <w:r w:rsidRPr="0081082A">
              <w:rPr>
                <w:lang w:val="sr-Cyrl-RS"/>
              </w:rPr>
              <w:t>2020.</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tcBorders>
            <w:shd w:val="clear" w:color="auto" w:fill="FFFFFF"/>
            <w:vAlign w:val="center"/>
          </w:tcPr>
          <w:p w:rsidR="00192373" w:rsidRPr="0081082A" w:rsidRDefault="0061412D" w:rsidP="00D01626">
            <w:pPr>
              <w:spacing w:before="50" w:after="50"/>
              <w:jc w:val="center"/>
              <w:rPr>
                <w:rFonts w:eastAsia="Calibri"/>
                <w:iCs/>
                <w:lang w:val="sr-Cyrl-RS"/>
              </w:rPr>
            </w:pPr>
            <w:r w:rsidRPr="0081082A">
              <w:rPr>
                <w:rFonts w:eastAsia="Calibri"/>
                <w:iCs/>
                <w:lang w:val="sr-Cyrl-RS"/>
              </w:rPr>
              <w:t>4%</w:t>
            </w:r>
          </w:p>
        </w:tc>
        <w:tc>
          <w:tcPr>
            <w:tcW w:w="889" w:type="pct"/>
            <w:gridSpan w:val="3"/>
            <w:tcBorders>
              <w:top w:val="single" w:sz="4" w:space="0" w:color="auto"/>
            </w:tcBorders>
            <w:shd w:val="clear" w:color="auto" w:fill="FFFFFF"/>
            <w:vAlign w:val="center"/>
          </w:tcPr>
          <w:p w:rsidR="00192373" w:rsidRPr="0081082A" w:rsidRDefault="00E94EFF" w:rsidP="00D01626">
            <w:pPr>
              <w:spacing w:before="50" w:after="50"/>
              <w:jc w:val="center"/>
              <w:rPr>
                <w:rFonts w:eastAsia="Calibri"/>
                <w:iCs/>
                <w:lang w:val="sr-Cyrl-RS"/>
              </w:rPr>
            </w:pPr>
            <w:r w:rsidRPr="0081082A">
              <w:rPr>
                <w:rFonts w:eastAsia="Calibri"/>
                <w:iCs/>
                <w:lang w:val="sr-Cyrl-RS"/>
              </w:rPr>
              <w:t>5%</w:t>
            </w:r>
          </w:p>
        </w:tc>
        <w:tc>
          <w:tcPr>
            <w:tcW w:w="966" w:type="pct"/>
            <w:gridSpan w:val="2"/>
            <w:tcBorders>
              <w:top w:val="single" w:sz="4" w:space="0" w:color="auto"/>
            </w:tcBorders>
            <w:shd w:val="clear" w:color="auto" w:fill="FFFFFF"/>
            <w:vAlign w:val="center"/>
          </w:tcPr>
          <w:p w:rsidR="00192373" w:rsidRPr="0081082A" w:rsidRDefault="00E94EFF" w:rsidP="00D01626">
            <w:pPr>
              <w:spacing w:before="50" w:after="50"/>
              <w:jc w:val="center"/>
              <w:rPr>
                <w:rFonts w:eastAsia="Calibri"/>
                <w:iCs/>
                <w:lang w:val="sr-Cyrl-RS"/>
              </w:rPr>
            </w:pPr>
            <w:r w:rsidRPr="0081082A">
              <w:rPr>
                <w:rFonts w:eastAsia="Calibri"/>
                <w:iCs/>
                <w:lang w:val="sr-Cyrl-RS"/>
              </w:rPr>
              <w:t>18%</w:t>
            </w:r>
          </w:p>
        </w:tc>
        <w:tc>
          <w:tcPr>
            <w:tcW w:w="905" w:type="pct"/>
            <w:gridSpan w:val="2"/>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          12%</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9"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15%</w:t>
            </w:r>
          </w:p>
        </w:tc>
        <w:tc>
          <w:tcPr>
            <w:tcW w:w="799"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17%</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20%</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25%</w:t>
            </w:r>
          </w:p>
        </w:tc>
        <w:tc>
          <w:tcPr>
            <w:tcW w:w="750"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30%</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Успешно извршење планираног процента инспекцијских контрола које су ушле у план рада, у односу на број примљених представки, пријава и захтева за контролу у претходној години. Одступања су прихватљива до 20% у односу на предвиђени проценат.</w:t>
            </w:r>
          </w:p>
        </w:tc>
      </w:tr>
    </w:tbl>
    <w:p w:rsidR="00192373" w:rsidRPr="0081082A" w:rsidRDefault="00192373" w:rsidP="00CF0A72">
      <w:pPr>
        <w:spacing w:after="100"/>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4.1</w:t>
      </w:r>
    </w:p>
    <w:p w:rsidR="00192373" w:rsidRPr="0081082A" w:rsidRDefault="00192373" w:rsidP="00192373">
      <w:pPr>
        <w:spacing w:after="120"/>
        <w:rPr>
          <w:b/>
          <w:bCs/>
          <w:color w:val="2F5496"/>
          <w:lang w:val="sr-Cyrl-R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7"/>
        <w:gridCol w:w="235"/>
        <w:gridCol w:w="672"/>
        <w:gridCol w:w="477"/>
        <w:gridCol w:w="195"/>
        <w:gridCol w:w="672"/>
        <w:gridCol w:w="672"/>
        <w:gridCol w:w="369"/>
        <w:gridCol w:w="303"/>
        <w:gridCol w:w="672"/>
        <w:gridCol w:w="672"/>
      </w:tblGrid>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lastRenderedPageBreak/>
              <w:t>Назив показатеља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Times New Roman"/>
                <w:b/>
                <w:bCs/>
                <w:color w:val="FFFFFF" w:themeColor="background1"/>
                <w:szCs w:val="16"/>
                <w:lang w:val="sr-Cyrl-RS" w:eastAsia="en-GB"/>
              </w:rPr>
              <w:t>Проценат приоритетних КЈС</w:t>
            </w:r>
            <w:r w:rsidRPr="0081082A">
              <w:rPr>
                <w:rStyle w:val="FootnoteReference"/>
                <w:rFonts w:eastAsia="Times New Roman"/>
                <w:b/>
                <w:bCs/>
                <w:color w:val="FFFFFF" w:themeColor="background1"/>
                <w:szCs w:val="16"/>
                <w:lang w:val="sr-Cyrl-RS" w:eastAsia="en-GB"/>
              </w:rPr>
              <w:footnoteReference w:id="177"/>
            </w:r>
            <w:r w:rsidRPr="0081082A">
              <w:rPr>
                <w:rFonts w:eastAsia="Times New Roman"/>
                <w:b/>
                <w:bCs/>
                <w:color w:val="FFFFFF" w:themeColor="background1"/>
                <w:szCs w:val="16"/>
                <w:lang w:val="sr-Cyrl-RS" w:eastAsia="en-GB"/>
              </w:rPr>
              <w:t xml:space="preserve">  који достављају извештај о стању система ФУК</w:t>
            </w:r>
          </w:p>
        </w:tc>
      </w:tr>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4.1: Унапређење система ФУК-а у институцијама јавног сектора</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4"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9"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84"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система финансијског управљања и контроле у јавном сектору, пожељна је већа вредност</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1"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Консолидовани годишњи извештај о стању интерне финансијске контроле у Републици Србији</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Сектор-Централна јединица за хармонизацију</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9"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1"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указује на број корисника јавних средстава (Министарства, ООСО, јавна предузећa која обављају делатност од јавног интереса и у послују у складу са Законом о јавним предузећима, као и градови који достављају извештај МФ о стању система ФУК како би се допринело општем унапређењу система финансијског управљања и контроле у јавном сектору) Израчунат је као проценат/учешће поменутих корисника од укупног броја истих који су доставили извештај МФ-ЦЈХ кроз апликацију за извештавање.</w:t>
            </w:r>
          </w:p>
        </w:tc>
      </w:tr>
      <w:tr w:rsidR="00192373" w:rsidRPr="0081082A" w:rsidTr="00D01626">
        <w:trPr>
          <w:trHeight w:val="413"/>
          <w:jc w:val="center"/>
        </w:trPr>
        <w:tc>
          <w:tcPr>
            <w:tcW w:w="1429"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3"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9"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3"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3"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91,49%</w:t>
            </w:r>
          </w:p>
        </w:tc>
      </w:tr>
      <w:tr w:rsidR="00192373" w:rsidRPr="0081082A" w:rsidTr="00D01626">
        <w:trPr>
          <w:trHeight w:val="274"/>
          <w:jc w:val="center"/>
        </w:trPr>
        <w:tc>
          <w:tcPr>
            <w:tcW w:w="1429"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92%</w:t>
            </w:r>
          </w:p>
        </w:tc>
        <w:tc>
          <w:tcPr>
            <w:tcW w:w="360" w:type="pct"/>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92%</w:t>
            </w: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93%</w:t>
            </w: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94%</w:t>
            </w:r>
          </w:p>
        </w:tc>
        <w:tc>
          <w:tcPr>
            <w:tcW w:w="35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95%</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1"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Повећање броја КЈС који су достављају извештаје о стању система ФУК, </w:t>
            </w:r>
            <w:r w:rsidRPr="0081082A">
              <w:rPr>
                <w:rFonts w:eastAsia="Calibri"/>
                <w:iCs/>
                <w:color w:val="000000" w:themeColor="text1"/>
                <w:lang w:val="sr-Cyrl-RS"/>
              </w:rPr>
              <w:t>одступање је прихватљиво до 1%</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4.1</w:t>
      </w:r>
    </w:p>
    <w:p w:rsidR="00192373" w:rsidRPr="0081082A" w:rsidRDefault="00192373" w:rsidP="00192373">
      <w:pPr>
        <w:spacing w:after="120"/>
        <w:rPr>
          <w:b/>
          <w:bCs/>
          <w:color w:val="2F5496"/>
          <w:lang w:val="sr-Cyrl-R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9"/>
        <w:gridCol w:w="233"/>
        <w:gridCol w:w="672"/>
        <w:gridCol w:w="478"/>
        <w:gridCol w:w="194"/>
        <w:gridCol w:w="672"/>
        <w:gridCol w:w="672"/>
        <w:gridCol w:w="369"/>
        <w:gridCol w:w="303"/>
        <w:gridCol w:w="672"/>
        <w:gridCol w:w="672"/>
      </w:tblGrid>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lastRenderedPageBreak/>
              <w:t>Назив показатеља</w:t>
            </w:r>
          </w:p>
        </w:tc>
        <w:tc>
          <w:tcPr>
            <w:tcW w:w="3573"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Times New Roman"/>
                <w:b/>
                <w:bCs/>
                <w:color w:val="FFFFFF" w:themeColor="background1"/>
                <w:szCs w:val="16"/>
                <w:lang w:val="sr-Cyrl-RS" w:eastAsia="en-GB"/>
              </w:rPr>
              <w:t>Проценат приоритетних КЈС</w:t>
            </w:r>
            <w:r w:rsidRPr="0081082A">
              <w:rPr>
                <w:rStyle w:val="FootnoteReference"/>
                <w:rFonts w:eastAsia="Times New Roman"/>
                <w:b/>
                <w:bCs/>
                <w:color w:val="FFFFFF" w:themeColor="background1"/>
                <w:szCs w:val="16"/>
                <w:lang w:val="sr-Cyrl-RS" w:eastAsia="en-GB"/>
              </w:rPr>
              <w:footnoteReference w:id="178"/>
            </w:r>
            <w:r w:rsidRPr="0081082A">
              <w:rPr>
                <w:rFonts w:eastAsia="Times New Roman"/>
                <w:b/>
                <w:bCs/>
                <w:color w:val="FFFFFF" w:themeColor="background1"/>
                <w:szCs w:val="16"/>
                <w:lang w:val="sr-Cyrl-RS" w:eastAsia="en-GB"/>
              </w:rPr>
              <w:t xml:space="preserve">  који су сачинили регистар ризика</w:t>
            </w:r>
          </w:p>
        </w:tc>
      </w:tr>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3"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4.1: Унапређење система ФУК-а у институцијама јавног сектора</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6"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7"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86"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система финансијског управљања и контроле у јавном сектору, пожељна је већа вредност</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3"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Консолидовани годишњи извештај о стању интерне финансијске контроле у Републици Србији</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3"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Сектор-Централна јединица за хармонизацију</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3"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7"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3"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указује на број корисника јавних средстава (Министарства, ООСО, јавна предузећa која обављају делатност од јавног интереса и у послују у складу са Законом о јавним предузећима, као и градови који су сачинили регистар ризика како би се допринело унапређењу система финансијског управљања и контроле) Израчунат је као проценат/учешће поменутих корисника од укупног броја истих који су доставили извештај кроз апликацију за извештавање.</w:t>
            </w:r>
          </w:p>
        </w:tc>
      </w:tr>
      <w:tr w:rsidR="00192373" w:rsidRPr="0081082A" w:rsidTr="00D01626">
        <w:trPr>
          <w:trHeight w:val="413"/>
          <w:jc w:val="center"/>
        </w:trPr>
        <w:tc>
          <w:tcPr>
            <w:tcW w:w="1427"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5"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7"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5"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5"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63,95%</w:t>
            </w:r>
          </w:p>
        </w:tc>
      </w:tr>
      <w:tr w:rsidR="00192373" w:rsidRPr="0081082A" w:rsidTr="00D01626">
        <w:trPr>
          <w:trHeight w:val="274"/>
          <w:jc w:val="center"/>
        </w:trPr>
        <w:tc>
          <w:tcPr>
            <w:tcW w:w="1427"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5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65%</w:t>
            </w:r>
          </w:p>
        </w:tc>
        <w:tc>
          <w:tcPr>
            <w:tcW w:w="359" w:type="pct"/>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68%</w:t>
            </w: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71%</w:t>
            </w: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74%</w:t>
            </w:r>
          </w:p>
        </w:tc>
        <w:tc>
          <w:tcPr>
            <w:tcW w:w="35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80%</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3"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Повећање броја КЈС који су сачинили регистар ризика</w:t>
            </w:r>
            <w:r w:rsidRPr="0081082A">
              <w:rPr>
                <w:rFonts w:eastAsia="Calibri"/>
                <w:iCs/>
                <w:color w:val="000000" w:themeColor="text1"/>
                <w:lang w:val="sr-Cyrl-RS"/>
              </w:rPr>
              <w:t xml:space="preserve">, одступање је прихватљиво до 3% услед променљивости састава посматраних категорија КЈС. </w:t>
            </w:r>
          </w:p>
        </w:tc>
      </w:tr>
      <w:tr w:rsidR="00192373" w:rsidRPr="0081082A" w:rsidTr="00D01626">
        <w:trPr>
          <w:trHeight w:val="160"/>
          <w:jc w:val="center"/>
        </w:trPr>
        <w:tc>
          <w:tcPr>
            <w:tcW w:w="5000" w:type="pct"/>
            <w:gridSpan w:val="14"/>
            <w:shd w:val="clear" w:color="auto" w:fill="auto"/>
          </w:tcPr>
          <w:p w:rsidR="00192373" w:rsidRPr="0081082A" w:rsidRDefault="00192373" w:rsidP="00D01626">
            <w:pPr>
              <w:spacing w:after="120"/>
              <w:rPr>
                <w:b/>
                <w:bCs/>
                <w:color w:val="2F5496"/>
                <w:lang w:val="sr-Cyrl-RS"/>
              </w:rPr>
            </w:pPr>
            <w:r w:rsidRPr="0081082A">
              <w:rPr>
                <w:b/>
                <w:bCs/>
                <w:color w:val="2F5496"/>
                <w:lang w:val="sr-Cyrl-RS"/>
              </w:rPr>
              <w:t>Показатељ на нивоу мере 4.1</w:t>
            </w:r>
          </w:p>
          <w:p w:rsidR="00192373" w:rsidRPr="0081082A" w:rsidRDefault="00192373" w:rsidP="00D01626">
            <w:pPr>
              <w:spacing w:before="50" w:after="50"/>
              <w:rPr>
                <w:rFonts w:eastAsia="Calibri"/>
                <w:iCs/>
                <w:lang w:val="sr-Cyrl-RS"/>
              </w:rPr>
            </w:pPr>
          </w:p>
        </w:tc>
      </w:tr>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3"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Times New Roman"/>
                <w:b/>
                <w:bCs/>
                <w:color w:val="FFFFFF" w:themeColor="background1"/>
                <w:szCs w:val="16"/>
                <w:lang w:val="sr-Cyrl-RS" w:eastAsia="en-GB"/>
              </w:rPr>
            </w:pPr>
            <w:r w:rsidRPr="0081082A">
              <w:rPr>
                <w:rFonts w:eastAsia="Times New Roman"/>
                <w:b/>
                <w:bCs/>
                <w:color w:val="FFFFFF" w:themeColor="background1"/>
                <w:szCs w:val="16"/>
                <w:lang w:val="sr-Cyrl-RS" w:eastAsia="en-GB"/>
              </w:rPr>
              <w:t>Просечна оцена приор</w:t>
            </w:r>
            <w:r w:rsidR="00387069">
              <w:rPr>
                <w:rFonts w:eastAsia="Times New Roman"/>
                <w:b/>
                <w:bCs/>
                <w:color w:val="FFFFFF" w:themeColor="background1"/>
                <w:szCs w:val="16"/>
                <w:lang w:val="sr-Cyrl-RS" w:eastAsia="en-GB"/>
              </w:rPr>
              <w:t>ит</w:t>
            </w:r>
            <w:r w:rsidRPr="0081082A">
              <w:rPr>
                <w:rFonts w:eastAsia="Times New Roman"/>
                <w:b/>
                <w:bCs/>
                <w:color w:val="FFFFFF" w:themeColor="background1"/>
                <w:szCs w:val="16"/>
                <w:lang w:val="sr-Cyrl-RS" w:eastAsia="en-GB"/>
              </w:rPr>
              <w:t>етне групе КЈС који ажурирају Регистар ризика (обављају процену ризика и преглед адекватности мера бар једном годишње)</w:t>
            </w:r>
          </w:p>
        </w:tc>
      </w:tr>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lastRenderedPageBreak/>
              <w:t>Одговарајући општи циљ, посебан циљ или мера</w:t>
            </w:r>
          </w:p>
        </w:tc>
        <w:tc>
          <w:tcPr>
            <w:tcW w:w="3573"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4.1: Унапређење система ФУК-а у институцијама јавног сектора</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6"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7"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Аритметичка средина самопроцене на  скали 1-5</w:t>
            </w:r>
          </w:p>
        </w:tc>
        <w:tc>
          <w:tcPr>
            <w:tcW w:w="1886"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пожељна је већа вредност</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3"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Консолидовани годишњи извештај о стању интерне финансијске контроле у Републици Србији</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3" w:type="pct"/>
            <w:gridSpan w:val="13"/>
            <w:shd w:val="clear" w:color="auto" w:fill="FFFFFF"/>
            <w:vAlign w:val="center"/>
          </w:tcPr>
          <w:p w:rsidR="00192373" w:rsidRPr="0081082A" w:rsidRDefault="00C84F49" w:rsidP="00D01626">
            <w:pPr>
              <w:spacing w:before="50" w:after="50"/>
              <w:rPr>
                <w:rFonts w:eastAsia="Calibri"/>
                <w:lang w:val="sr-Cyrl-RS"/>
              </w:rPr>
            </w:pPr>
            <w:r>
              <w:rPr>
                <w:rFonts w:eastAsia="Calibri"/>
                <w:lang w:val="sr-Cyrl-RS"/>
              </w:rPr>
              <w:t>Министарство финансија-</w:t>
            </w:r>
            <w:r w:rsidR="00192373" w:rsidRPr="0081082A">
              <w:rPr>
                <w:rFonts w:eastAsia="Calibri"/>
                <w:lang w:val="sr-Cyrl-RS"/>
              </w:rPr>
              <w:t>Сектор-Централна јединица за хармонизацију</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3"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7"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3"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један од аспеката функционалне примене управљања ризицима код посматраних категорија КЈС. </w:t>
            </w:r>
          </w:p>
          <w:p w:rsidR="00192373" w:rsidRPr="0081082A" w:rsidRDefault="00192373" w:rsidP="00D01626">
            <w:pPr>
              <w:spacing w:before="50" w:after="50"/>
              <w:rPr>
                <w:rFonts w:eastAsia="Calibri"/>
                <w:lang w:val="sr-Cyrl-RS"/>
              </w:rPr>
            </w:pPr>
            <w:r w:rsidRPr="0081082A">
              <w:rPr>
                <w:rFonts w:eastAsia="Calibri"/>
                <w:lang w:val="sr-Cyrl-RS"/>
              </w:rPr>
              <w:t xml:space="preserve">Показатељ  представља аритметичку средину  самооцена по питању ажурирања регистра ризика приоритетне категорије КЈС који су доставили извештај о систему ФУК Централној јединици за хармонизацију а коју чине министарства, ООСО, јавна предузећa која обављају делатност од јавног интереса и у послују у складу са Законом о јавним предузећима, као и градови). Појединачне оцене се крећу од 1 до 5, где оцена 1 значи – Не, односно да се активност не спроводи, а оцена 5 значи ДА – активност се спроводи у целој организацији, а индикатор представља њихову аритметичку средину. </w:t>
            </w:r>
          </w:p>
        </w:tc>
      </w:tr>
      <w:tr w:rsidR="00192373" w:rsidRPr="0081082A" w:rsidTr="00D01626">
        <w:trPr>
          <w:trHeight w:val="413"/>
          <w:jc w:val="center"/>
        </w:trPr>
        <w:tc>
          <w:tcPr>
            <w:tcW w:w="1427"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5"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7"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5"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5"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Times New Roman"/>
                <w:bCs/>
                <w:sz w:val="16"/>
                <w:szCs w:val="16"/>
                <w:lang w:val="sr-Cyrl-RS" w:eastAsia="en-GB"/>
              </w:rPr>
              <w:t>3.91</w:t>
            </w:r>
          </w:p>
        </w:tc>
      </w:tr>
      <w:tr w:rsidR="00192373" w:rsidRPr="0081082A" w:rsidTr="00D01626">
        <w:trPr>
          <w:trHeight w:val="274"/>
          <w:jc w:val="center"/>
        </w:trPr>
        <w:tc>
          <w:tcPr>
            <w:tcW w:w="1427"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5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3,95</w:t>
            </w:r>
          </w:p>
        </w:tc>
        <w:tc>
          <w:tcPr>
            <w:tcW w:w="359" w:type="pct"/>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4,2</w:t>
            </w: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4,5</w:t>
            </w: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4,8</w:t>
            </w:r>
          </w:p>
        </w:tc>
        <w:tc>
          <w:tcPr>
            <w:tcW w:w="35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5</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3"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color w:val="000000" w:themeColor="text1"/>
                <w:lang w:val="sr-Cyrl-RS"/>
              </w:rPr>
              <w:t>Oдступање је прихватљиво до 0,2</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4.1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9"/>
        <w:gridCol w:w="233"/>
        <w:gridCol w:w="672"/>
        <w:gridCol w:w="478"/>
        <w:gridCol w:w="194"/>
        <w:gridCol w:w="672"/>
        <w:gridCol w:w="672"/>
        <w:gridCol w:w="369"/>
        <w:gridCol w:w="303"/>
        <w:gridCol w:w="672"/>
        <w:gridCol w:w="672"/>
      </w:tblGrid>
      <w:tr w:rsidR="00192373" w:rsidRPr="0081082A" w:rsidTr="00D01626">
        <w:trPr>
          <w:jc w:val="center"/>
        </w:trPr>
        <w:tc>
          <w:tcPr>
            <w:tcW w:w="1426"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4"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themeColor="background1"/>
                <w:lang w:val="sr-Cyrl-RS"/>
              </w:rPr>
            </w:pPr>
            <w:r w:rsidRPr="0081082A">
              <w:rPr>
                <w:rFonts w:eastAsia="Times New Roman"/>
                <w:b/>
                <w:bCs/>
                <w:color w:val="FFFFFF" w:themeColor="background1"/>
                <w:szCs w:val="16"/>
                <w:lang w:val="sr-Cyrl-RS" w:eastAsia="en-GB"/>
              </w:rPr>
              <w:t>Просечна оцена приоритетне групе КЈС код које руководиоци доносе одлуке у функцији управљања идентификовани ризицима (у вези реакције на ризик: прихватање, избегавање, умањивање или подела ризика)</w:t>
            </w:r>
          </w:p>
        </w:tc>
      </w:tr>
      <w:tr w:rsidR="00192373" w:rsidRPr="0081082A" w:rsidTr="00D01626">
        <w:trPr>
          <w:jc w:val="center"/>
        </w:trPr>
        <w:tc>
          <w:tcPr>
            <w:tcW w:w="1426"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4"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4.1: Унапређење система ФУК-а у институцијама јавног сектора</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lastRenderedPageBreak/>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7"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6"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Аритметичка средина самопроцене на скали 1-5</w:t>
            </w:r>
          </w:p>
        </w:tc>
        <w:tc>
          <w:tcPr>
            <w:tcW w:w="1887"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пожељна је већа вредност</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4"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Консолидовани годишњи извештај о стању интерне финансијске контроле у Републици Србији</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4"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Сектор-Централна јединица за хармонизацију</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4"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6"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4"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један од кључних аспеката функционалне примене управљања ризицима код посматраних категорија КЈС. </w:t>
            </w:r>
          </w:p>
          <w:p w:rsidR="00192373" w:rsidRPr="0081082A" w:rsidRDefault="00192373" w:rsidP="00D01626">
            <w:pPr>
              <w:spacing w:before="50" w:after="50"/>
              <w:rPr>
                <w:rFonts w:eastAsia="Calibri"/>
                <w:highlight w:val="yellow"/>
                <w:lang w:val="sr-Cyrl-RS"/>
              </w:rPr>
            </w:pPr>
            <w:r w:rsidRPr="0081082A">
              <w:rPr>
                <w:rFonts w:eastAsia="Calibri"/>
                <w:lang w:val="sr-Cyrl-RS"/>
              </w:rPr>
              <w:t xml:space="preserve">Представља аритметичку средину  самооцена по питању доношења одлука руководства у вези са ризицима </w:t>
            </w:r>
            <w:r w:rsidRPr="0081082A">
              <w:rPr>
                <w:rFonts w:ascii="Calibri" w:eastAsia="Times New Roman" w:hAnsi="Calibri"/>
                <w:bCs/>
                <w:sz w:val="16"/>
                <w:szCs w:val="16"/>
                <w:lang w:val="sr-Cyrl-RS" w:eastAsia="en-GB"/>
              </w:rPr>
              <w:t>(</w:t>
            </w:r>
            <w:r w:rsidRPr="0081082A">
              <w:rPr>
                <w:rFonts w:eastAsia="Times New Roman"/>
                <w:bCs/>
                <w:sz w:val="22"/>
                <w:szCs w:val="22"/>
                <w:lang w:val="sr-Cyrl-RS" w:eastAsia="en-GB"/>
              </w:rPr>
              <w:t>прихватање, избегавање, умањивање или подела ризика</w:t>
            </w:r>
            <w:r w:rsidRPr="0081082A">
              <w:rPr>
                <w:rFonts w:eastAsia="Calibri"/>
                <w:lang w:val="sr-Cyrl-RS"/>
              </w:rPr>
              <w:t>)у оквиру приоритетне категорије КЈС који су доставили извештај о систему ФУК Централној јединици за хармонизацију а коју чине министарства, ООСО, јавна предузећa која обављају делатност од јавног интереса и у послују у складу са Законом о јавним предузећима, као и градови. Појединачне оцене се крећу од 1 до 5, где оцена 1 значи – Не, односно да се активност не спроводи, а оцена 5 значи ДА – активност се спроводи у целој организацији, а индикатор представља њихову аритметичку средину.</w:t>
            </w:r>
          </w:p>
          <w:p w:rsidR="00192373" w:rsidRPr="0081082A" w:rsidRDefault="00192373" w:rsidP="00D01626">
            <w:pPr>
              <w:spacing w:before="50" w:after="50"/>
              <w:rPr>
                <w:rFonts w:eastAsia="Calibri"/>
                <w:lang w:val="sr-Cyrl-RS"/>
              </w:rPr>
            </w:pPr>
          </w:p>
        </w:tc>
      </w:tr>
      <w:tr w:rsidR="00192373" w:rsidRPr="0081082A" w:rsidTr="00D01626">
        <w:trPr>
          <w:trHeight w:val="413"/>
          <w:jc w:val="center"/>
        </w:trPr>
        <w:tc>
          <w:tcPr>
            <w:tcW w:w="1426"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5"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6"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5"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6"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5"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Times New Roman"/>
                <w:bCs/>
                <w:sz w:val="16"/>
                <w:szCs w:val="16"/>
                <w:lang w:val="sr-Cyrl-RS" w:eastAsia="en-GB"/>
              </w:rPr>
              <w:t>3.68</w:t>
            </w:r>
          </w:p>
        </w:tc>
      </w:tr>
      <w:tr w:rsidR="00192373" w:rsidRPr="0081082A" w:rsidTr="00D01626">
        <w:trPr>
          <w:trHeight w:val="274"/>
          <w:jc w:val="center"/>
        </w:trPr>
        <w:tc>
          <w:tcPr>
            <w:tcW w:w="1426"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5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9"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6"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3,81</w:t>
            </w:r>
          </w:p>
        </w:tc>
        <w:tc>
          <w:tcPr>
            <w:tcW w:w="359" w:type="pct"/>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4,00</w:t>
            </w: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4,15</w:t>
            </w: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4,3</w:t>
            </w:r>
          </w:p>
        </w:tc>
        <w:tc>
          <w:tcPr>
            <w:tcW w:w="359"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4,5</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4"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Повећање броја КЈС који су достављају извештаје о стању система ФУК, </w:t>
            </w:r>
            <w:r w:rsidRPr="0081082A">
              <w:rPr>
                <w:rFonts w:eastAsia="Calibri"/>
                <w:iCs/>
                <w:color w:val="000000" w:themeColor="text1"/>
                <w:lang w:val="sr-Cyrl-RS"/>
              </w:rPr>
              <w:t>одступање је прихватљиво до 0,2 услед променљивог састава посматраних категорија.</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мере 4.1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9"/>
        <w:gridCol w:w="233"/>
        <w:gridCol w:w="672"/>
        <w:gridCol w:w="478"/>
        <w:gridCol w:w="194"/>
        <w:gridCol w:w="672"/>
        <w:gridCol w:w="672"/>
        <w:gridCol w:w="369"/>
        <w:gridCol w:w="303"/>
        <w:gridCol w:w="672"/>
        <w:gridCol w:w="672"/>
      </w:tblGrid>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3"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Просечна оцена приоритетне групе КЈС који извештавају руководство о ризицима</w:t>
            </w:r>
          </w:p>
        </w:tc>
      </w:tr>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3"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4.1: Унапређење система ФУК-а у институцијама јавног сектора</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6"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7"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lastRenderedPageBreak/>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Аритметичка средина самопроцене на скали  1-5</w:t>
            </w:r>
          </w:p>
        </w:tc>
        <w:tc>
          <w:tcPr>
            <w:tcW w:w="1886"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пожељна је већа вредност</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3"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Консолидовани годишњи извештај о стању интерне финансијске контроле у Републици Србији</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3"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Сектор-Централна јединица за хармонизацију</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3"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7"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3"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један од кључних аспеката функционалне примене управљања ризицима код посматраних категорија КЈС. </w:t>
            </w:r>
          </w:p>
          <w:p w:rsidR="00192373" w:rsidRPr="0081082A" w:rsidRDefault="00192373" w:rsidP="00D01626">
            <w:pPr>
              <w:spacing w:before="50" w:after="50"/>
              <w:rPr>
                <w:rFonts w:eastAsia="Calibri"/>
                <w:highlight w:val="yellow"/>
                <w:lang w:val="sr-Cyrl-RS"/>
              </w:rPr>
            </w:pPr>
            <w:r w:rsidRPr="0081082A">
              <w:rPr>
                <w:rFonts w:eastAsia="Calibri"/>
                <w:lang w:val="sr-Cyrl-RS"/>
              </w:rPr>
              <w:t>Представља аритметичку средину  самооцена по питању постојања извештавања руководства у вези са управљањем ризика у оквиру приоритетне категорије КЈС који су доставили извештај о систему ФУК Централној јединици за хармонизацију а коју чине министарства, ООСО, јавна предузећa која обављају делатност од јавног интереса и у послују у складу са Законом о јавним предузећима, као и градови. Појединачне оцене се крећу од 1 до 5, где оцена 1 значи – Не, односно да се активност не спроводи, а оцена 5 значи ДА – активност се спроводи у целој организацији, а индикатор представља њихову аритметичку средину.</w:t>
            </w:r>
          </w:p>
          <w:p w:rsidR="00192373" w:rsidRPr="0081082A" w:rsidRDefault="00192373" w:rsidP="00D01626">
            <w:pPr>
              <w:spacing w:before="50" w:after="50"/>
              <w:rPr>
                <w:rFonts w:eastAsia="Calibri"/>
                <w:lang w:val="sr-Cyrl-RS"/>
              </w:rPr>
            </w:pPr>
          </w:p>
        </w:tc>
      </w:tr>
      <w:tr w:rsidR="00192373" w:rsidRPr="0081082A" w:rsidTr="00D01626">
        <w:trPr>
          <w:trHeight w:val="413"/>
          <w:jc w:val="center"/>
        </w:trPr>
        <w:tc>
          <w:tcPr>
            <w:tcW w:w="1427"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5"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7"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5"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5"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Times New Roman"/>
                <w:bCs/>
                <w:sz w:val="16"/>
                <w:szCs w:val="16"/>
                <w:lang w:val="sr-Cyrl-RS" w:eastAsia="en-GB"/>
              </w:rPr>
              <w:t>3.68</w:t>
            </w:r>
          </w:p>
        </w:tc>
      </w:tr>
      <w:tr w:rsidR="00192373" w:rsidRPr="0081082A" w:rsidTr="00D01626">
        <w:trPr>
          <w:trHeight w:val="274"/>
          <w:jc w:val="center"/>
        </w:trPr>
        <w:tc>
          <w:tcPr>
            <w:tcW w:w="1427"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59"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3,81</w:t>
            </w:r>
          </w:p>
        </w:tc>
        <w:tc>
          <w:tcPr>
            <w:tcW w:w="359" w:type="pct"/>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4,00</w:t>
            </w: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4,15</w:t>
            </w: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4,3</w:t>
            </w:r>
          </w:p>
        </w:tc>
        <w:tc>
          <w:tcPr>
            <w:tcW w:w="35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4,5</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7"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3"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color w:val="000000" w:themeColor="text1"/>
                <w:lang w:val="sr-Cyrl-RS"/>
              </w:rPr>
              <w:t>Повећање броја КЈС који су достављају извештаје о стању система ФУК, одступање је прихватљиво до 0,2 услед променљивог састава посматраних категорија.</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4.2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7"/>
        <w:gridCol w:w="235"/>
        <w:gridCol w:w="672"/>
        <w:gridCol w:w="477"/>
        <w:gridCol w:w="195"/>
        <w:gridCol w:w="672"/>
        <w:gridCol w:w="672"/>
        <w:gridCol w:w="369"/>
        <w:gridCol w:w="303"/>
        <w:gridCol w:w="672"/>
        <w:gridCol w:w="672"/>
      </w:tblGrid>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Times New Roman"/>
                <w:b/>
                <w:bCs/>
                <w:color w:val="FFFFFF" w:themeColor="background1"/>
                <w:szCs w:val="16"/>
                <w:lang w:val="sr-Cyrl-RS" w:eastAsia="en-GB"/>
              </w:rPr>
              <w:t>СИГМА показатељ адекватности оперативног оквира за интерну ревизију</w:t>
            </w:r>
          </w:p>
        </w:tc>
      </w:tr>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4.2. Унапређена функција интерне ревизије у јавном сектору у складу са међународним стандардима и начелима</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Квалитативни</w:t>
            </w:r>
          </w:p>
        </w:tc>
        <w:tc>
          <w:tcPr>
            <w:tcW w:w="1884"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9"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Бодови</w:t>
            </w:r>
          </w:p>
        </w:tc>
        <w:tc>
          <w:tcPr>
            <w:tcW w:w="1884"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система интерне ревизије, пожељна је већа вредност</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lastRenderedPageBreak/>
              <w:t>Извор података за праћење показатеља учинка</w:t>
            </w:r>
          </w:p>
        </w:tc>
        <w:tc>
          <w:tcPr>
            <w:tcW w:w="3571"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Мониторинг извештај СИГМЕ</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color w:val="000000" w:themeColor="text1"/>
                <w:lang w:val="sr-Cyrl-RS"/>
              </w:rPr>
            </w:pPr>
            <w:r w:rsidRPr="0081082A">
              <w:rPr>
                <w:rFonts w:eastAsia="Calibri"/>
                <w:color w:val="000000" w:themeColor="text1"/>
                <w:lang w:val="sr-Cyrl-RS"/>
              </w:rPr>
              <w:t>Министарство финансија- Сектор-Централна јединица за хармонизацију</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color w:val="000000" w:themeColor="text1"/>
                <w:lang w:val="sr-Cyrl-RS"/>
              </w:rPr>
            </w:pPr>
            <w:r w:rsidRPr="0081082A">
              <w:rPr>
                <w:rFonts w:eastAsia="Calibri"/>
                <w:color w:val="000000" w:themeColor="text1"/>
                <w:lang w:val="sr-Cyrl-RS"/>
              </w:rPr>
              <w:t>Приликом СИГМА процене за 2025. годину за Републику Србију</w:t>
            </w:r>
          </w:p>
        </w:tc>
      </w:tr>
      <w:tr w:rsidR="00192373" w:rsidRPr="0081082A" w:rsidTr="00D01626">
        <w:trPr>
          <w:trHeight w:val="274"/>
          <w:jc w:val="center"/>
        </w:trPr>
        <w:tc>
          <w:tcPr>
            <w:tcW w:w="1429"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1"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је преузет из СИГМА анализе за Републику Србију и постављен је на основу методологије коју користи СИГМА у оцени оперативног оквира за систем интерне ревизије.</w:t>
            </w:r>
          </w:p>
        </w:tc>
      </w:tr>
      <w:tr w:rsidR="00192373" w:rsidRPr="0081082A" w:rsidTr="00D01626">
        <w:trPr>
          <w:trHeight w:val="413"/>
          <w:jc w:val="center"/>
        </w:trPr>
        <w:tc>
          <w:tcPr>
            <w:tcW w:w="1429"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3"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9"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2014.</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2015.</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73"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2017. </w:t>
            </w:r>
          </w:p>
        </w:tc>
      </w:tr>
      <w:tr w:rsidR="00192373" w:rsidRPr="0081082A" w:rsidTr="00D01626">
        <w:trPr>
          <w:trHeight w:val="323"/>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3"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3/5</w:t>
            </w:r>
          </w:p>
        </w:tc>
      </w:tr>
      <w:tr w:rsidR="00192373" w:rsidRPr="0081082A" w:rsidTr="00D01626">
        <w:trPr>
          <w:trHeight w:val="274"/>
          <w:jc w:val="center"/>
        </w:trPr>
        <w:tc>
          <w:tcPr>
            <w:tcW w:w="1429"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rPr>
                <w:rFonts w:eastAsia="Calibri"/>
                <w:iCs/>
                <w:lang w:val="sr-Cyrl-RS"/>
              </w:rPr>
            </w:pP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5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4/5</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1"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Већа оцена СИГМА приликом наредне процене што указује на већу адекватност оперативног оквира, одступање је прихватљиво услед могућности промене СИГМА методологије.</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мере 4.2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7"/>
        <w:gridCol w:w="235"/>
        <w:gridCol w:w="672"/>
        <w:gridCol w:w="477"/>
        <w:gridCol w:w="195"/>
        <w:gridCol w:w="672"/>
        <w:gridCol w:w="672"/>
        <w:gridCol w:w="369"/>
        <w:gridCol w:w="303"/>
        <w:gridCol w:w="672"/>
        <w:gridCol w:w="672"/>
      </w:tblGrid>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Times New Roman"/>
                <w:b/>
                <w:bCs/>
                <w:color w:val="FFFFFF" w:themeColor="background1"/>
                <w:szCs w:val="16"/>
                <w:lang w:val="sr-Cyrl-RS" w:eastAsia="en-GB"/>
              </w:rPr>
              <w:t>СИГМА показатељ функционисања интерне ревизије</w:t>
            </w:r>
          </w:p>
        </w:tc>
      </w:tr>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4.2. Унапређена функција интерне ревизије у јавном сектору у складу са међународним стандардима и начелима</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Квалитативни</w:t>
            </w:r>
          </w:p>
        </w:tc>
        <w:tc>
          <w:tcPr>
            <w:tcW w:w="1884"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9"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Бодови</w:t>
            </w:r>
          </w:p>
        </w:tc>
        <w:tc>
          <w:tcPr>
            <w:tcW w:w="1884"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система интерне ревизије, пожељна је већа вредност</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1"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Мониторинг извештај СИГМЕ</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Сектор-Централна јединица за хармонизацију</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color w:val="000000" w:themeColor="text1"/>
                <w:lang w:val="sr-Cyrl-RS"/>
              </w:rPr>
              <w:t>Приликом СИГМА процене за 2025. годину за Републику Србију</w:t>
            </w:r>
          </w:p>
        </w:tc>
      </w:tr>
      <w:tr w:rsidR="00192373" w:rsidRPr="0081082A" w:rsidTr="00D01626">
        <w:trPr>
          <w:trHeight w:val="274"/>
          <w:jc w:val="center"/>
        </w:trPr>
        <w:tc>
          <w:tcPr>
            <w:tcW w:w="1429"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1"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је преузет из СИГМА анализе за Републику Србију и постављен је на основу методологије коју користи СИГМА у оцени општег функционисања система интерне ревизије. </w:t>
            </w:r>
          </w:p>
        </w:tc>
      </w:tr>
      <w:tr w:rsidR="00192373" w:rsidRPr="0081082A" w:rsidTr="00D01626">
        <w:trPr>
          <w:trHeight w:val="413"/>
          <w:jc w:val="center"/>
        </w:trPr>
        <w:tc>
          <w:tcPr>
            <w:tcW w:w="1429"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lastRenderedPageBreak/>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3"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9"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73"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2019. </w:t>
            </w:r>
          </w:p>
        </w:tc>
      </w:tr>
      <w:tr w:rsidR="00192373" w:rsidRPr="0081082A" w:rsidTr="00D01626">
        <w:trPr>
          <w:trHeight w:val="323"/>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3"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1/5</w:t>
            </w:r>
          </w:p>
        </w:tc>
      </w:tr>
      <w:tr w:rsidR="00192373" w:rsidRPr="0081082A" w:rsidTr="00D01626">
        <w:trPr>
          <w:trHeight w:val="274"/>
          <w:jc w:val="center"/>
        </w:trPr>
        <w:tc>
          <w:tcPr>
            <w:tcW w:w="1429"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rPr>
                <w:rFonts w:eastAsia="Calibri"/>
                <w:iCs/>
                <w:lang w:val="sr-Cyrl-RS"/>
              </w:rPr>
            </w:pP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5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3/5</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1"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Већа оцена СИГМА приликом наредне процене што указује на већу адекватност оперативног оквира, одступање је прихватљиво услед могућности промене СИГМА методологије. </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4.3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7"/>
        <w:gridCol w:w="235"/>
        <w:gridCol w:w="672"/>
        <w:gridCol w:w="477"/>
        <w:gridCol w:w="195"/>
        <w:gridCol w:w="672"/>
        <w:gridCol w:w="672"/>
        <w:gridCol w:w="369"/>
        <w:gridCol w:w="303"/>
        <w:gridCol w:w="672"/>
        <w:gridCol w:w="672"/>
      </w:tblGrid>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Times New Roman"/>
                <w:b/>
                <w:bCs/>
                <w:color w:val="FFFFFF" w:themeColor="background1"/>
                <w:szCs w:val="16"/>
                <w:lang w:val="sr-Cyrl-RS" w:eastAsia="en-GB"/>
              </w:rPr>
              <w:t>Функционалан ИТ систем за интерну контролу</w:t>
            </w:r>
          </w:p>
        </w:tc>
      </w:tr>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4.3: Ојачано праћење интерне контроле у јавном сектору (ИКЈС)</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4"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9"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color w:val="000000" w:themeColor="text1"/>
                <w:lang w:val="sr-Cyrl-RS"/>
              </w:rPr>
            </w:pPr>
            <w:r w:rsidRPr="0081082A">
              <w:rPr>
                <w:rFonts w:eastAsia="Calibri"/>
                <w:iCs/>
                <w:color w:val="000000" w:themeColor="text1"/>
                <w:lang w:val="sr-Cyrl-RS"/>
              </w:rPr>
              <w:t>Број</w:t>
            </w:r>
          </w:p>
        </w:tc>
        <w:tc>
          <w:tcPr>
            <w:tcW w:w="1884" w:type="pct"/>
            <w:gridSpan w:val="7"/>
            <w:shd w:val="clear" w:color="auto" w:fill="FFFFFF"/>
            <w:vAlign w:val="center"/>
          </w:tcPr>
          <w:p w:rsidR="00192373" w:rsidRPr="0081082A" w:rsidRDefault="00192373" w:rsidP="00D01626">
            <w:pPr>
              <w:spacing w:before="0" w:after="0"/>
              <w:rPr>
                <w:rFonts w:eastAsia="Arial"/>
                <w:iCs/>
                <w:color w:val="000000" w:themeColor="text1"/>
                <w:spacing w:val="-1"/>
                <w:kern w:val="24"/>
                <w:lang w:val="sr-Cyrl-RS"/>
              </w:rPr>
            </w:pPr>
            <w:r w:rsidRPr="0081082A">
              <w:rPr>
                <w:rFonts w:eastAsia="Arial"/>
                <w:iCs/>
                <w:color w:val="000000" w:themeColor="text1"/>
                <w:spacing w:val="-1"/>
                <w:kern w:val="24"/>
                <w:lang w:val="sr-Cyrl-RS"/>
              </w:rPr>
              <w:t>Унапређење система интерне контроле</w:t>
            </w:r>
          </w:p>
          <w:p w:rsidR="00192373" w:rsidRPr="0081082A" w:rsidRDefault="00192373" w:rsidP="00D01626">
            <w:pPr>
              <w:spacing w:before="0" w:after="0"/>
              <w:rPr>
                <w:rFonts w:eastAsia="Arial"/>
                <w:iCs/>
                <w:color w:val="000000" w:themeColor="text1"/>
                <w:spacing w:val="-1"/>
                <w:kern w:val="24"/>
                <w:lang w:val="sr-Cyrl-RS"/>
              </w:rPr>
            </w:pPr>
            <w:r w:rsidRPr="0081082A">
              <w:rPr>
                <w:rFonts w:eastAsia="Arial"/>
                <w:iCs/>
                <w:color w:val="000000" w:themeColor="text1"/>
                <w:spacing w:val="-1"/>
                <w:kern w:val="24"/>
                <w:lang w:val="sr-Cyrl-RS"/>
              </w:rPr>
              <w:t>0-не</w:t>
            </w:r>
          </w:p>
          <w:p w:rsidR="00192373" w:rsidRPr="0081082A" w:rsidRDefault="00192373" w:rsidP="00D01626">
            <w:pPr>
              <w:spacing w:before="0" w:after="0"/>
              <w:rPr>
                <w:rFonts w:eastAsia="Arial"/>
                <w:iCs/>
                <w:color w:val="000000" w:themeColor="text1"/>
                <w:spacing w:val="-1"/>
                <w:kern w:val="24"/>
                <w:lang w:val="sr-Cyrl-RS"/>
              </w:rPr>
            </w:pPr>
            <w:r w:rsidRPr="0081082A">
              <w:rPr>
                <w:rFonts w:eastAsia="Arial"/>
                <w:iCs/>
                <w:color w:val="000000" w:themeColor="text1"/>
                <w:spacing w:val="-1"/>
                <w:kern w:val="24"/>
                <w:lang w:val="sr-Cyrl-RS"/>
              </w:rPr>
              <w:t>1-да</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1"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Консолидовани годишњи извештај</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Сектор-Централна јединица за хармонизацију</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На крају важења Акционог плана</w:t>
            </w:r>
          </w:p>
        </w:tc>
      </w:tr>
      <w:tr w:rsidR="00192373" w:rsidRPr="0081082A" w:rsidTr="00D01626">
        <w:trPr>
          <w:trHeight w:val="274"/>
          <w:jc w:val="center"/>
        </w:trPr>
        <w:tc>
          <w:tcPr>
            <w:tcW w:w="1429"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1"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успостављање информационог система за интерну контролу у јавном сектору (Набавка и примена софтвера за вођење и документовање ангажмана интерне ревизије и евидентирање и праћење статуса налаза и датих препорука интерне ревизије, препорука из екстерне оцене квалитета интерне ревизије, препорука из сагледавања квалитета система ФУК-а код КЈС и препорука из КГИ, база интерних ревизора, аутоматизација рада ЦЈХ,  повезивање са регистрима других институција, база полазника обука, база Аналитичких јединица и контакт особа за ФУК и слично уз могућност дефинисања додатних модула после обављене анализе система). Успостављање система допринеће унапређењу система интерне контроле у јавном сектору кроз ојачану функцију праћења. </w:t>
            </w:r>
          </w:p>
        </w:tc>
      </w:tr>
      <w:tr w:rsidR="00192373" w:rsidRPr="0081082A" w:rsidTr="00D01626">
        <w:trPr>
          <w:trHeight w:val="413"/>
          <w:jc w:val="center"/>
        </w:trPr>
        <w:tc>
          <w:tcPr>
            <w:tcW w:w="1429"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w:t>
            </w:r>
            <w:r w:rsidRPr="0081082A">
              <w:rPr>
                <w:rFonts w:eastAsia="Calibri"/>
                <w:b/>
                <w:bCs/>
                <w:lang w:val="sr-Cyrl-RS"/>
              </w:rPr>
              <w:lastRenderedPageBreak/>
              <w:t xml:space="preserve">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lastRenderedPageBreak/>
              <w:t>Ранији тренд</w:t>
            </w:r>
          </w:p>
        </w:tc>
        <w:tc>
          <w:tcPr>
            <w:tcW w:w="873" w:type="pct"/>
            <w:gridSpan w:val="3"/>
            <w:shd w:val="clear" w:color="auto" w:fill="FFFFFF"/>
          </w:tcPr>
          <w:p w:rsidR="00192373" w:rsidRPr="0081082A" w:rsidRDefault="00192373" w:rsidP="00D01626">
            <w:pPr>
              <w:rPr>
                <w:lang w:val="sr-Cyrl-RS"/>
              </w:rPr>
            </w:pPr>
            <w:r w:rsidRPr="0081082A">
              <w:rPr>
                <w:lang w:val="sr-Cyrl-RS"/>
              </w:rPr>
              <w:t xml:space="preserve">Полазна </w:t>
            </w:r>
            <w:r w:rsidRPr="0081082A">
              <w:rPr>
                <w:lang w:val="sr-Cyrl-RS"/>
              </w:rPr>
              <w:lastRenderedPageBreak/>
              <w:t>вредност</w:t>
            </w:r>
          </w:p>
        </w:tc>
      </w:tr>
      <w:tr w:rsidR="00192373" w:rsidRPr="0081082A" w:rsidTr="00D01626">
        <w:trPr>
          <w:trHeight w:val="137"/>
          <w:jc w:val="center"/>
        </w:trPr>
        <w:tc>
          <w:tcPr>
            <w:tcW w:w="1429"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3"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3"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Не</w:t>
            </w:r>
          </w:p>
        </w:tc>
      </w:tr>
      <w:tr w:rsidR="00192373" w:rsidRPr="0081082A" w:rsidTr="00D01626">
        <w:trPr>
          <w:trHeight w:val="274"/>
          <w:jc w:val="center"/>
        </w:trPr>
        <w:tc>
          <w:tcPr>
            <w:tcW w:w="1429"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rPr>
                <w:rFonts w:eastAsia="Calibri"/>
                <w:iCs/>
                <w:lang w:val="sr-Cyrl-RS"/>
              </w:rPr>
            </w:pP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5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Да</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1"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ИТ систем је успостављен, одступање није прихватљиво</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мере 4.4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7"/>
        <w:gridCol w:w="235"/>
        <w:gridCol w:w="672"/>
        <w:gridCol w:w="477"/>
        <w:gridCol w:w="195"/>
        <w:gridCol w:w="672"/>
        <w:gridCol w:w="672"/>
        <w:gridCol w:w="369"/>
        <w:gridCol w:w="303"/>
        <w:gridCol w:w="672"/>
        <w:gridCol w:w="672"/>
      </w:tblGrid>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Times New Roman"/>
                <w:b/>
                <w:bCs/>
                <w:color w:val="FFFFFF" w:themeColor="background1"/>
                <w:szCs w:val="16"/>
                <w:lang w:val="sr-Cyrl-RS" w:eastAsia="en-GB"/>
              </w:rPr>
              <w:t>Број учесника обука из области интерних контрола које је НАЈУ организовала</w:t>
            </w:r>
          </w:p>
        </w:tc>
      </w:tr>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4.4: Модернизација система обучавања из области ИФКЈ</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4"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9"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84"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система интерне контроле, већи број је пожељан</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1"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Извештаји НАЈУ о спроведеним обукама</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Сектор-Централна јединица за хармонизацију</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9"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1"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јачање капацитета у области интерних контрола кроз похађање обука које организује НАЈУ. </w:t>
            </w:r>
          </w:p>
        </w:tc>
      </w:tr>
      <w:tr w:rsidR="00192373" w:rsidRPr="0081082A" w:rsidTr="00D01626">
        <w:trPr>
          <w:trHeight w:val="413"/>
          <w:jc w:val="center"/>
        </w:trPr>
        <w:tc>
          <w:tcPr>
            <w:tcW w:w="1429"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3"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9"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3"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3"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429"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50</w:t>
            </w:r>
          </w:p>
        </w:tc>
        <w:tc>
          <w:tcPr>
            <w:tcW w:w="360" w:type="pct"/>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200</w:t>
            </w: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200</w:t>
            </w: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200</w:t>
            </w:r>
          </w:p>
        </w:tc>
        <w:tc>
          <w:tcPr>
            <w:tcW w:w="35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200</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1"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Повећан број учесника из области интерних контрола у организацији НАЈУ, одступање је прихватљиво до 20%</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мере 4.4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7"/>
        <w:gridCol w:w="235"/>
        <w:gridCol w:w="672"/>
        <w:gridCol w:w="477"/>
        <w:gridCol w:w="195"/>
        <w:gridCol w:w="672"/>
        <w:gridCol w:w="672"/>
        <w:gridCol w:w="369"/>
        <w:gridCol w:w="303"/>
        <w:gridCol w:w="672"/>
        <w:gridCol w:w="672"/>
      </w:tblGrid>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lastRenderedPageBreak/>
              <w:t>Назив показатеља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lang w:val="sr-Cyrl-RS"/>
              </w:rPr>
            </w:pPr>
            <w:r w:rsidRPr="0081082A">
              <w:rPr>
                <w:rFonts w:eastAsia="Times New Roman"/>
                <w:b/>
                <w:bCs/>
                <w:color w:val="FFFFFF" w:themeColor="background1"/>
                <w:szCs w:val="16"/>
                <w:lang w:val="sr-Cyrl-RS" w:eastAsia="en-GB"/>
              </w:rPr>
              <w:t>Проценат овлашћених интерних ревизора који је прикупио прописан број бодова у оквиру континуираног стручног усавршавања</w:t>
            </w:r>
          </w:p>
        </w:tc>
      </w:tr>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4.4: Модернизација система обучавања из области ИФКЈ</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4"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9"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84"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система интерне контроле, већи број је пожељан</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1"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Консолидовани годишњи извештај</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Сектор-Централна јединица за хармонизацију</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9"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1"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јачање капацитета у области интерних контрола кроз континуирано стручно усавршавање интерних ревизора у јавном сектору. Повећање процента овлашћених ревизора који је прикупио прописан број бодова указује на повећање њиховог знања и стручне спремности за обављање послова интерне ревизије што доприноси јачању система интерне ревизије </w:t>
            </w:r>
          </w:p>
        </w:tc>
      </w:tr>
      <w:tr w:rsidR="00192373" w:rsidRPr="0081082A" w:rsidTr="00D01626">
        <w:trPr>
          <w:trHeight w:val="413"/>
          <w:jc w:val="center"/>
        </w:trPr>
        <w:tc>
          <w:tcPr>
            <w:tcW w:w="1429"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3"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9"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3"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color w:val="FF0000"/>
                <w:lang w:val="sr-Cyrl-RS"/>
              </w:rPr>
              <w:t>-</w:t>
            </w:r>
          </w:p>
        </w:tc>
        <w:tc>
          <w:tcPr>
            <w:tcW w:w="873"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lang w:val="sr-Cyrl-RS"/>
              </w:rPr>
              <w:t>58.1%</w:t>
            </w:r>
          </w:p>
        </w:tc>
      </w:tr>
      <w:tr w:rsidR="00192373" w:rsidRPr="0081082A" w:rsidTr="00D01626">
        <w:trPr>
          <w:trHeight w:val="274"/>
          <w:jc w:val="center"/>
        </w:trPr>
        <w:tc>
          <w:tcPr>
            <w:tcW w:w="1429"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rPr>
                <w:rFonts w:eastAsia="Calibri"/>
                <w:iCs/>
                <w:lang w:val="sr-Cyrl-RS"/>
              </w:rPr>
            </w:pP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58"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85%</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1"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Повећан број учесника из области интерних контрола у организацији НАЈУ, одступање је прихватљиво до 3%. У току 2020. године вредност индикатора је нижа у односу на претходну годину услед пандемије. </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мере 4.4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672"/>
        <w:gridCol w:w="672"/>
        <w:gridCol w:w="437"/>
        <w:gridCol w:w="235"/>
        <w:gridCol w:w="672"/>
        <w:gridCol w:w="477"/>
        <w:gridCol w:w="195"/>
        <w:gridCol w:w="672"/>
        <w:gridCol w:w="672"/>
        <w:gridCol w:w="369"/>
        <w:gridCol w:w="303"/>
        <w:gridCol w:w="672"/>
        <w:gridCol w:w="672"/>
      </w:tblGrid>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iCs/>
                <w:color w:val="FFFFFF" w:themeColor="background1"/>
                <w:lang w:val="sr-Cyrl-RS"/>
              </w:rPr>
            </w:pPr>
            <w:r w:rsidRPr="0081082A">
              <w:rPr>
                <w:rFonts w:eastAsia="Times New Roman"/>
                <w:b/>
                <w:color w:val="FFFFFF" w:themeColor="background1"/>
                <w:szCs w:val="16"/>
                <w:lang w:val="sr-Cyrl-RS" w:eastAsia="en-GB"/>
              </w:rPr>
              <w:t>Проценат сертификованих интерних ревизора код приоритетних КЈС</w:t>
            </w:r>
            <w:r w:rsidRPr="0081082A">
              <w:rPr>
                <w:rStyle w:val="FootnoteReference"/>
                <w:rFonts w:eastAsia="Times New Roman"/>
                <w:b/>
                <w:color w:val="FFFFFF" w:themeColor="background1"/>
                <w:szCs w:val="16"/>
                <w:lang w:val="sr-Cyrl-RS" w:eastAsia="en-GB"/>
              </w:rPr>
              <w:footnoteReference w:id="179"/>
            </w:r>
          </w:p>
        </w:tc>
      </w:tr>
      <w:tr w:rsidR="00192373" w:rsidRPr="0081082A" w:rsidTr="00D01626">
        <w:trPr>
          <w:jc w:val="center"/>
        </w:trPr>
        <w:tc>
          <w:tcPr>
            <w:tcW w:w="1429"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1" w:type="pct"/>
            <w:gridSpan w:val="1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4.4: Модернизација система обучавања из области ИФКЈ</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7"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4" w:type="pct"/>
            <w:gridSpan w:val="7"/>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9"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lastRenderedPageBreak/>
              <w:t>Јединица мере и природа</w:t>
            </w:r>
          </w:p>
        </w:tc>
        <w:tc>
          <w:tcPr>
            <w:tcW w:w="1687" w:type="pct"/>
            <w:gridSpan w:val="6"/>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84" w:type="pct"/>
            <w:gridSpan w:val="7"/>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система интерне контроле, већи број је пожељан</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1" w:type="pct"/>
            <w:gridSpan w:val="13"/>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Консолидовани годишњи извештај</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Сектор-Централна јединица за хармонизацију</w:t>
            </w:r>
          </w:p>
        </w:tc>
      </w:tr>
      <w:tr w:rsidR="00192373" w:rsidRPr="0081082A" w:rsidTr="00D01626">
        <w:trPr>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1" w:type="pct"/>
            <w:gridSpan w:val="13"/>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9"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1" w:type="pct"/>
            <w:gridSpan w:val="13"/>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 xml:space="preserve">Показатељ указује на јачање капацитета у области интерних контрола кроз стицање сертификата овлашћеног интерног ревизора код приоритетних корисника јавних средстава. Повећање процента сертификованих интерних ревизора указује на унапређење стручних капацитета за обављање послова интерне ревизије што доприноси јачању система интерне ревизије </w:t>
            </w:r>
          </w:p>
        </w:tc>
      </w:tr>
      <w:tr w:rsidR="00192373" w:rsidRPr="0081082A" w:rsidTr="00D01626">
        <w:trPr>
          <w:trHeight w:val="413"/>
          <w:jc w:val="center"/>
        </w:trPr>
        <w:tc>
          <w:tcPr>
            <w:tcW w:w="1429"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10"/>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3"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9"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43" w:type="pct"/>
            <w:gridSpan w:val="4"/>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0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873" w:type="pct"/>
            <w:gridSpan w:val="3"/>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9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4"/>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3" w:type="pct"/>
            <w:gridSpan w:val="3"/>
            <w:shd w:val="clear" w:color="auto" w:fill="FFFFFF"/>
            <w:vAlign w:val="center"/>
          </w:tcPr>
          <w:p w:rsidR="00192373" w:rsidRPr="0081082A" w:rsidRDefault="006560DD" w:rsidP="00D01626">
            <w:pPr>
              <w:spacing w:before="50" w:after="50"/>
              <w:jc w:val="center"/>
              <w:rPr>
                <w:rFonts w:ascii="Calibri" w:eastAsia="Calibri" w:hAnsi="Calibri" w:cs="Calibri"/>
                <w:iCs/>
                <w:lang w:val="sr-Cyrl-RS"/>
              </w:rPr>
            </w:pPr>
            <w:r w:rsidRPr="0081082A">
              <w:rPr>
                <w:rFonts w:eastAsia="Calibri"/>
                <w:iCs/>
                <w:color w:val="000000" w:themeColor="text1"/>
                <w:lang w:val="sr-Cyrl-RS"/>
              </w:rPr>
              <w:t>80%</w:t>
            </w:r>
          </w:p>
        </w:tc>
      </w:tr>
      <w:tr w:rsidR="00192373" w:rsidRPr="0081082A" w:rsidTr="00D01626">
        <w:trPr>
          <w:trHeight w:val="274"/>
          <w:jc w:val="center"/>
        </w:trPr>
        <w:tc>
          <w:tcPr>
            <w:tcW w:w="1429"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35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36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35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2026.</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2027.</w:t>
            </w:r>
          </w:p>
        </w:tc>
        <w:tc>
          <w:tcPr>
            <w:tcW w:w="35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2028.</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2029.</w:t>
            </w:r>
          </w:p>
        </w:tc>
        <w:tc>
          <w:tcPr>
            <w:tcW w:w="356"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2030.</w:t>
            </w:r>
          </w:p>
        </w:tc>
      </w:tr>
      <w:tr w:rsidR="00192373" w:rsidRPr="0081082A" w:rsidTr="00D01626">
        <w:trPr>
          <w:trHeight w:val="160"/>
          <w:jc w:val="center"/>
        </w:trPr>
        <w:tc>
          <w:tcPr>
            <w:tcW w:w="1429" w:type="pct"/>
            <w:vMerge/>
            <w:shd w:val="clear" w:color="auto" w:fill="auto"/>
          </w:tcPr>
          <w:p w:rsidR="00192373" w:rsidRPr="0081082A" w:rsidRDefault="00192373" w:rsidP="00D01626">
            <w:pPr>
              <w:spacing w:before="50" w:after="50"/>
              <w:rPr>
                <w:rFonts w:eastAsia="Calibri"/>
                <w:b/>
                <w:bCs/>
                <w:lang w:val="sr-Cyrl-RS"/>
              </w:rPr>
            </w:pPr>
          </w:p>
        </w:tc>
        <w:tc>
          <w:tcPr>
            <w:tcW w:w="356"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rPr>
                <w:rFonts w:eastAsia="Calibri"/>
                <w:iCs/>
                <w:lang w:val="sr-Cyrl-RS"/>
              </w:rPr>
            </w:pPr>
          </w:p>
        </w:tc>
        <w:tc>
          <w:tcPr>
            <w:tcW w:w="357" w:type="pct"/>
            <w:gridSpan w:val="2"/>
            <w:shd w:val="clear" w:color="auto" w:fill="FFFFFF"/>
            <w:vAlign w:val="center"/>
          </w:tcPr>
          <w:p w:rsidR="00192373" w:rsidRPr="0081082A" w:rsidRDefault="00192373" w:rsidP="00D01626">
            <w:pPr>
              <w:spacing w:before="50" w:after="50"/>
              <w:jc w:val="center"/>
              <w:rPr>
                <w:rFonts w:eastAsia="Calibri"/>
                <w:iCs/>
                <w:lang w:val="sr-Cyrl-RS"/>
              </w:rPr>
            </w:pPr>
          </w:p>
        </w:tc>
        <w:tc>
          <w:tcPr>
            <w:tcW w:w="360" w:type="pct"/>
            <w:shd w:val="clear" w:color="auto" w:fill="FFFFFF"/>
            <w:vAlign w:val="center"/>
          </w:tcPr>
          <w:p w:rsidR="00192373" w:rsidRPr="0081082A" w:rsidRDefault="00192373" w:rsidP="00D01626">
            <w:pPr>
              <w:spacing w:before="50" w:after="50"/>
              <w:jc w:val="center"/>
              <w:rPr>
                <w:rFonts w:eastAsia="Calibri"/>
                <w:iCs/>
                <w:lang w:val="sr-Cyrl-RS"/>
              </w:rPr>
            </w:pPr>
          </w:p>
        </w:tc>
        <w:tc>
          <w:tcPr>
            <w:tcW w:w="358" w:type="pct"/>
            <w:gridSpan w:val="2"/>
            <w:shd w:val="clear" w:color="auto" w:fill="FFFFFF"/>
            <w:vAlign w:val="center"/>
          </w:tcPr>
          <w:p w:rsidR="00192373" w:rsidRPr="0081082A" w:rsidRDefault="00192373" w:rsidP="00D01626">
            <w:pPr>
              <w:spacing w:before="50" w:after="50"/>
              <w:jc w:val="center"/>
              <w:rPr>
                <w:rFonts w:eastAsia="Calibri"/>
                <w:iCs/>
                <w:color w:val="000000" w:themeColor="text1"/>
                <w:lang w:val="sr-Cyrl-RS"/>
              </w:rPr>
            </w:pPr>
            <w:r w:rsidRPr="0081082A">
              <w:rPr>
                <w:rFonts w:eastAsia="Calibri"/>
                <w:iCs/>
                <w:color w:val="000000" w:themeColor="text1"/>
                <w:lang w:val="sr-Cyrl-RS"/>
              </w:rPr>
              <w:t>85%</w:t>
            </w:r>
          </w:p>
        </w:tc>
        <w:tc>
          <w:tcPr>
            <w:tcW w:w="356" w:type="pct"/>
            <w:shd w:val="clear" w:color="auto" w:fill="FFFFFF"/>
          </w:tcPr>
          <w:p w:rsidR="00192373" w:rsidRPr="0081082A" w:rsidRDefault="00192373" w:rsidP="00D01626">
            <w:pPr>
              <w:spacing w:before="50" w:after="50"/>
              <w:jc w:val="center"/>
              <w:rPr>
                <w:rFonts w:eastAsia="Calibri"/>
                <w:iCs/>
                <w:color w:val="000000" w:themeColor="text1"/>
                <w:lang w:val="sr-Cyrl-RS"/>
              </w:rPr>
            </w:pPr>
            <w:r w:rsidRPr="0081082A">
              <w:rPr>
                <w:rFonts w:eastAsia="Calibri"/>
                <w:iCs/>
                <w:color w:val="000000" w:themeColor="text1"/>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356"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9"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1" w:type="pct"/>
            <w:gridSpan w:val="13"/>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Већи проценат интерних ревизора у приоритетним КЈС који је стекао звање овлашћеног интерног ревизора, одступање је прихватљиво до 10%. У наредним годинама се очекује значајнији одлив сертификованих ИР услед одласка у пензију, тако да ће релативно кретање процента сертификованих ИР око полазне вредности заправо представљати успех. </w:t>
            </w:r>
          </w:p>
        </w:tc>
      </w:tr>
    </w:tbl>
    <w:p w:rsidR="00192373" w:rsidRPr="0081082A" w:rsidRDefault="00192373" w:rsidP="00CF0A72">
      <w:pPr>
        <w:spacing w:after="100"/>
        <w:rPr>
          <w:lang w:val="sr-Cyrl-RS"/>
        </w:rPr>
      </w:pPr>
    </w:p>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5.1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39"/>
        <w:gridCol w:w="1325"/>
        <w:gridCol w:w="429"/>
        <w:gridCol w:w="896"/>
        <w:gridCol w:w="469"/>
        <w:gridCol w:w="192"/>
        <w:gridCol w:w="658"/>
        <w:gridCol w:w="1018"/>
        <w:gridCol w:w="298"/>
        <w:gridCol w:w="1318"/>
      </w:tblGrid>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3"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 xml:space="preserve">Усвојен План унапређења </w:t>
            </w:r>
            <w:r w:rsidR="00CF0A72" w:rsidRPr="0081082A">
              <w:rPr>
                <w:rFonts w:eastAsia="Calibri"/>
                <w:b/>
                <w:bCs/>
                <w:color w:val="FFFFFF"/>
                <w:lang w:val="sr-Cyrl-RS"/>
              </w:rPr>
              <w:t>рачуноводства у</w:t>
            </w:r>
            <w:r w:rsidRPr="0081082A">
              <w:rPr>
                <w:rFonts w:eastAsia="Calibri"/>
                <w:b/>
                <w:bCs/>
                <w:color w:val="FFFFFF"/>
                <w:lang w:val="sr-Cyrl-RS"/>
              </w:rPr>
              <w:t xml:space="preserve"> јавном сектору</w:t>
            </w:r>
          </w:p>
        </w:tc>
      </w:tr>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3"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FF0000"/>
                <w:lang w:val="sr-Cyrl-RS"/>
              </w:rPr>
            </w:pPr>
            <w:r w:rsidRPr="0081082A">
              <w:rPr>
                <w:rFonts w:eastAsia="Calibri"/>
                <w:b/>
                <w:iCs/>
                <w:lang w:val="sr-Cyrl-RS"/>
              </w:rPr>
              <w:t>Мера 5.1: Анализа постојећег стања у рачуноводству у јавном сектору и развој и имплементација Плана унапређења рачуноводства у јавном сектору</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88"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 xml:space="preserve">Квантитативни </w:t>
            </w:r>
          </w:p>
        </w:tc>
        <w:tc>
          <w:tcPr>
            <w:tcW w:w="1886"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7"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88"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86"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рачуноводства у јавном сектору</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0-не</w:t>
            </w:r>
          </w:p>
          <w:p w:rsidR="00192373" w:rsidRPr="0081082A" w:rsidRDefault="00192373" w:rsidP="00D01626">
            <w:pPr>
              <w:spacing w:before="0" w:after="0"/>
              <w:rPr>
                <w:rFonts w:eastAsia="Arial"/>
                <w:iCs/>
                <w:color w:val="000000"/>
                <w:spacing w:val="-1"/>
                <w:kern w:val="24"/>
                <w:lang w:val="sr-Cyrl-RS"/>
              </w:rPr>
            </w:pPr>
            <w:r w:rsidRPr="0081082A">
              <w:rPr>
                <w:rFonts w:eastAsia="Arial"/>
                <w:iCs/>
                <w:spacing w:val="-1"/>
                <w:kern w:val="24"/>
                <w:lang w:val="sr-Cyrl-RS"/>
              </w:rPr>
              <w:t>1-</w:t>
            </w:r>
            <w:r w:rsidRPr="0081082A">
              <w:rPr>
                <w:rFonts w:eastAsia="Arial"/>
                <w:iCs/>
                <w:color w:val="000000"/>
                <w:spacing w:val="-1"/>
                <w:kern w:val="24"/>
                <w:lang w:val="sr-Cyrl-RS"/>
              </w:rPr>
              <w:t>да</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 xml:space="preserve">Извор података за </w:t>
            </w:r>
            <w:r w:rsidRPr="0081082A">
              <w:rPr>
                <w:rFonts w:eastAsia="Calibri"/>
                <w:b/>
                <w:bCs/>
                <w:lang w:val="sr-Cyrl-RS"/>
              </w:rPr>
              <w:lastRenderedPageBreak/>
              <w:t>праћење показатеља учинка</w:t>
            </w:r>
          </w:p>
        </w:tc>
        <w:tc>
          <w:tcPr>
            <w:tcW w:w="3573"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lastRenderedPageBreak/>
              <w:t>Сајт Управе за трезор</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lastRenderedPageBreak/>
              <w:t>Назив носиоца прикупљања података</w:t>
            </w:r>
          </w:p>
        </w:tc>
        <w:tc>
          <w:tcPr>
            <w:tcW w:w="357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Управа за трезор</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за време трајања ПРУЈФ</w:t>
            </w:r>
          </w:p>
        </w:tc>
      </w:tr>
      <w:tr w:rsidR="00192373" w:rsidRPr="0081082A" w:rsidTr="00D01626">
        <w:trPr>
          <w:trHeight w:val="274"/>
          <w:jc w:val="center"/>
        </w:trPr>
        <w:tc>
          <w:tcPr>
            <w:tcW w:w="1427"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3"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указује на израду плана унапређења рачуноводства у јавном сектору који треба да се спроведе у фазама. Усвајање Плана унапређења рачуноводства има за циљ јачање целокупног рачуноводственог система уз помоћ примене међународних рачуноводствених стандарда за јавни сектор.</w:t>
            </w:r>
          </w:p>
          <w:p w:rsidR="00192373" w:rsidRPr="0081082A" w:rsidRDefault="00192373" w:rsidP="00D01626">
            <w:pPr>
              <w:spacing w:before="50" w:after="50"/>
              <w:rPr>
                <w:rFonts w:eastAsia="Calibri"/>
                <w:color w:val="FF0000"/>
                <w:lang w:val="sr-Cyrl-RS"/>
              </w:rPr>
            </w:pPr>
          </w:p>
        </w:tc>
      </w:tr>
      <w:tr w:rsidR="00192373" w:rsidRPr="0081082A" w:rsidTr="00D01626">
        <w:trPr>
          <w:trHeight w:val="413"/>
          <w:jc w:val="center"/>
        </w:trPr>
        <w:tc>
          <w:tcPr>
            <w:tcW w:w="1427"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98"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5"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7"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43"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907"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75"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94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3"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07"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5"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r>
      <w:tr w:rsidR="00192373" w:rsidRPr="0081082A" w:rsidTr="00D01626">
        <w:trPr>
          <w:trHeight w:val="274"/>
          <w:jc w:val="center"/>
        </w:trPr>
        <w:tc>
          <w:tcPr>
            <w:tcW w:w="1427"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1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7"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4"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4"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71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717"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14"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4"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3"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Усвојен План унапређења рачуноводства у јавном сектору, одступање није прихватљиво</w:t>
            </w:r>
            <w:r w:rsidRPr="0081082A">
              <w:rPr>
                <w:rFonts w:eastAsia="Calibri"/>
                <w:iCs/>
                <w:color w:val="FF0000"/>
                <w:lang w:val="sr-Cyrl-RS"/>
              </w:rPr>
              <w:t>.</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5.2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37"/>
        <w:gridCol w:w="1336"/>
        <w:gridCol w:w="436"/>
        <w:gridCol w:w="878"/>
        <w:gridCol w:w="475"/>
        <w:gridCol w:w="190"/>
        <w:gridCol w:w="660"/>
        <w:gridCol w:w="1022"/>
        <w:gridCol w:w="294"/>
        <w:gridCol w:w="1314"/>
      </w:tblGrid>
      <w:tr w:rsidR="00192373" w:rsidRPr="0081082A" w:rsidTr="00D01626">
        <w:trPr>
          <w:jc w:val="center"/>
        </w:trPr>
        <w:tc>
          <w:tcPr>
            <w:tcW w:w="1426"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4"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Удео запослених рачуновођа у јавном сектору који је прошао обуку „Унапређење рачуноводства у јавном сектору</w:t>
            </w:r>
            <w:r w:rsidR="007E728E" w:rsidRPr="0081082A">
              <w:rPr>
                <w:rFonts w:eastAsia="Calibri"/>
                <w:b/>
                <w:bCs/>
                <w:color w:val="FFFFFF"/>
                <w:lang w:val="sr-Cyrl-RS"/>
              </w:rPr>
              <w:t>”</w:t>
            </w:r>
            <w:r w:rsidRPr="0081082A">
              <w:rPr>
                <w:rFonts w:eastAsia="Calibri"/>
                <w:b/>
                <w:bCs/>
                <w:color w:val="FFFFFF"/>
                <w:lang w:val="sr-Cyrl-RS"/>
              </w:rPr>
              <w:t xml:space="preserve"> </w:t>
            </w:r>
          </w:p>
        </w:tc>
      </w:tr>
      <w:tr w:rsidR="00192373" w:rsidRPr="0081082A" w:rsidTr="00D01626">
        <w:trPr>
          <w:jc w:val="center"/>
        </w:trPr>
        <w:tc>
          <w:tcPr>
            <w:tcW w:w="1426"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4"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 xml:space="preserve">Мера 5.2: </w:t>
            </w:r>
            <w:r w:rsidR="00336262" w:rsidRPr="0081082A">
              <w:rPr>
                <w:rFonts w:eastAsia="Calibri"/>
                <w:b/>
                <w:iCs/>
                <w:color w:val="000000"/>
                <w:lang w:val="sr-Cyrl-RS"/>
              </w:rPr>
              <w:t>Унапређење професионалне</w:t>
            </w:r>
            <w:r w:rsidRPr="0081082A">
              <w:rPr>
                <w:rFonts w:eastAsia="Calibri"/>
                <w:b/>
                <w:iCs/>
                <w:color w:val="000000"/>
                <w:lang w:val="sr-Cyrl-RS"/>
              </w:rPr>
              <w:t xml:space="preserve">  компетентности  рачуновођа  у  јавном  сектору  спровођењем  адекватних  обука</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91"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Квалитативни</w:t>
            </w:r>
          </w:p>
        </w:tc>
        <w:tc>
          <w:tcPr>
            <w:tcW w:w="1883"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6"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91"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83"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рачуноводства у јавном сектору, пожељна је већа вредност</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4"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Извештај о реализацији програма обуке</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4"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Управа за трезор</w:t>
            </w:r>
          </w:p>
        </w:tc>
      </w:tr>
      <w:tr w:rsidR="00192373" w:rsidRPr="0081082A" w:rsidTr="00D01626">
        <w:trPr>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4"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Годишње</w:t>
            </w:r>
          </w:p>
        </w:tc>
      </w:tr>
      <w:tr w:rsidR="00192373" w:rsidRPr="0081082A" w:rsidTr="00D01626">
        <w:trPr>
          <w:trHeight w:val="274"/>
          <w:jc w:val="center"/>
        </w:trPr>
        <w:tc>
          <w:tcPr>
            <w:tcW w:w="1426"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 xml:space="preserve">Кратак опис показатеља и методологије </w:t>
            </w:r>
            <w:r w:rsidRPr="0081082A">
              <w:rPr>
                <w:rFonts w:eastAsia="Calibri"/>
                <w:b/>
                <w:lang w:val="sr-Cyrl-RS"/>
              </w:rPr>
              <w:lastRenderedPageBreak/>
              <w:t>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4"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lastRenderedPageBreak/>
              <w:t xml:space="preserve">Показатељ указује на удео запослених рачуновођа у јавном сектору који је прошао предвиђену обуку у циљу јачања рачуноводствених </w:t>
            </w:r>
            <w:r w:rsidR="00336262" w:rsidRPr="0081082A">
              <w:rPr>
                <w:rFonts w:eastAsia="Calibri"/>
                <w:lang w:val="sr-Cyrl-RS"/>
              </w:rPr>
              <w:t xml:space="preserve">капацитета </w:t>
            </w:r>
            <w:r w:rsidR="00336262" w:rsidRPr="0081082A">
              <w:rPr>
                <w:rFonts w:eastAsia="Calibri"/>
                <w:lang w:val="sr-Cyrl-RS"/>
              </w:rPr>
              <w:lastRenderedPageBreak/>
              <w:t>у</w:t>
            </w:r>
            <w:r w:rsidRPr="0081082A">
              <w:rPr>
                <w:rFonts w:eastAsia="Calibri"/>
                <w:lang w:val="sr-Cyrl-RS"/>
              </w:rPr>
              <w:t xml:space="preserve"> јавном сектору. Јачање административних капацитета кроз обучавање запослених допринеће процесу сертификације за професију рачуновођа у јавном сектору и њихове професионалне компетентности.</w:t>
            </w:r>
          </w:p>
        </w:tc>
      </w:tr>
      <w:tr w:rsidR="00192373" w:rsidRPr="0081082A" w:rsidTr="00D01626">
        <w:trPr>
          <w:trHeight w:val="413"/>
          <w:jc w:val="center"/>
        </w:trPr>
        <w:tc>
          <w:tcPr>
            <w:tcW w:w="1426"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lastRenderedPageBreak/>
              <w:t xml:space="preserve">Подаци о полазној вредности и години кад је измерена, као и о ранијем тренду </w:t>
            </w:r>
          </w:p>
        </w:tc>
        <w:tc>
          <w:tcPr>
            <w:tcW w:w="2704"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87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6"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5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35"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91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7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6" w:type="pct"/>
            <w:vMerge/>
            <w:shd w:val="clear" w:color="auto" w:fill="auto"/>
          </w:tcPr>
          <w:p w:rsidR="00192373" w:rsidRPr="0081082A" w:rsidRDefault="00192373" w:rsidP="00D01626">
            <w:pPr>
              <w:spacing w:before="50" w:after="50"/>
              <w:rPr>
                <w:rFonts w:eastAsia="Calibri"/>
                <w:b/>
                <w:bCs/>
                <w:lang w:val="sr-Cyrl-RS"/>
              </w:rPr>
            </w:pPr>
          </w:p>
        </w:tc>
        <w:tc>
          <w:tcPr>
            <w:tcW w:w="95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35"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1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70"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69%</w:t>
            </w:r>
          </w:p>
        </w:tc>
      </w:tr>
      <w:tr w:rsidR="00192373" w:rsidRPr="0081082A" w:rsidTr="00D01626">
        <w:trPr>
          <w:trHeight w:val="274"/>
          <w:jc w:val="center"/>
        </w:trPr>
        <w:tc>
          <w:tcPr>
            <w:tcW w:w="1426"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23"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11"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2"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26" w:type="pct"/>
            <w:vMerge/>
            <w:shd w:val="clear" w:color="auto" w:fill="auto"/>
          </w:tcPr>
          <w:p w:rsidR="00192373" w:rsidRPr="0081082A" w:rsidRDefault="00192373" w:rsidP="00D01626">
            <w:pPr>
              <w:spacing w:before="50" w:after="50"/>
              <w:rPr>
                <w:rFonts w:eastAsia="Calibri"/>
                <w:b/>
                <w:bCs/>
                <w:lang w:val="sr-Cyrl-RS"/>
              </w:rPr>
            </w:pPr>
          </w:p>
        </w:tc>
        <w:tc>
          <w:tcPr>
            <w:tcW w:w="723"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80%</w:t>
            </w:r>
          </w:p>
        </w:tc>
        <w:tc>
          <w:tcPr>
            <w:tcW w:w="711"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100%</w:t>
            </w:r>
          </w:p>
        </w:tc>
        <w:tc>
          <w:tcPr>
            <w:tcW w:w="717"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2"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6"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4"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Успешно похађање обуке од стране свих запослених у јавном сектору, одступање је прихватљиво до 10%</w:t>
            </w:r>
          </w:p>
        </w:tc>
      </w:tr>
    </w:tbl>
    <w:p w:rsidR="00192373" w:rsidRPr="0081082A" w:rsidRDefault="00192373" w:rsidP="00192373">
      <w:pPr>
        <w:spacing w:after="120"/>
        <w:rPr>
          <w:b/>
          <w:bCs/>
          <w:color w:val="2F5496"/>
          <w:lang w:val="sr-Cyrl-RS"/>
        </w:rPr>
      </w:pPr>
      <w:r w:rsidRPr="0081082A">
        <w:rPr>
          <w:b/>
          <w:bCs/>
          <w:color w:val="2F5496"/>
          <w:lang w:val="sr-Cyrl-RS"/>
        </w:rPr>
        <w:t>Показатељ на нивоу мере 5.3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37"/>
        <w:gridCol w:w="1322"/>
        <w:gridCol w:w="427"/>
        <w:gridCol w:w="908"/>
        <w:gridCol w:w="468"/>
        <w:gridCol w:w="192"/>
        <w:gridCol w:w="658"/>
        <w:gridCol w:w="861"/>
        <w:gridCol w:w="455"/>
        <w:gridCol w:w="1314"/>
      </w:tblGrid>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573"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B245BD">
            <w:pPr>
              <w:spacing w:after="100"/>
              <w:rPr>
                <w:rFonts w:eastAsia="Calibri"/>
                <w:b/>
                <w:bCs/>
                <w:color w:val="FFFFFF"/>
                <w:lang w:val="sr-Cyrl-RS"/>
              </w:rPr>
            </w:pPr>
            <w:r w:rsidRPr="0081082A">
              <w:rPr>
                <w:rFonts w:eastAsia="Calibri"/>
                <w:b/>
                <w:bCs/>
                <w:color w:val="FFFFFF"/>
                <w:lang w:val="sr-Cyrl-RS"/>
              </w:rPr>
              <w:t xml:space="preserve">Нацрт </w:t>
            </w:r>
            <w:r w:rsidR="00CF0A72" w:rsidRPr="0081082A">
              <w:rPr>
                <w:rFonts w:eastAsia="Calibri"/>
                <w:b/>
                <w:bCs/>
                <w:color w:val="FFFFFF"/>
                <w:lang w:val="sr-Cyrl-RS"/>
              </w:rPr>
              <w:t>Финансијског извештаја</w:t>
            </w:r>
            <w:r w:rsidRPr="0081082A">
              <w:rPr>
                <w:rFonts w:eastAsia="Calibri"/>
                <w:b/>
                <w:bCs/>
                <w:color w:val="FFFFFF"/>
                <w:lang w:val="sr-Cyrl-RS"/>
              </w:rPr>
              <w:t xml:space="preserve"> припремљен у складу са IPSAS за готовинску основу достављен Влади</w:t>
            </w:r>
          </w:p>
        </w:tc>
      </w:tr>
      <w:tr w:rsidR="00192373" w:rsidRPr="0081082A" w:rsidTr="00D01626">
        <w:trPr>
          <w:jc w:val="center"/>
        </w:trPr>
        <w:tc>
          <w:tcPr>
            <w:tcW w:w="1427"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573"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5.3: Унапређење обухвата рачуноводствених података кроз примену међународних рачуноводствених стандарда за јавни сектор</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690"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83"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427"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690"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83"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Унапређење рачуноводства у јавном сектору</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0-не</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1-да</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573"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lang w:val="sr-Cyrl-RS"/>
              </w:rPr>
              <w:t>Финансијски извештај</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57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Министарство финансија - Управа за трезор</w:t>
            </w:r>
          </w:p>
        </w:tc>
      </w:tr>
      <w:tr w:rsidR="00192373" w:rsidRPr="0081082A" w:rsidTr="00D01626">
        <w:trPr>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573"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за време трајања ПРУЈФ</w:t>
            </w:r>
          </w:p>
        </w:tc>
      </w:tr>
      <w:tr w:rsidR="00192373" w:rsidRPr="0081082A" w:rsidTr="00D01626">
        <w:trPr>
          <w:trHeight w:val="274"/>
          <w:jc w:val="center"/>
        </w:trPr>
        <w:tc>
          <w:tcPr>
            <w:tcW w:w="1427"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573" w:type="pct"/>
            <w:gridSpan w:val="9"/>
            <w:shd w:val="clear" w:color="auto" w:fill="FFFFFF"/>
          </w:tcPr>
          <w:p w:rsidR="00192373" w:rsidRPr="0081082A" w:rsidRDefault="00192373" w:rsidP="007E0B7E">
            <w:pPr>
              <w:spacing w:before="50" w:after="50"/>
              <w:rPr>
                <w:rFonts w:eastAsia="Calibri"/>
                <w:lang w:val="sr-Cyrl-RS"/>
              </w:rPr>
            </w:pPr>
            <w:r w:rsidRPr="0081082A">
              <w:rPr>
                <w:rFonts w:eastAsia="Calibri"/>
                <w:lang w:val="sr-Cyrl-RS"/>
              </w:rPr>
              <w:t xml:space="preserve">Показатељ указује на јачање система рачуноводства кроз примену рачуноводствених стандарда за јавни сектор на готовинској основи. Израда нацрта Финансијског извештаја у складу са </w:t>
            </w:r>
            <w:r w:rsidRPr="0081082A">
              <w:rPr>
                <w:rFonts w:eastAsia="Calibri"/>
                <w:i/>
                <w:lang w:val="sr-Cyrl-RS"/>
              </w:rPr>
              <w:t>IPSAS</w:t>
            </w:r>
            <w:r w:rsidRPr="0081082A">
              <w:rPr>
                <w:rFonts w:eastAsia="Calibri"/>
                <w:lang w:val="sr-Cyrl-RS"/>
              </w:rPr>
              <w:t xml:space="preserve"> за готовинску основу ојачаће рачуноводство на готовинској основи које је примењено у Републици Србији, и тиме допринети општем јачању система рачуноводства у јавном сектору.</w:t>
            </w:r>
          </w:p>
        </w:tc>
      </w:tr>
      <w:tr w:rsidR="00192373" w:rsidRPr="0081082A" w:rsidTr="00D01626">
        <w:trPr>
          <w:trHeight w:val="413"/>
          <w:jc w:val="center"/>
        </w:trPr>
        <w:tc>
          <w:tcPr>
            <w:tcW w:w="1427"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616"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58"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427"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94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48"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2017.</w:t>
            </w:r>
          </w:p>
        </w:tc>
        <w:tc>
          <w:tcPr>
            <w:tcW w:w="822"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58"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94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48"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822"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958" w:type="pct"/>
            <w:gridSpan w:val="2"/>
            <w:shd w:val="clear" w:color="auto" w:fill="FFFFFF"/>
            <w:vAlign w:val="center"/>
          </w:tcPr>
          <w:p w:rsidR="00192373" w:rsidRPr="0081082A" w:rsidRDefault="00192373" w:rsidP="00D01626">
            <w:pPr>
              <w:spacing w:before="50" w:after="50"/>
              <w:jc w:val="center"/>
              <w:rPr>
                <w:rFonts w:eastAsia="Calibri"/>
                <w:iCs/>
                <w:color w:val="C00000"/>
                <w:lang w:val="sr-Cyrl-RS"/>
              </w:rPr>
            </w:pPr>
            <w:r w:rsidRPr="0081082A">
              <w:rPr>
                <w:rFonts w:eastAsia="Calibri"/>
                <w:iCs/>
                <w:lang w:val="sr-Cyrl-RS"/>
              </w:rPr>
              <w:t>0</w:t>
            </w:r>
          </w:p>
        </w:tc>
      </w:tr>
      <w:tr w:rsidR="00192373" w:rsidRPr="0081082A" w:rsidTr="00D01626">
        <w:trPr>
          <w:trHeight w:val="274"/>
          <w:jc w:val="center"/>
        </w:trPr>
        <w:tc>
          <w:tcPr>
            <w:tcW w:w="1427"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lastRenderedPageBreak/>
              <w:t>Подаци о циљним вредностима</w:t>
            </w:r>
          </w:p>
        </w:tc>
        <w:tc>
          <w:tcPr>
            <w:tcW w:w="715"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2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13"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2"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427" w:type="pct"/>
            <w:vMerge/>
            <w:shd w:val="clear" w:color="auto" w:fill="auto"/>
          </w:tcPr>
          <w:p w:rsidR="00192373" w:rsidRPr="0081082A" w:rsidRDefault="00192373" w:rsidP="00D01626">
            <w:pPr>
              <w:spacing w:before="50" w:after="50"/>
              <w:rPr>
                <w:rFonts w:eastAsia="Calibri"/>
                <w:b/>
                <w:bCs/>
                <w:lang w:val="sr-Cyrl-RS"/>
              </w:rPr>
            </w:pPr>
          </w:p>
        </w:tc>
        <w:tc>
          <w:tcPr>
            <w:tcW w:w="715"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22" w:type="pct"/>
            <w:gridSpan w:val="2"/>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3" w:type="pct"/>
            <w:gridSpan w:val="3"/>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12"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w:t>
            </w:r>
          </w:p>
        </w:tc>
      </w:tr>
      <w:tr w:rsidR="00192373" w:rsidRPr="0081082A" w:rsidTr="00D01626">
        <w:trPr>
          <w:trHeight w:val="160"/>
          <w:jc w:val="center"/>
        </w:trPr>
        <w:tc>
          <w:tcPr>
            <w:tcW w:w="1427"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573"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Израђен финансијски извештај у складу са IPSAS за готовинску основу, одступање није прихватљиво.</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6.1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11"/>
        <w:gridCol w:w="1418"/>
        <w:gridCol w:w="542"/>
        <w:gridCol w:w="1072"/>
        <w:gridCol w:w="750"/>
        <w:gridCol w:w="57"/>
        <w:gridCol w:w="658"/>
        <w:gridCol w:w="861"/>
        <w:gridCol w:w="455"/>
        <w:gridCol w:w="1318"/>
      </w:tblGrid>
      <w:tr w:rsidR="00192373" w:rsidRPr="0081082A" w:rsidTr="00D01626">
        <w:trPr>
          <w:jc w:val="center"/>
        </w:trPr>
        <w:tc>
          <w:tcPr>
            <w:tcW w:w="1142"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858"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Times New Roman"/>
                <w:color w:val="000000"/>
                <w:sz w:val="16"/>
                <w:szCs w:val="16"/>
                <w:lang w:val="sr-Cyrl-RS" w:eastAsia="en-GB"/>
              </w:rPr>
            </w:pPr>
            <w:r w:rsidRPr="0081082A">
              <w:rPr>
                <w:rFonts w:eastAsia="Calibri"/>
                <w:b/>
                <w:bCs/>
                <w:color w:val="FFFFFF"/>
                <w:lang w:val="sr-Cyrl-RS"/>
              </w:rPr>
              <w:t>Број извештаја о ревизији</w:t>
            </w:r>
          </w:p>
        </w:tc>
      </w:tr>
      <w:tr w:rsidR="00192373" w:rsidRPr="0081082A" w:rsidTr="00D01626">
        <w:trPr>
          <w:jc w:val="center"/>
        </w:trPr>
        <w:tc>
          <w:tcPr>
            <w:tcW w:w="1142"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858"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6.1: Унапређење обухвата, квалитета и утицаја екстерних ревизија (у складу са Стратешким планом Државне ревизорске институције (ДРИ)</w:t>
            </w:r>
          </w:p>
        </w:tc>
      </w:tr>
      <w:tr w:rsidR="00192373" w:rsidRPr="0081082A" w:rsidTr="00D01626">
        <w:trPr>
          <w:jc w:val="center"/>
        </w:trPr>
        <w:tc>
          <w:tcPr>
            <w:tcW w:w="1142"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2046"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12"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142"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2046"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12"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Повећање броја извештаја о ревизији, у циљу јачања спољног надзора над јавним финансијама</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14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858" w:type="pct"/>
            <w:gridSpan w:val="9"/>
            <w:shd w:val="clear" w:color="auto" w:fill="FFFFFF"/>
            <w:vAlign w:val="center"/>
          </w:tcPr>
          <w:p w:rsidR="00192373" w:rsidRPr="0081082A" w:rsidRDefault="00192373" w:rsidP="00493E0D">
            <w:pPr>
              <w:spacing w:before="0" w:after="134"/>
              <w:rPr>
                <w:rFonts w:eastAsia="Calibri"/>
                <w:lang w:val="sr-Cyrl-RS"/>
              </w:rPr>
            </w:pPr>
            <w:r w:rsidRPr="0081082A">
              <w:rPr>
                <w:rFonts w:eastAsia="Calibri"/>
                <w:lang w:val="sr-Cyrl-RS"/>
              </w:rPr>
              <w:t>Извештај о раду ДРИ (веб</w:t>
            </w:r>
            <w:r w:rsidR="001C41FF">
              <w:rPr>
                <w:rFonts w:eastAsia="Calibri"/>
                <w:lang w:val="sr-Cyrl-RS"/>
              </w:rPr>
              <w:t>-</w:t>
            </w:r>
            <w:r w:rsidRPr="0081082A">
              <w:rPr>
                <w:rFonts w:eastAsia="Calibri"/>
                <w:lang w:val="sr-Cyrl-RS"/>
              </w:rPr>
              <w:t>сајт ДРИ)</w:t>
            </w:r>
          </w:p>
        </w:tc>
      </w:tr>
      <w:tr w:rsidR="00192373" w:rsidRPr="0081082A" w:rsidTr="00D01626">
        <w:trPr>
          <w:jc w:val="center"/>
        </w:trPr>
        <w:tc>
          <w:tcPr>
            <w:tcW w:w="114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858"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Државна ревизорска институција</w:t>
            </w:r>
          </w:p>
        </w:tc>
      </w:tr>
      <w:tr w:rsidR="00192373" w:rsidRPr="0081082A" w:rsidTr="00D01626">
        <w:trPr>
          <w:jc w:val="center"/>
        </w:trPr>
        <w:tc>
          <w:tcPr>
            <w:tcW w:w="114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858"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w:t>
            </w:r>
          </w:p>
        </w:tc>
      </w:tr>
      <w:tr w:rsidR="00192373" w:rsidRPr="0081082A" w:rsidTr="00D01626">
        <w:trPr>
          <w:trHeight w:val="274"/>
          <w:jc w:val="center"/>
        </w:trPr>
        <w:tc>
          <w:tcPr>
            <w:tcW w:w="1142"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858" w:type="pct"/>
            <w:gridSpan w:val="9"/>
            <w:shd w:val="clear" w:color="auto" w:fill="FFFFFF"/>
          </w:tcPr>
          <w:p w:rsidR="00192373" w:rsidRPr="0081082A" w:rsidRDefault="00192373" w:rsidP="00AD7AF3">
            <w:pPr>
              <w:spacing w:before="50" w:after="50"/>
              <w:rPr>
                <w:rFonts w:eastAsia="Calibri"/>
                <w:lang w:val="sr-Cyrl-RS"/>
              </w:rPr>
            </w:pPr>
            <w:r w:rsidRPr="0081082A">
              <w:rPr>
                <w:rFonts w:eastAsia="Calibri"/>
                <w:lang w:val="sr-Cyrl-RS"/>
              </w:rPr>
              <w:t xml:space="preserve">Показатељ се односи на број </w:t>
            </w:r>
            <w:r w:rsidR="00AD7AF3" w:rsidRPr="0081082A">
              <w:rPr>
                <w:rFonts w:eastAsia="Calibri"/>
                <w:lang w:val="sr-Cyrl-RS"/>
              </w:rPr>
              <w:t>извештаја о ревизији, у складу са годишњим Програмом ревизије ДРИ и Стратешким планом ДРИ</w:t>
            </w:r>
            <w:r w:rsidRPr="0081082A">
              <w:rPr>
                <w:rFonts w:eastAsia="Calibri"/>
                <w:lang w:val="sr-Cyrl-RS"/>
              </w:rPr>
              <w:t>.</w:t>
            </w:r>
          </w:p>
        </w:tc>
      </w:tr>
      <w:tr w:rsidR="00192373" w:rsidRPr="0081082A" w:rsidTr="00D01626">
        <w:trPr>
          <w:trHeight w:val="413"/>
          <w:jc w:val="center"/>
        </w:trPr>
        <w:tc>
          <w:tcPr>
            <w:tcW w:w="1142"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99"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59"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142"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60"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101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822"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59"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142" w:type="pct"/>
            <w:vMerge/>
            <w:shd w:val="clear" w:color="auto" w:fill="auto"/>
          </w:tcPr>
          <w:p w:rsidR="00192373" w:rsidRPr="0081082A" w:rsidRDefault="00192373" w:rsidP="00D01626">
            <w:pPr>
              <w:spacing w:before="50" w:after="50"/>
              <w:rPr>
                <w:rFonts w:eastAsia="Calibri"/>
                <w:b/>
                <w:bCs/>
                <w:lang w:val="sr-Cyrl-RS"/>
              </w:rPr>
            </w:pPr>
          </w:p>
        </w:tc>
        <w:tc>
          <w:tcPr>
            <w:tcW w:w="1060"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1017"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22"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59" w:type="pct"/>
            <w:gridSpan w:val="2"/>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         254</w:t>
            </w:r>
          </w:p>
        </w:tc>
      </w:tr>
      <w:tr w:rsidR="00192373" w:rsidRPr="0081082A" w:rsidTr="00D01626">
        <w:trPr>
          <w:trHeight w:val="274"/>
          <w:jc w:val="center"/>
        </w:trPr>
        <w:tc>
          <w:tcPr>
            <w:tcW w:w="1142"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6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873"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93"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12"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13"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142" w:type="pct"/>
            <w:vMerge/>
            <w:shd w:val="clear" w:color="auto" w:fill="auto"/>
          </w:tcPr>
          <w:p w:rsidR="00192373" w:rsidRPr="0081082A" w:rsidRDefault="00192373" w:rsidP="00D01626">
            <w:pPr>
              <w:spacing w:before="50" w:after="50"/>
              <w:rPr>
                <w:rFonts w:eastAsia="Calibri"/>
                <w:b/>
                <w:bCs/>
                <w:lang w:val="sr-Cyrl-RS"/>
              </w:rPr>
            </w:pPr>
          </w:p>
        </w:tc>
        <w:tc>
          <w:tcPr>
            <w:tcW w:w="76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260</w:t>
            </w:r>
          </w:p>
        </w:tc>
        <w:tc>
          <w:tcPr>
            <w:tcW w:w="873"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270</w:t>
            </w:r>
          </w:p>
        </w:tc>
        <w:tc>
          <w:tcPr>
            <w:tcW w:w="793"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280</w:t>
            </w:r>
          </w:p>
        </w:tc>
        <w:tc>
          <w:tcPr>
            <w:tcW w:w="712"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290</w:t>
            </w:r>
          </w:p>
        </w:tc>
        <w:tc>
          <w:tcPr>
            <w:tcW w:w="713"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300</w:t>
            </w:r>
          </w:p>
        </w:tc>
      </w:tr>
      <w:tr w:rsidR="00192373" w:rsidRPr="0081082A" w:rsidTr="00D01626">
        <w:trPr>
          <w:trHeight w:val="160"/>
          <w:jc w:val="center"/>
        </w:trPr>
        <w:tc>
          <w:tcPr>
            <w:tcW w:w="1142"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858" w:type="pct"/>
            <w:gridSpan w:val="9"/>
            <w:shd w:val="clear" w:color="auto" w:fill="FFFFFF"/>
            <w:vAlign w:val="center"/>
          </w:tcPr>
          <w:p w:rsidR="00192373" w:rsidRPr="0081082A" w:rsidRDefault="00192373" w:rsidP="00961604">
            <w:pPr>
              <w:spacing w:before="50" w:after="50"/>
              <w:rPr>
                <w:rFonts w:eastAsia="Calibri"/>
                <w:iCs/>
                <w:lang w:val="sr-Cyrl-RS"/>
              </w:rPr>
            </w:pPr>
            <w:r w:rsidRPr="0081082A">
              <w:rPr>
                <w:rFonts w:eastAsia="Calibri"/>
                <w:iCs/>
                <w:lang w:val="sr-Cyrl-RS"/>
              </w:rPr>
              <w:t xml:space="preserve">Успешна израда планираног броја извештаја о ревизији. </w:t>
            </w:r>
            <w:r w:rsidR="00961604" w:rsidRPr="0081082A">
              <w:rPr>
                <w:rFonts w:eastAsia="Calibri"/>
                <w:iCs/>
                <w:lang w:val="sr-Cyrl-RS"/>
              </w:rPr>
              <w:t xml:space="preserve">Одступање до 5 је </w:t>
            </w:r>
            <w:r w:rsidR="00961604" w:rsidRPr="0081082A">
              <w:rPr>
                <w:rFonts w:eastAsia="Calibri"/>
                <w:iCs/>
                <w:lang w:val="sr-Cyrl-RS"/>
              </w:rPr>
              <w:lastRenderedPageBreak/>
              <w:t>прихватљиво</w:t>
            </w:r>
            <w:r w:rsidRPr="0081082A">
              <w:rPr>
                <w:rFonts w:eastAsia="Calibri"/>
                <w:iCs/>
                <w:lang w:val="sr-Cyrl-RS"/>
              </w:rPr>
              <w:t>.</w:t>
            </w:r>
          </w:p>
        </w:tc>
      </w:tr>
    </w:tbl>
    <w:p w:rsidR="00192373" w:rsidRPr="0081082A" w:rsidRDefault="00192373" w:rsidP="00192373">
      <w:pPr>
        <w:spacing w:after="120"/>
        <w:rPr>
          <w:b/>
          <w:bCs/>
          <w:color w:val="2F5496"/>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6.1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8"/>
        <w:gridCol w:w="1494"/>
        <w:gridCol w:w="408"/>
        <w:gridCol w:w="956"/>
        <w:gridCol w:w="647"/>
        <w:gridCol w:w="41"/>
        <w:gridCol w:w="693"/>
        <w:gridCol w:w="1092"/>
        <w:gridCol w:w="287"/>
        <w:gridCol w:w="1386"/>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Times New Roman"/>
                <w:color w:val="000000"/>
                <w:sz w:val="16"/>
                <w:szCs w:val="16"/>
                <w:lang w:val="sr-Cyrl-RS" w:eastAsia="en-GB"/>
              </w:rPr>
            </w:pPr>
            <w:r w:rsidRPr="0081082A">
              <w:rPr>
                <w:rFonts w:eastAsia="Calibri"/>
                <w:b/>
                <w:bCs/>
                <w:color w:val="FFFFFF"/>
                <w:lang w:val="sr-Cyrl-RS"/>
              </w:rPr>
              <w:t>Број запослених</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6.1: Унапређење обухвата, квалитета и утицаја екстерних ревизија (у складу са Стратешким планом Државне ревизорске институције (ДРИ)</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6"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3"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6"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3"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 xml:space="preserve">Повећање броја </w:t>
            </w:r>
            <w:r w:rsidR="00376816" w:rsidRPr="0081082A">
              <w:rPr>
                <w:rFonts w:eastAsia="Arial"/>
                <w:iCs/>
                <w:color w:val="000000"/>
                <w:spacing w:val="-1"/>
                <w:kern w:val="24"/>
                <w:lang w:val="sr-Cyrl-RS"/>
              </w:rPr>
              <w:t>запослених ДРИ</w:t>
            </w:r>
            <w:r w:rsidRPr="0081082A">
              <w:rPr>
                <w:rFonts w:eastAsia="Arial"/>
                <w:iCs/>
                <w:color w:val="000000"/>
                <w:spacing w:val="-1"/>
                <w:kern w:val="24"/>
                <w:lang w:val="sr-Cyrl-RS"/>
              </w:rPr>
              <w:t>, у циљу јачања спољног надзора над јавним финансијама</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742C6D">
            <w:pPr>
              <w:spacing w:before="0" w:after="134"/>
              <w:rPr>
                <w:rFonts w:eastAsia="Calibri"/>
                <w:lang w:val="sr-Cyrl-RS"/>
              </w:rPr>
            </w:pPr>
            <w:r w:rsidRPr="0081082A">
              <w:rPr>
                <w:rFonts w:eastAsia="Calibri"/>
                <w:lang w:val="sr-Cyrl-RS"/>
              </w:rPr>
              <w:t>Извештај о раду ДРИ (веб</w:t>
            </w:r>
            <w:r w:rsidR="00D226BD">
              <w:rPr>
                <w:rFonts w:eastAsia="Calibri"/>
                <w:lang w:val="sr-Cyrl-RS"/>
              </w:rPr>
              <w:t>-</w:t>
            </w:r>
            <w:r w:rsidRPr="0081082A">
              <w:rPr>
                <w:rFonts w:eastAsia="Calibri"/>
                <w:lang w:val="sr-Cyrl-RS"/>
              </w:rPr>
              <w:t>сајт ДРИ)</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Државна ревизорска институција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747536" w:rsidP="00D01626">
            <w:pPr>
              <w:spacing w:before="50" w:after="50"/>
              <w:rPr>
                <w:rFonts w:eastAsia="Calibri"/>
                <w:lang w:val="sr-Cyrl-RS"/>
              </w:rPr>
            </w:pPr>
            <w:r w:rsidRPr="0081082A">
              <w:rPr>
                <w:rFonts w:eastAsia="Calibri"/>
                <w:lang w:val="sr-Cyrl-RS"/>
              </w:rPr>
              <w:t>Показатељ се односи на број запослених ДРИ у складу са Кадровским планом и Стратешким планом ДРИ.</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84"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05"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6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05"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05" w:type="pct"/>
            <w:gridSpan w:val="2"/>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        331</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808"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3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808"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360</w:t>
            </w:r>
          </w:p>
        </w:tc>
        <w:tc>
          <w:tcPr>
            <w:tcW w:w="73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374</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388</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402</w:t>
            </w:r>
          </w:p>
        </w:tc>
        <w:tc>
          <w:tcPr>
            <w:tcW w:w="750"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416</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D86972" w:rsidP="00D01626">
            <w:pPr>
              <w:spacing w:before="50" w:after="50"/>
              <w:rPr>
                <w:rFonts w:eastAsia="Calibri"/>
                <w:iCs/>
                <w:lang w:val="sr-Cyrl-RS"/>
              </w:rPr>
            </w:pPr>
            <w:r w:rsidRPr="0081082A">
              <w:rPr>
                <w:rFonts w:eastAsia="Calibri"/>
                <w:iCs/>
                <w:lang w:val="sr-Cyrl-RS"/>
              </w:rPr>
              <w:t>Запошљавање планираног броја запослених. Одступање до 5 је</w:t>
            </w:r>
            <w:r w:rsidR="00014D12">
              <w:rPr>
                <w:rFonts w:eastAsia="Calibri"/>
                <w:iCs/>
                <w:lang w:val="sr-Cyrl-RS"/>
              </w:rPr>
              <w:t xml:space="preserve"> </w:t>
            </w:r>
            <w:r w:rsidRPr="0081082A">
              <w:rPr>
                <w:rFonts w:eastAsia="Calibri"/>
                <w:iCs/>
                <w:lang w:val="sr-Cyrl-RS"/>
              </w:rPr>
              <w:t>прихватљиво.</w:t>
            </w:r>
          </w:p>
        </w:tc>
      </w:tr>
    </w:tbl>
    <w:p w:rsidR="00192373" w:rsidRPr="0081082A" w:rsidRDefault="00192373" w:rsidP="00192373">
      <w:pPr>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6.1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8"/>
        <w:gridCol w:w="1381"/>
        <w:gridCol w:w="519"/>
        <w:gridCol w:w="956"/>
        <w:gridCol w:w="640"/>
        <w:gridCol w:w="48"/>
        <w:gridCol w:w="693"/>
        <w:gridCol w:w="993"/>
        <w:gridCol w:w="386"/>
        <w:gridCol w:w="1388"/>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 xml:space="preserve">Број следећих области обухваћених ревизијама сврсисходности пословања: социјална заштита, опште јавне услуге, одбрана, јавни ред и безбедност, економски послови, заштита животне средине, послови становања и </w:t>
            </w:r>
            <w:r w:rsidRPr="0081082A">
              <w:rPr>
                <w:rFonts w:eastAsia="Calibri"/>
                <w:b/>
                <w:bCs/>
                <w:color w:val="FFFFFF"/>
                <w:lang w:val="sr-Cyrl-RS"/>
              </w:rPr>
              <w:lastRenderedPageBreak/>
              <w:t>заједнице, здравство, рекреација, спорт, култура и вера, образовање</w:t>
            </w:r>
            <w:r w:rsidR="00CF0A72" w:rsidRPr="0081082A">
              <w:rPr>
                <w:rFonts w:eastAsia="Calibri"/>
                <w:b/>
                <w:bCs/>
                <w:color w:val="FFFFFF"/>
                <w:lang w:val="sr-Cyrl-RS"/>
              </w:rPr>
              <w:t>.</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lastRenderedPageBreak/>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6.1: Унапређење обухвата, квалитета и утицаја екстерних ревизија (у складу са Стратешким планом Државне ревизорске институције (ДРИ)</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1"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8"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1"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8"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Повећање броја</w:t>
            </w:r>
            <w:r w:rsidR="00146D01" w:rsidRPr="0081082A">
              <w:rPr>
                <w:rFonts w:eastAsia="Arial"/>
                <w:iCs/>
                <w:color w:val="000000"/>
                <w:spacing w:val="-1"/>
                <w:kern w:val="24"/>
                <w:lang w:val="sr-Cyrl-RS"/>
              </w:rPr>
              <w:t xml:space="preserve"> области обухваћених ревизијама сврсисходности пословања</w:t>
            </w:r>
            <w:r w:rsidRPr="0081082A">
              <w:rPr>
                <w:rFonts w:eastAsia="Arial"/>
                <w:iCs/>
                <w:color w:val="000000"/>
                <w:spacing w:val="-1"/>
                <w:kern w:val="24"/>
                <w:lang w:val="sr-Cyrl-RS"/>
              </w:rPr>
              <w:t>, у циљу јачања спољног надзора над јавним финансијама.</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F62E3B" w:rsidP="00D01626">
            <w:pPr>
              <w:spacing w:before="0" w:after="134"/>
              <w:rPr>
                <w:rFonts w:eastAsia="Calibri"/>
                <w:lang w:val="sr-Cyrl-RS"/>
              </w:rPr>
            </w:pPr>
            <w:r>
              <w:rPr>
                <w:rFonts w:eastAsia="Calibri"/>
                <w:lang w:val="sr-Cyrl-RS"/>
              </w:rPr>
              <w:t>Извештај о раду ДРИ (веб</w:t>
            </w:r>
            <w:r w:rsidR="003F6CFF">
              <w:rPr>
                <w:rFonts w:eastAsia="Calibri"/>
                <w:lang w:val="sr-Cyrl-RS"/>
              </w:rPr>
              <w:t>-</w:t>
            </w:r>
            <w:r w:rsidR="00192373" w:rsidRPr="0081082A">
              <w:rPr>
                <w:rFonts w:eastAsia="Calibri"/>
                <w:lang w:val="sr-Cyrl-RS"/>
              </w:rPr>
              <w:t>сајт ДРИ)</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Државна ревизорска институција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се односи на број области обухваћених ревизијама</w:t>
            </w:r>
            <w:r w:rsidR="0076001F" w:rsidRPr="0081082A">
              <w:rPr>
                <w:rFonts w:eastAsia="Calibri"/>
                <w:lang w:val="sr-Cyrl-RS"/>
              </w:rPr>
              <w:t xml:space="preserve"> сврсисходности пословања</w:t>
            </w:r>
            <w:r w:rsidRPr="0081082A">
              <w:rPr>
                <w:rFonts w:eastAsia="Calibri"/>
                <w:lang w:val="sr-Cyrl-RS"/>
              </w:rPr>
              <w:t>.</w:t>
            </w: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29"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12"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12"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0" w:type="pct"/>
            <w:gridSpan w:val="2"/>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7</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7</w:t>
            </w:r>
          </w:p>
        </w:tc>
        <w:tc>
          <w:tcPr>
            <w:tcW w:w="79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8</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8</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9</w:t>
            </w:r>
          </w:p>
        </w:tc>
        <w:tc>
          <w:tcPr>
            <w:tcW w:w="751"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9</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A60182" w:rsidP="00D01626">
            <w:pPr>
              <w:spacing w:before="50" w:after="50"/>
              <w:rPr>
                <w:rFonts w:eastAsia="Calibri"/>
                <w:iCs/>
                <w:lang w:val="sr-Cyrl-RS"/>
              </w:rPr>
            </w:pPr>
            <w:r w:rsidRPr="0081082A">
              <w:rPr>
                <w:rFonts w:eastAsia="Calibri"/>
                <w:iCs/>
                <w:lang w:val="sr-Cyrl-RS"/>
              </w:rPr>
              <w:t>Обухват планираног броја области у ревизијама сврсисходности пословања. Одступање до 1 је прихватљиво.</w:t>
            </w:r>
          </w:p>
        </w:tc>
      </w:tr>
    </w:tbl>
    <w:p w:rsidR="00192373" w:rsidRPr="0081082A" w:rsidRDefault="00192373" w:rsidP="00CF0A72">
      <w:pPr>
        <w:spacing w:after="100"/>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6.1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8"/>
        <w:gridCol w:w="1381"/>
        <w:gridCol w:w="521"/>
        <w:gridCol w:w="956"/>
        <w:gridCol w:w="647"/>
        <w:gridCol w:w="41"/>
        <w:gridCol w:w="693"/>
        <w:gridCol w:w="1092"/>
        <w:gridCol w:w="287"/>
        <w:gridCol w:w="1386"/>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Times New Roman"/>
                <w:color w:val="000000"/>
                <w:sz w:val="16"/>
                <w:szCs w:val="16"/>
                <w:lang w:val="sr-Cyrl-RS" w:eastAsia="en-GB"/>
              </w:rPr>
            </w:pPr>
            <w:r w:rsidRPr="0081082A">
              <w:rPr>
                <w:rFonts w:eastAsia="Calibri"/>
                <w:b/>
                <w:bCs/>
                <w:color w:val="FFFFFF"/>
                <w:lang w:val="sr-Cyrl-RS"/>
              </w:rPr>
              <w:t>Број прегледа ради контроле квалитета и уверавања у квалитет</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6.1: Унапређење обухвата, квалитета и утицаја екстерних ревизија (у складу са Стратешким планом Државне ревизорске институције (ДРИ)</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6"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3"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 xml:space="preserve">Јединица мере и </w:t>
            </w:r>
            <w:r w:rsidRPr="0081082A">
              <w:rPr>
                <w:rFonts w:eastAsia="Calibri"/>
                <w:b/>
                <w:kern w:val="24"/>
                <w:lang w:val="sr-Cyrl-RS"/>
              </w:rPr>
              <w:lastRenderedPageBreak/>
              <w:t>природа</w:t>
            </w:r>
          </w:p>
        </w:tc>
        <w:tc>
          <w:tcPr>
            <w:tcW w:w="1896"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lastRenderedPageBreak/>
              <w:t>Број</w:t>
            </w:r>
          </w:p>
        </w:tc>
        <w:tc>
          <w:tcPr>
            <w:tcW w:w="1893"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 xml:space="preserve">Повећање броја прегледа ради </w:t>
            </w:r>
            <w:r w:rsidRPr="0081082A">
              <w:rPr>
                <w:rFonts w:eastAsia="Arial"/>
                <w:iCs/>
                <w:color w:val="000000"/>
                <w:spacing w:val="-1"/>
                <w:kern w:val="24"/>
                <w:lang w:val="sr-Cyrl-RS"/>
              </w:rPr>
              <w:lastRenderedPageBreak/>
              <w:t>контроле квалитета и уверавања у квалитет у складу са унапређењем обухвата и утицаја екстерних ревизија.</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lastRenderedPageBreak/>
              <w:t>Извор података за праћење показатеља учинка</w:t>
            </w:r>
          </w:p>
        </w:tc>
        <w:tc>
          <w:tcPr>
            <w:tcW w:w="3789" w:type="pct"/>
            <w:gridSpan w:val="9"/>
            <w:shd w:val="clear" w:color="auto" w:fill="FFFFFF"/>
            <w:vAlign w:val="center"/>
          </w:tcPr>
          <w:p w:rsidR="00192373" w:rsidRPr="0081082A" w:rsidRDefault="007F5481" w:rsidP="00D01626">
            <w:pPr>
              <w:spacing w:before="0" w:after="134"/>
              <w:rPr>
                <w:rFonts w:eastAsia="Calibri"/>
                <w:lang w:val="sr-Cyrl-RS"/>
              </w:rPr>
            </w:pPr>
            <w:r>
              <w:rPr>
                <w:rFonts w:eastAsia="Calibri"/>
                <w:lang w:val="sr-Cyrl-RS"/>
              </w:rPr>
              <w:t>Извештај о раду ДРИ (веб</w:t>
            </w:r>
            <w:r w:rsidR="003E0329">
              <w:rPr>
                <w:rFonts w:eastAsia="Calibri"/>
                <w:lang w:val="sr-Cyrl-RS"/>
              </w:rPr>
              <w:t>-</w:t>
            </w:r>
            <w:r w:rsidR="00192373" w:rsidRPr="0081082A">
              <w:rPr>
                <w:rFonts w:eastAsia="Calibri"/>
                <w:lang w:val="sr-Cyrl-RS"/>
              </w:rPr>
              <w:t>сајт ДРИ)</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Државна ревизорска институција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се односи на број прегледа ради контроле квалитета и уверавања у исти, у циљу унапређења обухвата, квалитета и утицаја екстерних ревизија, у складу са Стратешким планом Државне ревизорске институције.</w:t>
            </w:r>
          </w:p>
          <w:p w:rsidR="00192373" w:rsidRPr="0081082A" w:rsidRDefault="00192373" w:rsidP="00D01626">
            <w:pPr>
              <w:spacing w:before="50" w:after="50"/>
              <w:rPr>
                <w:rFonts w:eastAsia="Calibri"/>
                <w:lang w:val="sr-Cyrl-RS"/>
              </w:rPr>
            </w:pPr>
          </w:p>
          <w:p w:rsidR="00192373" w:rsidRPr="0081082A" w:rsidRDefault="00192373" w:rsidP="00D01626">
            <w:pPr>
              <w:spacing w:before="50" w:after="50"/>
              <w:rPr>
                <w:rFonts w:eastAsia="Calibri"/>
                <w:lang w:val="sr-Cyrl-RS"/>
              </w:rPr>
            </w:pP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84"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05"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66"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05"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9"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6"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05" w:type="pct"/>
            <w:gridSpan w:val="2"/>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         20</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9"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0"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24</w:t>
            </w:r>
          </w:p>
        </w:tc>
        <w:tc>
          <w:tcPr>
            <w:tcW w:w="799"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28</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32</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36</w:t>
            </w:r>
          </w:p>
        </w:tc>
        <w:tc>
          <w:tcPr>
            <w:tcW w:w="750"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40</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Реализација планираног броја прегледа ради контроле квалитета и уверавања у исти, у складу са унапређењем обухвата, квалитета и утицаја државних ревизија.</w:t>
            </w:r>
          </w:p>
          <w:p w:rsidR="00192373" w:rsidRPr="0081082A" w:rsidRDefault="000F42B0" w:rsidP="000F42B0">
            <w:pPr>
              <w:spacing w:before="50" w:after="50"/>
              <w:rPr>
                <w:rFonts w:eastAsia="Calibri"/>
                <w:iCs/>
                <w:lang w:val="sr-Cyrl-RS"/>
              </w:rPr>
            </w:pPr>
            <w:r w:rsidRPr="0081082A">
              <w:rPr>
                <w:rFonts w:eastAsia="Calibri"/>
                <w:iCs/>
                <w:lang w:val="sr-Cyrl-RS"/>
              </w:rPr>
              <w:t>Одступање до 2 је прихватљиво</w:t>
            </w:r>
            <w:r w:rsidR="00192373" w:rsidRPr="0081082A">
              <w:rPr>
                <w:rFonts w:eastAsia="Calibri"/>
                <w:iCs/>
                <w:lang w:val="sr-Cyrl-RS"/>
              </w:rPr>
              <w:t>.</w:t>
            </w:r>
          </w:p>
        </w:tc>
      </w:tr>
    </w:tbl>
    <w:p w:rsidR="00192373" w:rsidRPr="0081082A" w:rsidRDefault="00192373" w:rsidP="00192373">
      <w:pPr>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6.1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8"/>
        <w:gridCol w:w="1381"/>
        <w:gridCol w:w="519"/>
        <w:gridCol w:w="956"/>
        <w:gridCol w:w="640"/>
        <w:gridCol w:w="48"/>
        <w:gridCol w:w="693"/>
        <w:gridCol w:w="993"/>
        <w:gridCol w:w="386"/>
        <w:gridCol w:w="1388"/>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Times New Roman"/>
                <w:color w:val="000000"/>
                <w:sz w:val="16"/>
                <w:szCs w:val="16"/>
                <w:lang w:val="sr-Cyrl-RS" w:eastAsia="en-GB"/>
              </w:rPr>
            </w:pPr>
            <w:r w:rsidRPr="0081082A">
              <w:rPr>
                <w:rFonts w:eastAsia="Calibri"/>
                <w:b/>
                <w:bCs/>
                <w:color w:val="FFFFFF"/>
                <w:lang w:val="sr-Cyrl-RS"/>
              </w:rPr>
              <w:t>Удео ревизија пословања (правилности и сврсисходности) у годишњем Програму ревизије ДРИ</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6.1: Унапређење обухвата, квалитета и утицаја екстерних ревизија (у складу са Стратешким планом Државне ревизорске институције (ДРИ)</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1"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8"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1"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98"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Повећање удела ревизија пословања (правилности и сврсисходности) у годишњем Прог</w:t>
            </w:r>
            <w:r w:rsidR="001119FF" w:rsidRPr="0081082A">
              <w:rPr>
                <w:rFonts w:eastAsia="Arial"/>
                <w:iCs/>
                <w:color w:val="000000"/>
                <w:spacing w:val="-1"/>
                <w:kern w:val="24"/>
                <w:lang w:val="sr-Cyrl-RS"/>
              </w:rPr>
              <w:t xml:space="preserve">раму ревизије ДРИ, у </w:t>
            </w:r>
            <w:r w:rsidR="001119FF" w:rsidRPr="0081082A">
              <w:rPr>
                <w:rFonts w:eastAsia="Arial"/>
                <w:iCs/>
                <w:color w:val="000000"/>
                <w:spacing w:val="-1"/>
                <w:kern w:val="24"/>
                <w:lang w:val="sr-Cyrl-RS"/>
              </w:rPr>
              <w:lastRenderedPageBreak/>
              <w:t>складу са С</w:t>
            </w:r>
            <w:r w:rsidRPr="0081082A">
              <w:rPr>
                <w:rFonts w:eastAsia="Arial"/>
                <w:iCs/>
                <w:color w:val="000000"/>
                <w:spacing w:val="-1"/>
                <w:kern w:val="24"/>
                <w:lang w:val="sr-Cyrl-RS"/>
              </w:rPr>
              <w:t>тратешким планом</w:t>
            </w:r>
            <w:r w:rsidR="001119FF" w:rsidRPr="0081082A">
              <w:rPr>
                <w:rFonts w:eastAsia="Arial"/>
                <w:iCs/>
                <w:color w:val="000000"/>
                <w:spacing w:val="-1"/>
                <w:kern w:val="24"/>
                <w:lang w:val="sr-Cyrl-RS"/>
              </w:rPr>
              <w:t xml:space="preserve"> ДРИ</w:t>
            </w:r>
            <w:r w:rsidRPr="0081082A">
              <w:rPr>
                <w:rFonts w:eastAsia="Arial"/>
                <w:iCs/>
                <w:color w:val="000000"/>
                <w:spacing w:val="-1"/>
                <w:kern w:val="24"/>
                <w:lang w:val="sr-Cyrl-RS"/>
              </w:rPr>
              <w:t xml:space="preserve">, </w:t>
            </w:r>
          </w:p>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lastRenderedPageBreak/>
              <w:t>Извор података за праћење показатеља учинка</w:t>
            </w:r>
          </w:p>
        </w:tc>
        <w:tc>
          <w:tcPr>
            <w:tcW w:w="3789" w:type="pct"/>
            <w:gridSpan w:val="9"/>
            <w:shd w:val="clear" w:color="auto" w:fill="FFFFFF"/>
            <w:vAlign w:val="center"/>
          </w:tcPr>
          <w:p w:rsidR="00192373" w:rsidRPr="0081082A" w:rsidRDefault="0036287E" w:rsidP="00D01626">
            <w:pPr>
              <w:spacing w:before="0" w:after="134"/>
              <w:rPr>
                <w:rFonts w:eastAsia="Calibri"/>
                <w:lang w:val="sr-Cyrl-RS"/>
              </w:rPr>
            </w:pPr>
            <w:r>
              <w:rPr>
                <w:rFonts w:eastAsia="Calibri"/>
                <w:lang w:val="sr-Cyrl-RS"/>
              </w:rPr>
              <w:t>Извештај о раду ДРИ (веб</w:t>
            </w:r>
            <w:r w:rsidR="0034743C">
              <w:rPr>
                <w:rFonts w:eastAsia="Calibri"/>
                <w:lang w:val="sr-Cyrl-RS"/>
              </w:rPr>
              <w:t>-</w:t>
            </w:r>
            <w:r w:rsidR="00192373" w:rsidRPr="0081082A">
              <w:rPr>
                <w:rFonts w:eastAsia="Calibri"/>
                <w:lang w:val="sr-Cyrl-RS"/>
              </w:rPr>
              <w:t>сајт ДРИ)</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Државна ревизорска институција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указује на проценат ревизије пословања (правилности и сврсисходности), у годишњем Програму ревизије ДРИ.</w:t>
            </w:r>
          </w:p>
          <w:p w:rsidR="00192373" w:rsidRPr="0081082A" w:rsidRDefault="00192373" w:rsidP="00D01626">
            <w:pPr>
              <w:spacing w:before="50" w:after="50"/>
              <w:rPr>
                <w:rFonts w:eastAsia="Calibri"/>
                <w:lang w:val="sr-Cyrl-RS"/>
              </w:rPr>
            </w:pPr>
          </w:p>
          <w:p w:rsidR="00192373" w:rsidRPr="0081082A" w:rsidRDefault="00192373" w:rsidP="00D01626">
            <w:pPr>
              <w:spacing w:before="50" w:after="50"/>
              <w:rPr>
                <w:rFonts w:eastAsia="Calibri"/>
                <w:lang w:val="sr-Cyrl-RS"/>
              </w:rPr>
            </w:pP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29"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12"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12"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960" w:type="pct"/>
            <w:gridSpan w:val="2"/>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         40%</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43%</w:t>
            </w:r>
          </w:p>
        </w:tc>
        <w:tc>
          <w:tcPr>
            <w:tcW w:w="79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46%</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49%</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52%</w:t>
            </w:r>
          </w:p>
        </w:tc>
        <w:tc>
          <w:tcPr>
            <w:tcW w:w="751"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55%</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Успешно имплементиран удео ревизија пословања (правилности и сврсисходности) </w:t>
            </w:r>
            <w:r w:rsidR="00652D91" w:rsidRPr="0081082A">
              <w:rPr>
                <w:rFonts w:eastAsia="Calibri"/>
                <w:iCs/>
                <w:lang w:val="sr-Cyrl-RS"/>
              </w:rPr>
              <w:t xml:space="preserve"> из годишњег </w:t>
            </w:r>
            <w:r w:rsidRPr="0081082A">
              <w:rPr>
                <w:rFonts w:eastAsia="Calibri"/>
                <w:iCs/>
                <w:lang w:val="sr-Cyrl-RS"/>
              </w:rPr>
              <w:t>Програм</w:t>
            </w:r>
            <w:r w:rsidR="00652D91" w:rsidRPr="0081082A">
              <w:rPr>
                <w:rFonts w:eastAsia="Calibri"/>
                <w:iCs/>
                <w:lang w:val="sr-Cyrl-RS"/>
              </w:rPr>
              <w:t>а</w:t>
            </w:r>
            <w:r w:rsidRPr="0081082A">
              <w:rPr>
                <w:rFonts w:eastAsia="Calibri"/>
                <w:iCs/>
                <w:lang w:val="sr-Cyrl-RS"/>
              </w:rPr>
              <w:t xml:space="preserve"> ревизије ДРИ.</w:t>
            </w:r>
          </w:p>
          <w:p w:rsidR="00192373" w:rsidRPr="0081082A" w:rsidRDefault="00192373" w:rsidP="00D01626">
            <w:pPr>
              <w:spacing w:before="50" w:after="50"/>
              <w:rPr>
                <w:rFonts w:eastAsia="Calibri"/>
                <w:iCs/>
                <w:lang w:val="sr-Cyrl-RS"/>
              </w:rPr>
            </w:pPr>
            <w:r w:rsidRPr="0081082A">
              <w:rPr>
                <w:rFonts w:eastAsia="Calibri"/>
                <w:iCs/>
                <w:lang w:val="sr-Cyrl-RS"/>
              </w:rPr>
              <w:t xml:space="preserve">Одступања су прихватљива до 1%. </w:t>
            </w:r>
          </w:p>
        </w:tc>
      </w:tr>
    </w:tbl>
    <w:p w:rsidR="00192373" w:rsidRPr="0081082A" w:rsidRDefault="00192373" w:rsidP="00192373">
      <w:pPr>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6.2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7"/>
        <w:gridCol w:w="1381"/>
        <w:gridCol w:w="519"/>
        <w:gridCol w:w="956"/>
        <w:gridCol w:w="640"/>
        <w:gridCol w:w="48"/>
        <w:gridCol w:w="693"/>
        <w:gridCol w:w="993"/>
        <w:gridCol w:w="102"/>
        <w:gridCol w:w="285"/>
        <w:gridCol w:w="1388"/>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10"/>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p>
          <w:p w:rsidR="00192373" w:rsidRPr="0081082A" w:rsidRDefault="00192373" w:rsidP="00D01626">
            <w:pPr>
              <w:pStyle w:val="CommentText"/>
              <w:rPr>
                <w:rFonts w:ascii="Calibri" w:eastAsia="Times New Roman" w:hAnsi="Calibri"/>
                <w:color w:val="FFFFFF" w:themeColor="background1"/>
                <w:sz w:val="16"/>
                <w:szCs w:val="16"/>
                <w:lang w:val="sr-Cyrl-RS" w:eastAsia="en-GB"/>
              </w:rPr>
            </w:pPr>
            <w:r w:rsidRPr="0081082A">
              <w:rPr>
                <w:rFonts w:eastAsia="Calibri" w:cs="Times New Roman"/>
                <w:b/>
                <w:iCs/>
                <w:color w:val="FFFFFF" w:themeColor="background1"/>
                <w:lang w:val="sr-Cyrl-RS"/>
              </w:rPr>
              <w:t>Разматрање годишњег извештаја о раду ДРИ са усвајањем предлога закључка</w:t>
            </w:r>
          </w:p>
          <w:p w:rsidR="00192373" w:rsidRPr="0081082A" w:rsidRDefault="00192373" w:rsidP="00D01626">
            <w:pPr>
              <w:spacing w:after="100"/>
              <w:rPr>
                <w:rFonts w:eastAsia="Times New Roman"/>
                <w:color w:val="000000"/>
                <w:sz w:val="16"/>
                <w:szCs w:val="16"/>
                <w:lang w:val="sr-Cyrl-RS" w:eastAsia="en-GB"/>
              </w:rPr>
            </w:pP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10"/>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6.2: Обезбеђивање ефикасног скупштинског надзора над јавним финансијама</w:t>
            </w:r>
          </w:p>
          <w:p w:rsidR="00192373" w:rsidRPr="0081082A" w:rsidRDefault="00192373" w:rsidP="00D01626">
            <w:pPr>
              <w:spacing w:after="100"/>
              <w:rPr>
                <w:rFonts w:eastAsia="Calibri"/>
                <w:b/>
                <w:iCs/>
                <w:color w:val="000000"/>
                <w:lang w:val="sr-Cyrl-RS"/>
              </w:rPr>
            </w:pP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1"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8" w:type="pct"/>
            <w:gridSpan w:val="6"/>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1"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Број</w:t>
            </w:r>
          </w:p>
        </w:tc>
        <w:tc>
          <w:tcPr>
            <w:tcW w:w="1898" w:type="pct"/>
            <w:gridSpan w:val="6"/>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10"/>
            <w:shd w:val="clear" w:color="auto" w:fill="FFFFFF"/>
            <w:vAlign w:val="center"/>
          </w:tcPr>
          <w:p w:rsidR="00192373" w:rsidRPr="0081082A" w:rsidRDefault="00192373" w:rsidP="00D01626">
            <w:pPr>
              <w:spacing w:before="0" w:after="134"/>
              <w:rPr>
                <w:rFonts w:eastAsia="Calibri"/>
                <w:bCs/>
                <w:iCs/>
                <w:kern w:val="24"/>
                <w:lang w:val="sr-Cyrl-RS"/>
              </w:rPr>
            </w:pPr>
            <w:r w:rsidRPr="0081082A">
              <w:rPr>
                <w:rFonts w:eastAsia="Calibri"/>
                <w:bCs/>
                <w:iCs/>
                <w:kern w:val="24"/>
                <w:lang w:val="sr-Cyrl-RS"/>
              </w:rPr>
              <w:t>Извештај Одбора/Записник са седнице Одбора.</w:t>
            </w:r>
          </w:p>
          <w:p w:rsidR="00192373" w:rsidRPr="0081082A" w:rsidRDefault="00192373" w:rsidP="00D01626">
            <w:pPr>
              <w:spacing w:before="0" w:after="134"/>
              <w:rPr>
                <w:rFonts w:eastAsia="Calibri"/>
                <w:lang w:val="sr-Cyrl-RS"/>
              </w:rPr>
            </w:pP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lastRenderedPageBreak/>
              <w:t>Назив носиоца прикупљања података</w:t>
            </w:r>
          </w:p>
        </w:tc>
        <w:tc>
          <w:tcPr>
            <w:tcW w:w="3789" w:type="pct"/>
            <w:gridSpan w:val="10"/>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Одбор Народне Скупштине за финансије, републички буџет и контролу трошења јавних средстава</w:t>
            </w:r>
          </w:p>
          <w:p w:rsidR="00192373" w:rsidRPr="0081082A" w:rsidRDefault="00192373" w:rsidP="00D01626">
            <w:pPr>
              <w:spacing w:before="50" w:after="50"/>
              <w:rPr>
                <w:rFonts w:eastAsia="Calibri"/>
                <w:lang w:val="sr-Cyrl-RS"/>
              </w:rPr>
            </w:pP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10"/>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 xml:space="preserve">Једном годишње. </w:t>
            </w:r>
          </w:p>
        </w:tc>
      </w:tr>
      <w:tr w:rsidR="00192373" w:rsidRPr="0081082A" w:rsidTr="00094490">
        <w:trPr>
          <w:trHeight w:val="184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Кратак опис показатеља и 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10"/>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t>Показатељ указује на разматрање годишњег извештаја о раду ДРИ са усвајањем предлога закључка.</w:t>
            </w:r>
          </w:p>
          <w:p w:rsidR="00192373" w:rsidRPr="0081082A" w:rsidRDefault="00192373" w:rsidP="00D01626">
            <w:pPr>
              <w:spacing w:before="50" w:after="50"/>
              <w:rPr>
                <w:rFonts w:eastAsia="Calibri"/>
                <w:lang w:val="sr-Cyrl-RS"/>
              </w:rPr>
            </w:pPr>
          </w:p>
          <w:p w:rsidR="00192373" w:rsidRPr="0081082A" w:rsidRDefault="00192373" w:rsidP="00D01626">
            <w:pPr>
              <w:spacing w:before="50" w:after="50"/>
              <w:rPr>
                <w:rFonts w:eastAsia="Calibri"/>
                <w:lang w:val="sr-Cyrl-RS"/>
              </w:rPr>
            </w:pP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t xml:space="preserve">Подаци о полазној вредности и години кад је измерена, као и о ранијем тренду </w:t>
            </w:r>
          </w:p>
        </w:tc>
        <w:tc>
          <w:tcPr>
            <w:tcW w:w="2829"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3"/>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67"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05"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532D39" w:rsidP="00D01626">
            <w:pPr>
              <w:spacing w:before="50" w:after="50"/>
              <w:jc w:val="center"/>
              <w:rPr>
                <w:rFonts w:eastAsia="Calibri"/>
                <w:iCs/>
                <w:lang w:val="sr-Cyrl-RS"/>
              </w:rPr>
            </w:pPr>
            <w:r w:rsidRPr="0081082A">
              <w:rPr>
                <w:rFonts w:eastAsia="Calibri"/>
                <w:iCs/>
                <w:lang w:val="sr-Cyrl-RS"/>
              </w:rPr>
              <w:t>1</w:t>
            </w:r>
          </w:p>
        </w:tc>
        <w:tc>
          <w:tcPr>
            <w:tcW w:w="967" w:type="pct"/>
            <w:gridSpan w:val="3"/>
            <w:tcBorders>
              <w:top w:val="single" w:sz="4" w:space="0" w:color="auto"/>
            </w:tcBorders>
            <w:shd w:val="clear" w:color="auto" w:fill="FFFFFF"/>
            <w:vAlign w:val="center"/>
          </w:tcPr>
          <w:p w:rsidR="00192373" w:rsidRPr="0081082A" w:rsidRDefault="00532D39" w:rsidP="00D01626">
            <w:pPr>
              <w:spacing w:before="50" w:after="50"/>
              <w:jc w:val="center"/>
              <w:rPr>
                <w:rFonts w:eastAsia="Calibri"/>
                <w:iCs/>
                <w:lang w:val="sr-Cyrl-RS"/>
              </w:rPr>
            </w:pPr>
            <w:r w:rsidRPr="0081082A">
              <w:rPr>
                <w:rFonts w:eastAsia="Calibri"/>
                <w:iCs/>
                <w:lang w:val="sr-Cyrl-RS"/>
              </w:rPr>
              <w:t>1</w:t>
            </w:r>
          </w:p>
        </w:tc>
        <w:tc>
          <w:tcPr>
            <w:tcW w:w="905" w:type="pct"/>
            <w:gridSpan w:val="2"/>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           1</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9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46"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51"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10"/>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Одступање није прихватљиво</w:t>
            </w:r>
          </w:p>
        </w:tc>
      </w:tr>
    </w:tbl>
    <w:p w:rsidR="00192373" w:rsidRPr="0081082A" w:rsidRDefault="00192373" w:rsidP="00192373">
      <w:pPr>
        <w:rPr>
          <w:lang w:val="sr-Cyrl-RS"/>
        </w:rPr>
      </w:pPr>
    </w:p>
    <w:p w:rsidR="00192373" w:rsidRPr="0081082A" w:rsidRDefault="00192373" w:rsidP="00192373">
      <w:pPr>
        <w:spacing w:after="120"/>
        <w:rPr>
          <w:b/>
          <w:bCs/>
          <w:color w:val="2F5496"/>
          <w:lang w:val="sr-Cyrl-RS"/>
        </w:rPr>
      </w:pPr>
      <w:r w:rsidRPr="0081082A">
        <w:rPr>
          <w:b/>
          <w:bCs/>
          <w:color w:val="2F5496"/>
          <w:lang w:val="sr-Cyrl-RS"/>
        </w:rPr>
        <w:t>Показатељ на нивоу мере 6.2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8"/>
        <w:gridCol w:w="1381"/>
        <w:gridCol w:w="519"/>
        <w:gridCol w:w="956"/>
        <w:gridCol w:w="640"/>
        <w:gridCol w:w="48"/>
        <w:gridCol w:w="693"/>
        <w:gridCol w:w="993"/>
        <w:gridCol w:w="386"/>
        <w:gridCol w:w="1388"/>
      </w:tblGrid>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Calibri"/>
                <w:b/>
                <w:bCs/>
                <w:color w:val="FFFFFF"/>
                <w:lang w:val="sr-Cyrl-RS"/>
              </w:rPr>
            </w:pPr>
            <w:r w:rsidRPr="0081082A">
              <w:rPr>
                <w:rFonts w:eastAsia="Calibri"/>
                <w:b/>
                <w:bCs/>
                <w:color w:val="FFFFFF"/>
                <w:lang w:val="sr-Cyrl-RS"/>
              </w:rPr>
              <w:t>Назив показатеља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6C7781"/>
            <w:vAlign w:val="center"/>
          </w:tcPr>
          <w:p w:rsidR="00192373" w:rsidRPr="0081082A" w:rsidRDefault="00192373" w:rsidP="00D01626">
            <w:pPr>
              <w:spacing w:after="100"/>
              <w:rPr>
                <w:rFonts w:eastAsia="Times New Roman"/>
                <w:color w:val="000000"/>
                <w:sz w:val="16"/>
                <w:szCs w:val="16"/>
                <w:lang w:val="sr-Cyrl-RS" w:eastAsia="en-GB"/>
              </w:rPr>
            </w:pPr>
            <w:r w:rsidRPr="0081082A">
              <w:rPr>
                <w:rFonts w:eastAsia="Calibri"/>
                <w:b/>
                <w:bCs/>
                <w:color w:val="FFFFFF"/>
                <w:lang w:val="sr-Cyrl-RS"/>
              </w:rPr>
              <w:t>Одржавање седнице/састанка Одбора за разматрање препорука за измене закона у присуству ДРИ и Министарства финансија</w:t>
            </w:r>
          </w:p>
        </w:tc>
      </w:tr>
      <w:tr w:rsidR="00192373" w:rsidRPr="0081082A" w:rsidTr="00D01626">
        <w:trPr>
          <w:jc w:val="center"/>
        </w:trPr>
        <w:tc>
          <w:tcPr>
            <w:tcW w:w="1211" w:type="pct"/>
            <w:tcBorders>
              <w:top w:val="single" w:sz="4" w:space="0" w:color="auto"/>
              <w:left w:val="single" w:sz="4" w:space="0" w:color="auto"/>
              <w:bottom w:val="single" w:sz="4" w:space="0" w:color="auto"/>
              <w:right w:val="single" w:sz="4" w:space="0" w:color="auto"/>
            </w:tcBorders>
            <w:shd w:val="clear" w:color="auto" w:fill="auto"/>
          </w:tcPr>
          <w:p w:rsidR="00192373" w:rsidRPr="0081082A" w:rsidRDefault="00192373" w:rsidP="00D01626">
            <w:pPr>
              <w:spacing w:after="100"/>
              <w:rPr>
                <w:rFonts w:eastAsia="Calibri"/>
                <w:b/>
                <w:bCs/>
                <w:lang w:val="sr-Cyrl-RS"/>
              </w:rPr>
            </w:pPr>
            <w:r w:rsidRPr="0081082A">
              <w:rPr>
                <w:rFonts w:eastAsia="Calibri"/>
                <w:b/>
                <w:bCs/>
                <w:lang w:val="sr-Cyrl-RS"/>
              </w:rPr>
              <w:t>Одговарајући општи циљ, посебан циљ или мера</w:t>
            </w:r>
          </w:p>
        </w:tc>
        <w:tc>
          <w:tcPr>
            <w:tcW w:w="3789" w:type="pct"/>
            <w:gridSpan w:val="9"/>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spacing w:after="100"/>
              <w:rPr>
                <w:rFonts w:eastAsia="Calibri"/>
                <w:b/>
                <w:iCs/>
                <w:color w:val="000000"/>
                <w:lang w:val="sr-Cyrl-RS"/>
              </w:rPr>
            </w:pPr>
            <w:r w:rsidRPr="0081082A">
              <w:rPr>
                <w:rFonts w:eastAsia="Calibri"/>
                <w:b/>
                <w:iCs/>
                <w:color w:val="000000"/>
                <w:lang w:val="sr-Cyrl-RS"/>
              </w:rPr>
              <w:t>Мера 6.2: Обезбеђивање ефикасног скупштинског надзора над јавним финансијама</w:t>
            </w:r>
          </w:p>
          <w:p w:rsidR="00192373" w:rsidRPr="0081082A" w:rsidRDefault="00192373" w:rsidP="00D01626">
            <w:pPr>
              <w:spacing w:after="100"/>
              <w:rPr>
                <w:rFonts w:eastAsia="Calibri"/>
                <w:b/>
                <w:iCs/>
                <w:color w:val="000000"/>
                <w:lang w:val="sr-Cyrl-RS"/>
              </w:rPr>
            </w:pP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kern w:val="24"/>
                <w:lang w:val="sr-Cyrl-RS"/>
              </w:rPr>
              <w:t>Тип и ниво показатеља</w:t>
            </w:r>
          </w:p>
        </w:tc>
        <w:tc>
          <w:tcPr>
            <w:tcW w:w="1891" w:type="pct"/>
            <w:gridSpan w:val="4"/>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Квантитативни</w:t>
            </w:r>
          </w:p>
        </w:tc>
        <w:tc>
          <w:tcPr>
            <w:tcW w:w="1898" w:type="pct"/>
            <w:gridSpan w:val="5"/>
            <w:shd w:val="clear" w:color="auto" w:fill="FFFFFF"/>
            <w:vAlign w:val="center"/>
          </w:tcPr>
          <w:p w:rsidR="00192373" w:rsidRPr="0081082A" w:rsidRDefault="00192373" w:rsidP="00D01626">
            <w:pPr>
              <w:spacing w:before="0" w:after="0"/>
              <w:rPr>
                <w:rFonts w:eastAsia="Calibri"/>
                <w:bCs/>
                <w:iCs/>
                <w:kern w:val="24"/>
                <w:lang w:val="sr-Cyrl-RS"/>
              </w:rPr>
            </w:pPr>
            <w:r w:rsidRPr="0081082A">
              <w:rPr>
                <w:rFonts w:eastAsia="Calibri"/>
                <w:bCs/>
                <w:iCs/>
                <w:kern w:val="24"/>
                <w:lang w:val="sr-Cyrl-RS"/>
              </w:rPr>
              <w:t>Показатељ на нивоу мере</w:t>
            </w:r>
          </w:p>
        </w:tc>
      </w:tr>
      <w:tr w:rsidR="00192373" w:rsidRPr="0081082A" w:rsidTr="00D01626">
        <w:trPr>
          <w:trHeight w:val="373"/>
          <w:jc w:val="center"/>
        </w:trPr>
        <w:tc>
          <w:tcPr>
            <w:tcW w:w="1211" w:type="pct"/>
            <w:shd w:val="clear" w:color="auto" w:fill="auto"/>
          </w:tcPr>
          <w:p w:rsidR="00192373" w:rsidRPr="0081082A" w:rsidRDefault="00192373" w:rsidP="00D01626">
            <w:pPr>
              <w:spacing w:before="50" w:after="50"/>
              <w:rPr>
                <w:rFonts w:eastAsia="Calibri"/>
                <w:b/>
                <w:kern w:val="24"/>
                <w:lang w:val="sr-Cyrl-RS"/>
              </w:rPr>
            </w:pPr>
            <w:r w:rsidRPr="0081082A">
              <w:rPr>
                <w:rFonts w:eastAsia="Calibri"/>
                <w:b/>
                <w:kern w:val="24"/>
                <w:lang w:val="sr-Cyrl-RS"/>
              </w:rPr>
              <w:t>Јединица мере и природа</w:t>
            </w:r>
          </w:p>
        </w:tc>
        <w:tc>
          <w:tcPr>
            <w:tcW w:w="1891" w:type="pct"/>
            <w:gridSpan w:val="4"/>
            <w:shd w:val="clear" w:color="auto" w:fill="FFFFFF"/>
            <w:vAlign w:val="center"/>
          </w:tcPr>
          <w:p w:rsidR="00192373" w:rsidRPr="0081082A" w:rsidRDefault="00192373" w:rsidP="00D01626">
            <w:pPr>
              <w:tabs>
                <w:tab w:val="left" w:pos="152"/>
              </w:tabs>
              <w:spacing w:before="50" w:after="50"/>
              <w:rPr>
                <w:rFonts w:eastAsia="Calibri"/>
                <w:iCs/>
                <w:lang w:val="sr-Cyrl-RS"/>
              </w:rPr>
            </w:pPr>
            <w:r w:rsidRPr="0081082A">
              <w:rPr>
                <w:rFonts w:eastAsia="Calibri"/>
                <w:iCs/>
                <w:lang w:val="sr-Cyrl-RS"/>
              </w:rPr>
              <w:t>Проценат (%)</w:t>
            </w:r>
          </w:p>
        </w:tc>
        <w:tc>
          <w:tcPr>
            <w:tcW w:w="1898" w:type="pct"/>
            <w:gridSpan w:val="5"/>
            <w:shd w:val="clear" w:color="auto" w:fill="FFFFFF"/>
            <w:vAlign w:val="center"/>
          </w:tcPr>
          <w:p w:rsidR="00192373" w:rsidRPr="0081082A" w:rsidRDefault="00192373" w:rsidP="00D01626">
            <w:pPr>
              <w:spacing w:before="0" w:after="0"/>
              <w:rPr>
                <w:rFonts w:eastAsia="Arial"/>
                <w:iCs/>
                <w:color w:val="000000"/>
                <w:spacing w:val="-1"/>
                <w:kern w:val="24"/>
                <w:lang w:val="sr-Cyrl-RS"/>
              </w:rPr>
            </w:pPr>
            <w:r w:rsidRPr="0081082A">
              <w:rPr>
                <w:rFonts w:eastAsia="Arial"/>
                <w:iCs/>
                <w:color w:val="000000"/>
                <w:spacing w:val="-1"/>
                <w:kern w:val="24"/>
                <w:lang w:val="sr-Cyrl-RS"/>
              </w:rPr>
              <w:t>Већа вредност је боља</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Извор података за праћење показатеља учинка</w:t>
            </w:r>
          </w:p>
        </w:tc>
        <w:tc>
          <w:tcPr>
            <w:tcW w:w="3789" w:type="pct"/>
            <w:gridSpan w:val="9"/>
            <w:shd w:val="clear" w:color="auto" w:fill="FFFFFF"/>
            <w:vAlign w:val="center"/>
          </w:tcPr>
          <w:p w:rsidR="00192373" w:rsidRPr="0081082A" w:rsidRDefault="00192373" w:rsidP="00D01626">
            <w:pPr>
              <w:spacing w:before="0" w:after="134"/>
              <w:rPr>
                <w:rFonts w:eastAsia="Calibri"/>
                <w:lang w:val="sr-Cyrl-RS"/>
              </w:rPr>
            </w:pPr>
            <w:r w:rsidRPr="0081082A">
              <w:rPr>
                <w:rFonts w:eastAsia="Calibri"/>
                <w:bCs/>
                <w:iCs/>
                <w:kern w:val="24"/>
                <w:lang w:val="sr-Cyrl-RS"/>
              </w:rPr>
              <w:t>Записник са седнице/састанка</w:t>
            </w:r>
            <w:r w:rsidRPr="0081082A" w:rsidDel="00BC115C">
              <w:rPr>
                <w:rFonts w:eastAsia="Calibri"/>
                <w:lang w:val="sr-Cyrl-RS"/>
              </w:rPr>
              <w:t xml:space="preserve"> </w:t>
            </w: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Назив носиоца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Одбор Народне скупштине за финансије, републички буџет и контролу трошења јавних средстава</w:t>
            </w:r>
          </w:p>
          <w:p w:rsidR="00192373" w:rsidRPr="0081082A" w:rsidRDefault="00192373" w:rsidP="00D01626">
            <w:pPr>
              <w:spacing w:before="50" w:after="50"/>
              <w:rPr>
                <w:rFonts w:eastAsia="Calibri"/>
                <w:lang w:val="sr-Cyrl-RS"/>
              </w:rPr>
            </w:pPr>
          </w:p>
        </w:tc>
      </w:tr>
      <w:tr w:rsidR="00192373" w:rsidRPr="0081082A" w:rsidTr="00D01626">
        <w:trPr>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Учесталост прикупљања података</w:t>
            </w:r>
          </w:p>
        </w:tc>
        <w:tc>
          <w:tcPr>
            <w:tcW w:w="3789" w:type="pct"/>
            <w:gridSpan w:val="9"/>
            <w:shd w:val="clear" w:color="auto" w:fill="FFFFFF"/>
            <w:vAlign w:val="center"/>
          </w:tcPr>
          <w:p w:rsidR="00192373" w:rsidRPr="0081082A" w:rsidRDefault="00192373" w:rsidP="00D01626">
            <w:pPr>
              <w:spacing w:before="50" w:after="50"/>
              <w:rPr>
                <w:rFonts w:eastAsia="Calibri"/>
                <w:lang w:val="sr-Cyrl-RS"/>
              </w:rPr>
            </w:pPr>
            <w:r w:rsidRPr="0081082A">
              <w:rPr>
                <w:rFonts w:eastAsia="Calibri"/>
                <w:lang w:val="sr-Cyrl-RS"/>
              </w:rPr>
              <w:t>Једном годишње</w:t>
            </w:r>
          </w:p>
        </w:tc>
      </w:tr>
      <w:tr w:rsidR="00192373" w:rsidRPr="0081082A" w:rsidTr="00D01626">
        <w:trPr>
          <w:trHeight w:val="274"/>
          <w:jc w:val="center"/>
        </w:trPr>
        <w:tc>
          <w:tcPr>
            <w:tcW w:w="1211" w:type="pct"/>
            <w:shd w:val="clear" w:color="auto" w:fill="auto"/>
          </w:tcPr>
          <w:p w:rsidR="00192373" w:rsidRPr="0081082A" w:rsidRDefault="00192373" w:rsidP="00D01626">
            <w:pPr>
              <w:spacing w:before="50" w:after="50"/>
              <w:rPr>
                <w:rFonts w:eastAsia="Calibri"/>
                <w:b/>
                <w:lang w:val="sr-Cyrl-RS"/>
              </w:rPr>
            </w:pPr>
            <w:r w:rsidRPr="0081082A">
              <w:rPr>
                <w:rFonts w:eastAsia="Calibri"/>
                <w:b/>
                <w:lang w:val="sr-Cyrl-RS"/>
              </w:rPr>
              <w:t xml:space="preserve">Кратак опис показатеља и </w:t>
            </w:r>
            <w:r w:rsidRPr="0081082A">
              <w:rPr>
                <w:rFonts w:eastAsia="Calibri"/>
                <w:b/>
                <w:lang w:val="sr-Cyrl-RS"/>
              </w:rPr>
              <w:lastRenderedPageBreak/>
              <w:t>методологије израчунавања</w:t>
            </w:r>
          </w:p>
          <w:p w:rsidR="00192373" w:rsidRPr="0081082A" w:rsidRDefault="00192373" w:rsidP="00D01626">
            <w:pPr>
              <w:spacing w:before="50" w:after="50"/>
              <w:rPr>
                <w:rFonts w:eastAsia="Calibri"/>
                <w:b/>
                <w:bCs/>
                <w:lang w:val="sr-Cyrl-RS"/>
              </w:rPr>
            </w:pPr>
            <w:r w:rsidRPr="0081082A">
              <w:rPr>
                <w:rFonts w:eastAsia="Calibri"/>
                <w:b/>
                <w:lang w:val="sr-Cyrl-RS"/>
              </w:rPr>
              <w:t>(формуле/ једначине)</w:t>
            </w:r>
          </w:p>
        </w:tc>
        <w:tc>
          <w:tcPr>
            <w:tcW w:w="3789" w:type="pct"/>
            <w:gridSpan w:val="9"/>
            <w:shd w:val="clear" w:color="auto" w:fill="FFFFFF"/>
          </w:tcPr>
          <w:p w:rsidR="00192373" w:rsidRPr="0081082A" w:rsidRDefault="00192373" w:rsidP="00D01626">
            <w:pPr>
              <w:spacing w:before="50" w:after="50"/>
              <w:rPr>
                <w:rFonts w:eastAsia="Calibri"/>
                <w:lang w:val="sr-Cyrl-RS"/>
              </w:rPr>
            </w:pPr>
            <w:r w:rsidRPr="0081082A">
              <w:rPr>
                <w:rFonts w:eastAsia="Calibri"/>
                <w:lang w:val="sr-Cyrl-RS"/>
              </w:rPr>
              <w:lastRenderedPageBreak/>
              <w:t xml:space="preserve">Показатељ указује на разматрање препорука за измене закона у присуству </w:t>
            </w:r>
            <w:r w:rsidRPr="0081082A">
              <w:rPr>
                <w:rFonts w:eastAsia="Calibri"/>
                <w:lang w:val="sr-Cyrl-RS"/>
              </w:rPr>
              <w:lastRenderedPageBreak/>
              <w:t>ДРИ и Министарства финансија.</w:t>
            </w:r>
          </w:p>
          <w:p w:rsidR="00192373" w:rsidRPr="0081082A" w:rsidRDefault="00192373" w:rsidP="00D01626">
            <w:pPr>
              <w:spacing w:before="50" w:after="50"/>
              <w:rPr>
                <w:rFonts w:eastAsia="Calibri"/>
                <w:lang w:val="sr-Cyrl-RS"/>
              </w:rPr>
            </w:pPr>
          </w:p>
          <w:p w:rsidR="00192373" w:rsidRPr="0081082A" w:rsidRDefault="00192373" w:rsidP="00D01626">
            <w:pPr>
              <w:spacing w:before="50" w:after="50"/>
              <w:rPr>
                <w:rFonts w:eastAsia="Calibri"/>
                <w:lang w:val="sr-Cyrl-RS"/>
              </w:rPr>
            </w:pPr>
          </w:p>
        </w:tc>
      </w:tr>
      <w:tr w:rsidR="00192373" w:rsidRPr="0081082A" w:rsidTr="00D01626">
        <w:trPr>
          <w:trHeight w:val="413"/>
          <w:jc w:val="center"/>
        </w:trPr>
        <w:tc>
          <w:tcPr>
            <w:tcW w:w="1211" w:type="pct"/>
            <w:vMerge w:val="restart"/>
            <w:shd w:val="clear" w:color="auto" w:fill="auto"/>
          </w:tcPr>
          <w:p w:rsidR="00192373" w:rsidRPr="0081082A" w:rsidRDefault="00192373" w:rsidP="00D01626">
            <w:pPr>
              <w:spacing w:before="50" w:after="0"/>
              <w:rPr>
                <w:rFonts w:eastAsia="Calibri"/>
                <w:b/>
                <w:bCs/>
                <w:lang w:val="sr-Cyrl-RS"/>
              </w:rPr>
            </w:pPr>
            <w:r w:rsidRPr="0081082A">
              <w:rPr>
                <w:rFonts w:eastAsia="Calibri"/>
                <w:b/>
                <w:bCs/>
                <w:lang w:val="sr-Cyrl-RS"/>
              </w:rPr>
              <w:lastRenderedPageBreak/>
              <w:t xml:space="preserve">Подаци о полазној вредности и години кад је измерена, као и о ранијем тренду </w:t>
            </w:r>
          </w:p>
        </w:tc>
        <w:tc>
          <w:tcPr>
            <w:tcW w:w="2829" w:type="pct"/>
            <w:gridSpan w:val="7"/>
            <w:tcBorders>
              <w:bottom w:val="single" w:sz="4" w:space="0" w:color="auto"/>
            </w:tcBorders>
            <w:shd w:val="clear" w:color="auto" w:fill="FFFFFF"/>
          </w:tcPr>
          <w:p w:rsidR="00192373" w:rsidRPr="0081082A" w:rsidRDefault="00192373" w:rsidP="00D01626">
            <w:pPr>
              <w:rPr>
                <w:lang w:val="sr-Cyrl-RS"/>
              </w:rPr>
            </w:pPr>
            <w:r w:rsidRPr="0081082A">
              <w:rPr>
                <w:lang w:val="sr-Cyrl-RS"/>
              </w:rPr>
              <w:t>Ранији тренд</w:t>
            </w:r>
          </w:p>
        </w:tc>
        <w:tc>
          <w:tcPr>
            <w:tcW w:w="960" w:type="pct"/>
            <w:gridSpan w:val="2"/>
            <w:shd w:val="clear" w:color="auto" w:fill="FFFFFF"/>
          </w:tcPr>
          <w:p w:rsidR="00192373" w:rsidRPr="0081082A" w:rsidRDefault="00192373" w:rsidP="00D01626">
            <w:pPr>
              <w:rPr>
                <w:lang w:val="sr-Cyrl-RS"/>
              </w:rPr>
            </w:pPr>
            <w:r w:rsidRPr="0081082A">
              <w:rPr>
                <w:lang w:val="sr-Cyrl-RS"/>
              </w:rPr>
              <w:t>Полазна вредност</w:t>
            </w:r>
          </w:p>
        </w:tc>
      </w:tr>
      <w:tr w:rsidR="00192373" w:rsidRPr="0081082A" w:rsidTr="00D01626">
        <w:trPr>
          <w:trHeight w:val="137"/>
          <w:jc w:val="center"/>
        </w:trPr>
        <w:tc>
          <w:tcPr>
            <w:tcW w:w="1211" w:type="pct"/>
            <w:vMerge/>
            <w:tcBorders>
              <w:right w:val="single" w:sz="4" w:space="0" w:color="auto"/>
            </w:tcBorders>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2016.</w:t>
            </w:r>
          </w:p>
        </w:tc>
        <w:tc>
          <w:tcPr>
            <w:tcW w:w="889" w:type="pct"/>
            <w:gridSpan w:val="3"/>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2018.</w:t>
            </w:r>
          </w:p>
        </w:tc>
        <w:tc>
          <w:tcPr>
            <w:tcW w:w="912" w:type="pct"/>
            <w:gridSpan w:val="2"/>
            <w:tcBorders>
              <w:top w:val="single" w:sz="4" w:space="0" w:color="auto"/>
              <w:left w:val="single" w:sz="4" w:space="0" w:color="auto"/>
              <w:bottom w:val="single" w:sz="4" w:space="0" w:color="auto"/>
              <w:right w:val="single" w:sz="4" w:space="0" w:color="auto"/>
            </w:tcBorders>
            <w:shd w:val="clear" w:color="auto" w:fill="FFFFFF"/>
          </w:tcPr>
          <w:p w:rsidR="00192373" w:rsidRPr="0081082A" w:rsidRDefault="00192373" w:rsidP="00D01626">
            <w:pPr>
              <w:rPr>
                <w:lang w:val="sr-Cyrl-RS"/>
              </w:rPr>
            </w:pPr>
            <w:r w:rsidRPr="0081082A">
              <w:rPr>
                <w:lang w:val="sr-Cyrl-RS"/>
              </w:rPr>
              <w:t>2019.</w:t>
            </w:r>
          </w:p>
        </w:tc>
        <w:tc>
          <w:tcPr>
            <w:tcW w:w="960" w:type="pct"/>
            <w:gridSpan w:val="2"/>
            <w:tcBorders>
              <w:left w:val="single" w:sz="4" w:space="0" w:color="auto"/>
            </w:tcBorders>
            <w:shd w:val="clear" w:color="auto" w:fill="FFFFFF"/>
          </w:tcPr>
          <w:p w:rsidR="00192373" w:rsidRPr="0081082A" w:rsidRDefault="00192373" w:rsidP="00D01626">
            <w:pPr>
              <w:rPr>
                <w:lang w:val="sr-Cyrl-RS"/>
              </w:rPr>
            </w:pPr>
            <w:r w:rsidRPr="0081082A">
              <w:rPr>
                <w:lang w:val="sr-Cyrl-RS"/>
              </w:rPr>
              <w:t xml:space="preserve">2020. </w:t>
            </w:r>
          </w:p>
        </w:tc>
      </w:tr>
      <w:tr w:rsidR="00192373" w:rsidRPr="0081082A" w:rsidTr="00D01626">
        <w:trPr>
          <w:trHeight w:val="323"/>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1028" w:type="pct"/>
            <w:gridSpan w:val="2"/>
            <w:tcBorders>
              <w:top w:val="single" w:sz="4" w:space="0" w:color="auto"/>
            </w:tcBorders>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0</w:t>
            </w:r>
          </w:p>
        </w:tc>
        <w:tc>
          <w:tcPr>
            <w:tcW w:w="889" w:type="pct"/>
            <w:gridSpan w:val="3"/>
            <w:tcBorders>
              <w:top w:val="single" w:sz="4" w:space="0" w:color="auto"/>
            </w:tcBorders>
            <w:shd w:val="clear" w:color="auto" w:fill="FFFFFF"/>
            <w:vAlign w:val="center"/>
          </w:tcPr>
          <w:p w:rsidR="00192373" w:rsidRPr="0081082A" w:rsidRDefault="00AD0F53" w:rsidP="00D01626">
            <w:pPr>
              <w:spacing w:before="50" w:after="50"/>
              <w:jc w:val="center"/>
              <w:rPr>
                <w:rFonts w:eastAsia="Calibri"/>
                <w:iCs/>
                <w:lang w:val="sr-Cyrl-RS"/>
              </w:rPr>
            </w:pPr>
            <w:r w:rsidRPr="0081082A">
              <w:rPr>
                <w:rFonts w:eastAsia="Calibri"/>
                <w:iCs/>
                <w:lang w:val="sr-Cyrl-RS"/>
              </w:rPr>
              <w:t>1</w:t>
            </w:r>
          </w:p>
        </w:tc>
        <w:tc>
          <w:tcPr>
            <w:tcW w:w="912" w:type="pct"/>
            <w:gridSpan w:val="2"/>
            <w:tcBorders>
              <w:top w:val="single" w:sz="4" w:space="0" w:color="auto"/>
            </w:tcBorders>
            <w:shd w:val="clear" w:color="auto" w:fill="FFFFFF"/>
            <w:vAlign w:val="center"/>
          </w:tcPr>
          <w:p w:rsidR="00192373" w:rsidRPr="0081082A" w:rsidRDefault="00AD0F53" w:rsidP="00D01626">
            <w:pPr>
              <w:spacing w:before="50" w:after="50"/>
              <w:jc w:val="center"/>
              <w:rPr>
                <w:rFonts w:eastAsia="Calibri"/>
                <w:iCs/>
                <w:lang w:val="sr-Cyrl-RS"/>
              </w:rPr>
            </w:pPr>
            <w:r w:rsidRPr="0081082A">
              <w:rPr>
                <w:rFonts w:eastAsia="Calibri"/>
                <w:iCs/>
                <w:lang w:val="sr-Cyrl-RS"/>
              </w:rPr>
              <w:t>1</w:t>
            </w:r>
          </w:p>
        </w:tc>
        <w:tc>
          <w:tcPr>
            <w:tcW w:w="960" w:type="pct"/>
            <w:gridSpan w:val="2"/>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 xml:space="preserve">           1</w:t>
            </w:r>
          </w:p>
        </w:tc>
      </w:tr>
      <w:tr w:rsidR="00192373" w:rsidRPr="0081082A" w:rsidTr="00D01626">
        <w:trPr>
          <w:trHeight w:val="274"/>
          <w:jc w:val="center"/>
        </w:trPr>
        <w:tc>
          <w:tcPr>
            <w:tcW w:w="1211" w:type="pct"/>
            <w:vMerge w:val="restart"/>
            <w:shd w:val="clear" w:color="auto" w:fill="auto"/>
          </w:tcPr>
          <w:p w:rsidR="00192373" w:rsidRPr="0081082A" w:rsidRDefault="00192373" w:rsidP="00D01626">
            <w:pPr>
              <w:spacing w:before="0" w:after="50"/>
              <w:rPr>
                <w:rFonts w:eastAsia="Calibri"/>
                <w:b/>
                <w:bCs/>
                <w:lang w:val="sr-Cyrl-RS"/>
              </w:rPr>
            </w:pPr>
            <w:r w:rsidRPr="0081082A">
              <w:rPr>
                <w:rFonts w:eastAsia="Calibri"/>
                <w:b/>
                <w:bCs/>
                <w:lang w:val="sr-Cyrl-RS"/>
              </w:rPr>
              <w:t>Подаци о циљним вредностима</w:t>
            </w:r>
          </w:p>
        </w:tc>
        <w:tc>
          <w:tcPr>
            <w:tcW w:w="747"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2021.</w:t>
            </w:r>
          </w:p>
        </w:tc>
        <w:tc>
          <w:tcPr>
            <w:tcW w:w="798"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2022.</w:t>
            </w:r>
          </w:p>
        </w:tc>
        <w:tc>
          <w:tcPr>
            <w:tcW w:w="747" w:type="pct"/>
            <w:gridSpan w:val="3"/>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2023.</w:t>
            </w:r>
          </w:p>
        </w:tc>
        <w:tc>
          <w:tcPr>
            <w:tcW w:w="746" w:type="pct"/>
            <w:gridSpan w:val="2"/>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2024.</w:t>
            </w:r>
          </w:p>
        </w:tc>
        <w:tc>
          <w:tcPr>
            <w:tcW w:w="751" w:type="pct"/>
            <w:shd w:val="clear" w:color="auto" w:fill="FFFFFF"/>
          </w:tcPr>
          <w:p w:rsidR="00192373" w:rsidRPr="0081082A" w:rsidRDefault="00192373" w:rsidP="00D01626">
            <w:pPr>
              <w:spacing w:before="0"/>
              <w:jc w:val="center"/>
              <w:rPr>
                <w:rFonts w:eastAsia="Calibri"/>
                <w:bCs/>
                <w:lang w:val="sr-Cyrl-RS"/>
              </w:rPr>
            </w:pPr>
            <w:r w:rsidRPr="0081082A">
              <w:rPr>
                <w:rFonts w:eastAsia="Calibri"/>
                <w:bCs/>
                <w:lang w:val="sr-Cyrl-RS"/>
              </w:rPr>
              <w:t>2025.</w:t>
            </w:r>
          </w:p>
        </w:tc>
      </w:tr>
      <w:tr w:rsidR="00192373" w:rsidRPr="0081082A" w:rsidTr="00D01626">
        <w:trPr>
          <w:trHeight w:val="160"/>
          <w:jc w:val="center"/>
        </w:trPr>
        <w:tc>
          <w:tcPr>
            <w:tcW w:w="1211" w:type="pct"/>
            <w:vMerge/>
            <w:shd w:val="clear" w:color="auto" w:fill="auto"/>
          </w:tcPr>
          <w:p w:rsidR="00192373" w:rsidRPr="0081082A" w:rsidRDefault="00192373" w:rsidP="00D01626">
            <w:pPr>
              <w:spacing w:before="50" w:after="50"/>
              <w:rPr>
                <w:rFonts w:eastAsia="Calibri"/>
                <w:b/>
                <w:bCs/>
                <w:lang w:val="sr-Cyrl-RS"/>
              </w:rPr>
            </w:pPr>
          </w:p>
        </w:tc>
        <w:tc>
          <w:tcPr>
            <w:tcW w:w="747" w:type="pct"/>
            <w:shd w:val="clear" w:color="auto" w:fill="FFFFFF"/>
            <w:vAlign w:val="center"/>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98"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47" w:type="pct"/>
            <w:gridSpan w:val="3"/>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46" w:type="pct"/>
            <w:gridSpan w:val="2"/>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c>
          <w:tcPr>
            <w:tcW w:w="751" w:type="pct"/>
            <w:shd w:val="clear" w:color="auto" w:fill="FFFFFF"/>
          </w:tcPr>
          <w:p w:rsidR="00192373" w:rsidRPr="0081082A" w:rsidRDefault="00192373" w:rsidP="00D01626">
            <w:pPr>
              <w:spacing w:before="50" w:after="50"/>
              <w:jc w:val="center"/>
              <w:rPr>
                <w:rFonts w:eastAsia="Calibri"/>
                <w:iCs/>
                <w:lang w:val="sr-Cyrl-RS"/>
              </w:rPr>
            </w:pPr>
            <w:r w:rsidRPr="0081082A">
              <w:rPr>
                <w:rFonts w:eastAsia="Calibri"/>
                <w:iCs/>
                <w:lang w:val="sr-Cyrl-RS"/>
              </w:rPr>
              <w:t>1</w:t>
            </w:r>
          </w:p>
        </w:tc>
      </w:tr>
      <w:tr w:rsidR="00192373" w:rsidRPr="0081082A" w:rsidTr="00D01626">
        <w:trPr>
          <w:trHeight w:val="160"/>
          <w:jc w:val="center"/>
        </w:trPr>
        <w:tc>
          <w:tcPr>
            <w:tcW w:w="1211" w:type="pct"/>
            <w:shd w:val="clear" w:color="auto" w:fill="auto"/>
          </w:tcPr>
          <w:p w:rsidR="00192373" w:rsidRPr="0081082A" w:rsidRDefault="00192373" w:rsidP="00D01626">
            <w:pPr>
              <w:spacing w:before="50" w:after="50"/>
              <w:rPr>
                <w:rFonts w:eastAsia="Calibri"/>
                <w:b/>
                <w:bCs/>
                <w:lang w:val="sr-Cyrl-RS"/>
              </w:rPr>
            </w:pPr>
            <w:r w:rsidRPr="0081082A">
              <w:rPr>
                <w:rFonts w:eastAsia="Calibri"/>
                <w:b/>
                <w:bCs/>
                <w:lang w:val="sr-Cyrl-RS"/>
              </w:rPr>
              <w:t>Процена успешности</w:t>
            </w:r>
          </w:p>
        </w:tc>
        <w:tc>
          <w:tcPr>
            <w:tcW w:w="3789" w:type="pct"/>
            <w:gridSpan w:val="9"/>
            <w:shd w:val="clear" w:color="auto" w:fill="FFFFFF"/>
            <w:vAlign w:val="center"/>
          </w:tcPr>
          <w:p w:rsidR="00192373" w:rsidRPr="0081082A" w:rsidRDefault="00192373" w:rsidP="00D01626">
            <w:pPr>
              <w:spacing w:before="50" w:after="50"/>
              <w:rPr>
                <w:rFonts w:eastAsia="Calibri"/>
                <w:iCs/>
                <w:lang w:val="sr-Cyrl-RS"/>
              </w:rPr>
            </w:pPr>
            <w:r w:rsidRPr="0081082A">
              <w:rPr>
                <w:rFonts w:eastAsia="Calibri"/>
                <w:iCs/>
                <w:lang w:val="sr-Cyrl-RS"/>
              </w:rPr>
              <w:t>Одступања нису прихватљива</w:t>
            </w:r>
          </w:p>
        </w:tc>
      </w:tr>
    </w:tbl>
    <w:p w:rsidR="00CB0D8C" w:rsidRPr="0081082A" w:rsidRDefault="00CB0D8C" w:rsidP="0089255F">
      <w:pPr>
        <w:spacing w:after="100" w:afterAutospacing="1" w:line="240" w:lineRule="auto"/>
        <w:jc w:val="both"/>
        <w:rPr>
          <w:rFonts w:ascii="Times New Roman" w:eastAsia="Calibri" w:hAnsi="Times New Roman" w:cs="Times New Roman"/>
          <w:sz w:val="24"/>
          <w:szCs w:val="24"/>
          <w:lang w:val="sr-Cyrl-RS"/>
        </w:rPr>
        <w:sectPr w:rsidR="00CB0D8C" w:rsidRPr="0081082A" w:rsidSect="005B6C61">
          <w:pgSz w:w="11906" w:h="16838"/>
          <w:pgMar w:top="1440" w:right="1440" w:bottom="1440" w:left="1440" w:header="432" w:footer="720" w:gutter="0"/>
          <w:cols w:space="720"/>
          <w:docGrid w:linePitch="360"/>
        </w:sectPr>
      </w:pPr>
    </w:p>
    <w:tbl>
      <w:tblPr>
        <w:tblStyle w:val="TableGrid"/>
        <w:tblpPr w:leftFromText="180" w:rightFromText="180" w:vertAnchor="text" w:tblpY="-991"/>
        <w:tblW w:w="12895" w:type="dxa"/>
        <w:tblLook w:val="04A0" w:firstRow="1" w:lastRow="0" w:firstColumn="1" w:lastColumn="0" w:noHBand="0" w:noVBand="1"/>
      </w:tblPr>
      <w:tblGrid>
        <w:gridCol w:w="3964"/>
        <w:gridCol w:w="4678"/>
        <w:gridCol w:w="4253"/>
      </w:tblGrid>
      <w:tr w:rsidR="002A7C09" w:rsidRPr="0081082A" w:rsidTr="00D01626">
        <w:trPr>
          <w:trHeight w:val="558"/>
        </w:trPr>
        <w:tc>
          <w:tcPr>
            <w:tcW w:w="12895" w:type="dxa"/>
            <w:gridSpan w:val="3"/>
            <w:vAlign w:val="center"/>
          </w:tcPr>
          <w:p w:rsidR="002A7C09" w:rsidRPr="0081082A" w:rsidRDefault="002A7C09" w:rsidP="002A7C09">
            <w:pPr>
              <w:pStyle w:val="Heading1"/>
              <w:pBdr>
                <w:top w:val="none" w:sz="0" w:space="0" w:color="auto"/>
                <w:left w:val="none" w:sz="0" w:space="0" w:color="auto"/>
                <w:bottom w:val="none" w:sz="0" w:space="0" w:color="auto"/>
                <w:right w:val="none" w:sz="0" w:space="0" w:color="auto"/>
              </w:pBdr>
              <w:outlineLvl w:val="0"/>
              <w:rPr>
                <w:rFonts w:ascii="Times New Roman" w:hAnsi="Times New Roman" w:cs="Times New Roman"/>
                <w:b/>
                <w:i/>
                <w:sz w:val="18"/>
                <w:szCs w:val="18"/>
                <w:lang w:val="sr-Cyrl-RS"/>
              </w:rPr>
            </w:pPr>
            <w:r w:rsidRPr="0081082A">
              <w:rPr>
                <w:rFonts w:ascii="Times New Roman" w:hAnsi="Times New Roman"/>
                <w:lang w:val="sr-Cyrl-RS"/>
              </w:rPr>
              <w:lastRenderedPageBreak/>
              <w:t>АНЕКС 4 – ЛОГИЧКА МАТРИЦА</w:t>
            </w:r>
          </w:p>
        </w:tc>
      </w:tr>
      <w:tr w:rsidR="00F95EBF" w:rsidRPr="0081082A" w:rsidTr="00F95EBF">
        <w:trPr>
          <w:trHeight w:val="558"/>
        </w:trPr>
        <w:tc>
          <w:tcPr>
            <w:tcW w:w="3964" w:type="dxa"/>
            <w:vAlign w:val="center"/>
          </w:tcPr>
          <w:p w:rsidR="00F95EBF" w:rsidRPr="0081082A" w:rsidRDefault="00F95EBF" w:rsidP="00F95EBF">
            <w:pPr>
              <w:jc w:val="cente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OПШТИ ЦИЉ</w:t>
            </w:r>
          </w:p>
        </w:tc>
        <w:tc>
          <w:tcPr>
            <w:tcW w:w="4678" w:type="dxa"/>
            <w:vAlign w:val="center"/>
          </w:tcPr>
          <w:p w:rsidR="00F95EBF" w:rsidRPr="0081082A" w:rsidRDefault="00F95EBF" w:rsidP="00F95EBF">
            <w:pPr>
              <w:jc w:val="cente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ИНДИКАТОР НА НИВОУ ОПШТЕГ ЦИЉА</w:t>
            </w:r>
          </w:p>
        </w:tc>
        <w:tc>
          <w:tcPr>
            <w:tcW w:w="4253" w:type="dxa"/>
            <w:vAlign w:val="center"/>
          </w:tcPr>
          <w:p w:rsidR="00F95EBF" w:rsidRPr="0081082A" w:rsidRDefault="00F95EBF" w:rsidP="00F95EBF">
            <w:pPr>
              <w:jc w:val="cente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ИЗВОР ВЕРИФИКАЦИЈЕ</w:t>
            </w:r>
          </w:p>
        </w:tc>
      </w:tr>
      <w:tr w:rsidR="00F95EBF" w:rsidRPr="0081082A" w:rsidTr="00D01626">
        <w:tc>
          <w:tcPr>
            <w:tcW w:w="3964" w:type="dxa"/>
          </w:tcPr>
          <w:p w:rsidR="00F95EBF" w:rsidRPr="0081082A" w:rsidRDefault="00F95EBF" w:rsidP="00C634A0">
            <w:pPr>
              <w:jc w:val="both"/>
              <w:rPr>
                <w:rFonts w:ascii="Times New Roman" w:hAnsi="Times New Roman" w:cs="Times New Roman"/>
                <w:sz w:val="18"/>
                <w:szCs w:val="18"/>
                <w:lang w:val="sr-Cyrl-RS"/>
              </w:rPr>
            </w:pPr>
            <w:r w:rsidRPr="0081082A">
              <w:rPr>
                <w:rFonts w:ascii="Times New Roman" w:hAnsi="Times New Roman" w:cs="Times New Roman"/>
                <w:sz w:val="18"/>
                <w:szCs w:val="18"/>
                <w:lang w:val="sr-Cyrl-RS"/>
              </w:rPr>
              <w:t>ОСТВАРИВАЊЕ ОДРЖИВОГ БУЏЕТА СА СТАБИЛНИМ ЈАВНИМ ДУГОМ У ОДНОСУ НА БДП УЗ ПОМОЋ БОЉЕГ ФИНАНСИЈСКОГ УПРАВЉАЊА И КОНТРОЛЕ, ПРОЦЕСА РЕВИЗИЈЕ И ПОВЕЗИВАЊA БУЏЕТСКОГ ПЛАНИРАЊА СА ПОЛИТИКАМА ВЛАДЕ</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Реални раст БДП</w:t>
            </w:r>
            <w:r w:rsidR="002E1D22" w:rsidRPr="0081082A">
              <w:rPr>
                <w:rFonts w:ascii="Times New Roman" w:hAnsi="Times New Roman" w:cs="Times New Roman"/>
                <w:sz w:val="18"/>
                <w:szCs w:val="18"/>
                <w:lang w:val="sr-Cyrl-RS"/>
              </w:rPr>
              <w:t>-a</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 Ниво дуга опште државе у БДП-у</w:t>
            </w:r>
          </w:p>
          <w:p w:rsidR="007E6F4C" w:rsidRPr="0081082A" w:rsidRDefault="007E6F4C"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3. % издвајања за капиталне инвестиције у односу на БДП.</w:t>
            </w:r>
          </w:p>
        </w:tc>
        <w:tc>
          <w:tcPr>
            <w:tcW w:w="4253" w:type="dxa"/>
          </w:tcPr>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Фискална стратегија, Програм економских реформи</w:t>
            </w: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tc>
      </w:tr>
      <w:tr w:rsidR="00F95EBF" w:rsidRPr="0081082A" w:rsidTr="00D01626">
        <w:tc>
          <w:tcPr>
            <w:tcW w:w="3964" w:type="dxa"/>
          </w:tcPr>
          <w:p w:rsidR="00F95EBF" w:rsidRPr="0081082A" w:rsidRDefault="00F95EBF" w:rsidP="00881301">
            <w:pPr>
              <w:jc w:val="cente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ПОСЕБНИ ЦИЉЕВИ</w:t>
            </w:r>
          </w:p>
        </w:tc>
        <w:tc>
          <w:tcPr>
            <w:tcW w:w="4678" w:type="dxa"/>
          </w:tcPr>
          <w:p w:rsidR="00F95EBF" w:rsidRPr="0081082A" w:rsidRDefault="00F95EBF" w:rsidP="00881301">
            <w:pPr>
              <w:jc w:val="center"/>
              <w:rPr>
                <w:rFonts w:ascii="Times New Roman" w:hAnsi="Times New Roman" w:cs="Times New Roman"/>
                <w:iCs/>
                <w:sz w:val="18"/>
                <w:szCs w:val="18"/>
                <w:lang w:val="sr-Cyrl-RS"/>
              </w:rPr>
            </w:pPr>
            <w:r w:rsidRPr="0081082A">
              <w:rPr>
                <w:rFonts w:ascii="Times New Roman" w:eastAsia="Times New Roman" w:hAnsi="Times New Roman" w:cs="Times New Roman"/>
                <w:b/>
                <w:bCs/>
                <w:iCs/>
                <w:color w:val="000000"/>
                <w:sz w:val="18"/>
                <w:szCs w:val="18"/>
                <w:lang w:val="sr-Cyrl-RS" w:eastAsia="en-GB"/>
              </w:rPr>
              <w:t>ИНДИКАТОР НА НИВОУ ПОСЕБНОГ ЦИЉА</w:t>
            </w:r>
          </w:p>
        </w:tc>
        <w:tc>
          <w:tcPr>
            <w:tcW w:w="4253" w:type="dxa"/>
          </w:tcPr>
          <w:p w:rsidR="00F95EBF" w:rsidRPr="0081082A" w:rsidRDefault="00F95EBF" w:rsidP="00881301">
            <w:pPr>
              <w:jc w:val="center"/>
              <w:rPr>
                <w:rFonts w:ascii="Times New Roman" w:hAnsi="Times New Roman" w:cs="Times New Roman"/>
                <w:iCs/>
                <w:sz w:val="18"/>
                <w:szCs w:val="18"/>
                <w:lang w:val="sr-Cyrl-RS"/>
              </w:rPr>
            </w:pPr>
            <w:r w:rsidRPr="0081082A">
              <w:rPr>
                <w:rFonts w:ascii="Times New Roman" w:hAnsi="Times New Roman" w:cs="Times New Roman"/>
                <w:b/>
                <w:iCs/>
                <w:sz w:val="18"/>
                <w:szCs w:val="18"/>
                <w:lang w:val="sr-Cyrl-RS"/>
              </w:rPr>
              <w:t>ИЗВОР ВЕРИФИКАЦИЈЕ</w:t>
            </w:r>
          </w:p>
        </w:tc>
      </w:tr>
      <w:tr w:rsidR="00F95EBF" w:rsidRPr="0081082A" w:rsidTr="00D01626">
        <w:tc>
          <w:tcPr>
            <w:tcW w:w="3964" w:type="dxa"/>
          </w:tcPr>
          <w:p w:rsidR="00C634A0" w:rsidRPr="0081082A" w:rsidRDefault="00F95EBF" w:rsidP="00C634A0">
            <w:pPr>
              <w:jc w:val="both"/>
              <w:rPr>
                <w:rFonts w:ascii="Times New Roman" w:hAnsi="Times New Roman" w:cs="Times New Roman"/>
                <w:iCs/>
                <w:sz w:val="18"/>
                <w:szCs w:val="18"/>
                <w:lang w:val="sr-Cyrl-RS"/>
              </w:rPr>
            </w:pPr>
            <w:r w:rsidRPr="0081082A">
              <w:rPr>
                <w:rFonts w:ascii="Times New Roman" w:hAnsi="Times New Roman" w:cs="Times New Roman"/>
                <w:b/>
                <w:iCs/>
                <w:sz w:val="18"/>
                <w:szCs w:val="18"/>
                <w:lang w:val="sr-Cyrl-RS"/>
              </w:rPr>
              <w:t>ПОСЕБНИ ЦИЉ I</w:t>
            </w:r>
            <w:r w:rsidRPr="0081082A">
              <w:rPr>
                <w:rFonts w:ascii="Times New Roman" w:hAnsi="Times New Roman" w:cs="Times New Roman"/>
                <w:iCs/>
                <w:sz w:val="18"/>
                <w:szCs w:val="18"/>
                <w:lang w:val="sr-Cyrl-RS"/>
              </w:rPr>
              <w:t xml:space="preserve">:  </w:t>
            </w:r>
          </w:p>
          <w:p w:rsidR="00F95EBF" w:rsidRPr="0081082A" w:rsidRDefault="00F95EBF" w:rsidP="00C634A0">
            <w:pPr>
              <w:jc w:val="both"/>
              <w:rPr>
                <w:rFonts w:ascii="Times New Roman" w:hAnsi="Times New Roman" w:cs="Times New Roman"/>
                <w:i/>
                <w:sz w:val="18"/>
                <w:szCs w:val="18"/>
                <w:lang w:val="sr-Cyrl-RS"/>
              </w:rPr>
            </w:pPr>
            <w:r w:rsidRPr="0081082A">
              <w:rPr>
                <w:rFonts w:ascii="Times New Roman" w:hAnsi="Times New Roman" w:cs="Times New Roman"/>
                <w:sz w:val="18"/>
                <w:szCs w:val="18"/>
                <w:lang w:val="sr-Cyrl-RS"/>
              </w:rPr>
              <w:t>УНАПРЕЂЕНИ КАПАЦИТЕТИ ЗА БУЏЕТСКО ПЛАНИРАЊЕ И УПРАВЉАЊЕ ЈАВНИМ ИНВЕСТИЦИЈАМА</w:t>
            </w:r>
            <w:r w:rsidR="00EE0D6A" w:rsidRPr="0081082A">
              <w:rPr>
                <w:rFonts w:ascii="Times New Roman" w:hAnsi="Times New Roman" w:cs="Times New Roman"/>
                <w:sz w:val="18"/>
                <w:szCs w:val="18"/>
                <w:lang w:val="sr-Cyrl-RS"/>
              </w:rPr>
              <w:t xml:space="preserve"> И ПРАЋЕЊЕ ФИСКАЛНИХ РИЗИКА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Информације о учинку за пружање јавних услуга</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ПЕФА Процена за Републику Србију</w:t>
            </w:r>
          </w:p>
        </w:tc>
      </w:tr>
      <w:tr w:rsidR="00F95EBF" w:rsidRPr="0081082A" w:rsidTr="00D01626">
        <w:tc>
          <w:tcPr>
            <w:tcW w:w="3964" w:type="dxa"/>
          </w:tcPr>
          <w:p w:rsidR="00C634A0" w:rsidRPr="0081082A" w:rsidRDefault="00F95EBF" w:rsidP="00C634A0">
            <w:pPr>
              <w:jc w:val="both"/>
              <w:rPr>
                <w:rFonts w:ascii="Times New Roman" w:hAnsi="Times New Roman" w:cs="Times New Roman"/>
                <w:i/>
                <w:sz w:val="18"/>
                <w:szCs w:val="18"/>
                <w:lang w:val="sr-Cyrl-RS"/>
              </w:rPr>
            </w:pPr>
            <w:r w:rsidRPr="0081082A">
              <w:rPr>
                <w:rFonts w:ascii="Times New Roman" w:hAnsi="Times New Roman" w:cs="Times New Roman"/>
                <w:b/>
                <w:iCs/>
                <w:sz w:val="18"/>
                <w:szCs w:val="18"/>
                <w:lang w:val="sr-Cyrl-RS"/>
              </w:rPr>
              <w:t>ПОСЕБНИ ЦИЉ II</w:t>
            </w:r>
            <w:r w:rsidRPr="0081082A">
              <w:rPr>
                <w:rFonts w:ascii="Times New Roman" w:hAnsi="Times New Roman" w:cs="Times New Roman"/>
                <w:iCs/>
                <w:sz w:val="18"/>
                <w:szCs w:val="18"/>
                <w:lang w:val="sr-Cyrl-RS"/>
              </w:rPr>
              <w:t>:</w:t>
            </w:r>
            <w:r w:rsidRPr="0081082A">
              <w:rPr>
                <w:rFonts w:ascii="Times New Roman" w:hAnsi="Times New Roman" w:cs="Times New Roman"/>
                <w:i/>
                <w:sz w:val="18"/>
                <w:szCs w:val="18"/>
                <w:lang w:val="sr-Cyrl-RS"/>
              </w:rPr>
              <w:t xml:space="preserve"> </w:t>
            </w:r>
          </w:p>
          <w:p w:rsidR="00F95EBF" w:rsidRPr="0081082A" w:rsidRDefault="00F95EBF" w:rsidP="00C634A0">
            <w:pPr>
              <w:jc w:val="both"/>
              <w:rPr>
                <w:rFonts w:ascii="Times New Roman" w:hAnsi="Times New Roman" w:cs="Times New Roman"/>
                <w:i/>
                <w:sz w:val="18"/>
                <w:szCs w:val="18"/>
                <w:lang w:val="sr-Cyrl-RS"/>
              </w:rPr>
            </w:pPr>
            <w:r w:rsidRPr="0081082A">
              <w:rPr>
                <w:rFonts w:ascii="Times New Roman" w:hAnsi="Times New Roman" w:cs="Times New Roman"/>
                <w:sz w:val="18"/>
                <w:szCs w:val="18"/>
                <w:lang w:val="sr-Cyrl-RS"/>
              </w:rPr>
              <w:t>ЕФИКАСНО ПРИКУПЉАЊЕ И УПРАВЉАЊЕ БУЏЕТСКИМ СРЕДСТВИМА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Стварни приходи и расходи буџета опште државе на годишњем нивоу су у опсегу 5% од пројектованих у фискалној стратегији.</w:t>
            </w:r>
          </w:p>
          <w:p w:rsidR="00F95EBF" w:rsidRPr="0081082A" w:rsidRDefault="00F95EBF" w:rsidP="00D01626">
            <w:pPr>
              <w:rPr>
                <w:rFonts w:ascii="Times New Roman" w:eastAsia="Times New Roman" w:hAnsi="Times New Roman" w:cs="Times New Roman"/>
                <w:color w:val="000000"/>
                <w:sz w:val="18"/>
                <w:szCs w:val="18"/>
                <w:lang w:val="sr-Cyrl-RS" w:eastAsia="en-GB"/>
              </w:rPr>
            </w:pPr>
            <w:r w:rsidRPr="0081082A">
              <w:rPr>
                <w:rFonts w:ascii="Times New Roman" w:hAnsi="Times New Roman" w:cs="Times New Roman"/>
                <w:sz w:val="18"/>
                <w:szCs w:val="18"/>
                <w:lang w:val="sr-Cyrl-RS"/>
              </w:rPr>
              <w:t xml:space="preserve">2. </w:t>
            </w:r>
            <w:r w:rsidRPr="0081082A">
              <w:rPr>
                <w:rFonts w:eastAsia="Times New Roman"/>
                <w:color w:val="000000"/>
                <w:sz w:val="16"/>
                <w:szCs w:val="16"/>
                <w:lang w:val="sr-Cyrl-RS" w:eastAsia="en-GB"/>
              </w:rPr>
              <w:t xml:space="preserve"> </w:t>
            </w:r>
            <w:r w:rsidRPr="0081082A">
              <w:rPr>
                <w:rFonts w:ascii="Times New Roman" w:eastAsia="Times New Roman" w:hAnsi="Times New Roman" w:cs="Times New Roman"/>
                <w:color w:val="000000"/>
                <w:sz w:val="18"/>
                <w:szCs w:val="18"/>
                <w:lang w:val="sr-Cyrl-RS" w:eastAsia="en-GB"/>
              </w:rPr>
              <w:t xml:space="preserve">Годишњи трошкови сервисирања јавног дуга (плаћања камата – нето </w:t>
            </w:r>
            <w:r w:rsidR="000A401E" w:rsidRPr="0081082A">
              <w:rPr>
                <w:rFonts w:ascii="Times New Roman" w:eastAsia="Times New Roman" w:hAnsi="Times New Roman" w:cs="Times New Roman"/>
                <w:color w:val="000000"/>
                <w:sz w:val="18"/>
                <w:szCs w:val="18"/>
                <w:lang w:val="sr-Cyrl-RS" w:eastAsia="en-GB"/>
              </w:rPr>
              <w:t>износ)</w:t>
            </w:r>
            <w:r w:rsidRPr="0081082A">
              <w:rPr>
                <w:rFonts w:ascii="Times New Roman" w:eastAsia="Times New Roman" w:hAnsi="Times New Roman" w:cs="Times New Roman"/>
                <w:color w:val="000000"/>
                <w:sz w:val="18"/>
                <w:szCs w:val="18"/>
                <w:lang w:val="sr-Cyrl-RS" w:eastAsia="en-GB"/>
              </w:rPr>
              <w:t xml:space="preserve"> као % БДП</w:t>
            </w:r>
          </w:p>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color w:val="000000"/>
                <w:sz w:val="18"/>
                <w:szCs w:val="18"/>
                <w:lang w:val="sr-Cyrl-RS" w:eastAsia="en-GB"/>
              </w:rPr>
              <w:t>3.  Просечно трајање отвореног поступка</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Фискална стратегија</w:t>
            </w:r>
          </w:p>
          <w:p w:rsidR="005564C9" w:rsidRPr="0081082A" w:rsidRDefault="005564C9" w:rsidP="00D01626">
            <w:pPr>
              <w:rPr>
                <w:rFonts w:ascii="Times New Roman" w:hAnsi="Times New Roman" w:cs="Times New Roman"/>
                <w:sz w:val="18"/>
                <w:szCs w:val="18"/>
                <w:lang w:val="sr-Cyrl-RS"/>
              </w:rPr>
            </w:pPr>
          </w:p>
          <w:p w:rsidR="00F95EBF" w:rsidRPr="0081082A" w:rsidRDefault="00F95EBF" w:rsidP="00D01626">
            <w:pPr>
              <w:rPr>
                <w:rFonts w:ascii="Times New Roman" w:eastAsia="Times New Roman" w:hAnsi="Times New Roman" w:cs="Times New Roman"/>
                <w:color w:val="000000"/>
                <w:sz w:val="18"/>
                <w:szCs w:val="18"/>
                <w:lang w:val="sr-Cyrl-RS" w:eastAsia="en-GB"/>
              </w:rPr>
            </w:pPr>
            <w:r w:rsidRPr="0081082A">
              <w:rPr>
                <w:rFonts w:ascii="Times New Roman" w:eastAsia="Times New Roman" w:hAnsi="Times New Roman" w:cs="Times New Roman"/>
                <w:color w:val="000000"/>
                <w:sz w:val="18"/>
                <w:szCs w:val="18"/>
                <w:lang w:val="sr-Cyrl-RS" w:eastAsia="en-GB"/>
              </w:rPr>
              <w:t>2. Годишњи извештај о раду Управе за јавни дуг</w:t>
            </w:r>
          </w:p>
          <w:p w:rsidR="005564C9" w:rsidRPr="0081082A" w:rsidRDefault="005564C9" w:rsidP="00D01626">
            <w:pPr>
              <w:rPr>
                <w:rFonts w:ascii="Times New Roman" w:eastAsia="Times New Roman" w:hAnsi="Times New Roman" w:cs="Times New Roman"/>
                <w:color w:val="000000"/>
                <w:sz w:val="18"/>
                <w:szCs w:val="18"/>
                <w:lang w:val="sr-Cyrl-RS" w:eastAsia="en-GB"/>
              </w:rPr>
            </w:pPr>
          </w:p>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color w:val="000000"/>
                <w:sz w:val="18"/>
                <w:szCs w:val="18"/>
                <w:lang w:val="sr-Cyrl-RS" w:eastAsia="en-GB"/>
              </w:rPr>
              <w:t xml:space="preserve">3. </w:t>
            </w:r>
            <w:r w:rsidRPr="0081082A">
              <w:rPr>
                <w:rFonts w:eastAsia="Times New Roman"/>
                <w:color w:val="000000"/>
                <w:sz w:val="16"/>
                <w:szCs w:val="16"/>
                <w:lang w:val="sr-Cyrl-RS" w:eastAsia="en-GB"/>
              </w:rPr>
              <w:t xml:space="preserve"> </w:t>
            </w:r>
            <w:r w:rsidRPr="0081082A">
              <w:rPr>
                <w:rFonts w:ascii="Times New Roman" w:eastAsia="Times New Roman" w:hAnsi="Times New Roman" w:cs="Times New Roman"/>
                <w:color w:val="000000"/>
                <w:sz w:val="18"/>
                <w:szCs w:val="18"/>
                <w:lang w:val="sr-Cyrl-RS" w:eastAsia="en-GB"/>
              </w:rPr>
              <w:t>Годишњи извештај о јавним набавкама</w:t>
            </w:r>
          </w:p>
        </w:tc>
      </w:tr>
      <w:tr w:rsidR="00F95EBF" w:rsidRPr="0081082A" w:rsidTr="00D01626">
        <w:tc>
          <w:tcPr>
            <w:tcW w:w="3964" w:type="dxa"/>
          </w:tcPr>
          <w:p w:rsidR="00C634A0" w:rsidRPr="0081082A" w:rsidRDefault="00F95EBF" w:rsidP="00C634A0">
            <w:pPr>
              <w:jc w:val="both"/>
              <w:rPr>
                <w:rFonts w:ascii="Times New Roman" w:hAnsi="Times New Roman" w:cs="Times New Roman"/>
                <w:i/>
                <w:sz w:val="18"/>
                <w:szCs w:val="18"/>
                <w:lang w:val="sr-Cyrl-RS"/>
              </w:rPr>
            </w:pPr>
            <w:r w:rsidRPr="0081082A">
              <w:rPr>
                <w:rFonts w:ascii="Times New Roman" w:hAnsi="Times New Roman" w:cs="Times New Roman"/>
                <w:b/>
                <w:iCs/>
                <w:sz w:val="18"/>
                <w:szCs w:val="18"/>
                <w:lang w:val="sr-Cyrl-RS"/>
              </w:rPr>
              <w:t>ПОСЕБНИ ЦИЉ III</w:t>
            </w:r>
            <w:r w:rsidRPr="0081082A">
              <w:rPr>
                <w:rFonts w:ascii="Times New Roman" w:hAnsi="Times New Roman" w:cs="Times New Roman"/>
                <w:iCs/>
                <w:sz w:val="18"/>
                <w:szCs w:val="18"/>
                <w:lang w:val="sr-Cyrl-RS"/>
              </w:rPr>
              <w:t>:</w:t>
            </w:r>
            <w:r w:rsidRPr="0081082A">
              <w:rPr>
                <w:rFonts w:ascii="Times New Roman" w:hAnsi="Times New Roman" w:cs="Times New Roman"/>
                <w:i/>
                <w:sz w:val="18"/>
                <w:szCs w:val="18"/>
                <w:lang w:val="sr-Cyrl-RS"/>
              </w:rPr>
              <w:t xml:space="preserve">  </w:t>
            </w:r>
          </w:p>
          <w:p w:rsidR="00F95EBF" w:rsidRPr="0081082A" w:rsidRDefault="00F95EBF" w:rsidP="00C634A0">
            <w:pPr>
              <w:jc w:val="both"/>
              <w:rPr>
                <w:rFonts w:ascii="Times New Roman" w:hAnsi="Times New Roman" w:cs="Times New Roman"/>
                <w:i/>
                <w:sz w:val="18"/>
                <w:szCs w:val="18"/>
                <w:lang w:val="sr-Cyrl-RS"/>
              </w:rPr>
            </w:pPr>
            <w:r w:rsidRPr="0081082A">
              <w:rPr>
                <w:rFonts w:ascii="Times New Roman" w:hAnsi="Times New Roman" w:cs="Times New Roman"/>
                <w:sz w:val="18"/>
                <w:szCs w:val="18"/>
                <w:lang w:val="sr-Cyrl-RS"/>
              </w:rPr>
              <w:t>УНАПРЕЂЕЊЕ БУЏЕТСКЕ ДИСЦИПЛИНЕ И ТРАНСПАРЕНТНИЈЕ КОРИШЋЕЊЕ ЈАВНИХ СРЕДСТАВА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Просечан број незаконитости и неправилности по контроли у односу на укупан број извршених контрола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2. </w:t>
            </w:r>
            <w:r w:rsidRPr="0081082A">
              <w:rPr>
                <w:rFonts w:eastAsia="Times New Roman" w:cstheme="minorHAnsi"/>
                <w:color w:val="000000"/>
                <w:sz w:val="16"/>
                <w:szCs w:val="16"/>
                <w:lang w:val="sr-Cyrl-RS" w:eastAsia="en-GB"/>
              </w:rPr>
              <w:t xml:space="preserve"> </w:t>
            </w:r>
            <w:r w:rsidRPr="0081082A">
              <w:rPr>
                <w:rFonts w:ascii="Times New Roman" w:eastAsia="Times New Roman" w:hAnsi="Times New Roman" w:cs="Times New Roman"/>
                <w:color w:val="000000"/>
                <w:sz w:val="18"/>
                <w:szCs w:val="18"/>
                <w:lang w:val="sr-Cyrl-RS" w:eastAsia="en-GB"/>
              </w:rPr>
              <w:t>Проценат прихваћених и спроведених препорука које субјектима индиректног управљања средствима ЕУ даје ревизорско тело</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Годишњи извештај о раду буџетске инспекције</w:t>
            </w:r>
          </w:p>
          <w:p w:rsidR="00DA1979" w:rsidRPr="0081082A" w:rsidRDefault="00DA1979"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2. </w:t>
            </w:r>
            <w:r w:rsidRPr="0081082A">
              <w:rPr>
                <w:rFonts w:eastAsia="Times New Roman" w:cstheme="minorHAnsi"/>
                <w:sz w:val="16"/>
                <w:szCs w:val="16"/>
                <w:lang w:val="sr-Cyrl-RS" w:eastAsia="en-GB"/>
              </w:rPr>
              <w:t xml:space="preserve"> </w:t>
            </w:r>
            <w:r w:rsidRPr="0081082A">
              <w:rPr>
                <w:rFonts w:ascii="Times New Roman" w:eastAsia="Times New Roman" w:hAnsi="Times New Roman" w:cs="Times New Roman"/>
                <w:sz w:val="18"/>
                <w:szCs w:val="18"/>
                <w:lang w:val="sr-Cyrl-RS" w:eastAsia="en-GB"/>
              </w:rPr>
              <w:t>Годишњи извештај о ревизији</w:t>
            </w:r>
          </w:p>
        </w:tc>
      </w:tr>
      <w:tr w:rsidR="00F95EBF" w:rsidRPr="0081082A" w:rsidTr="00D01626">
        <w:tc>
          <w:tcPr>
            <w:tcW w:w="3964" w:type="dxa"/>
          </w:tcPr>
          <w:p w:rsidR="00C634A0" w:rsidRPr="0081082A" w:rsidRDefault="00F95EBF" w:rsidP="00C634A0">
            <w:pPr>
              <w:jc w:val="both"/>
              <w:rPr>
                <w:rFonts w:ascii="Times New Roman" w:hAnsi="Times New Roman" w:cs="Times New Roman"/>
                <w:i/>
                <w:sz w:val="18"/>
                <w:szCs w:val="18"/>
                <w:lang w:val="sr-Cyrl-RS"/>
              </w:rPr>
            </w:pPr>
            <w:r w:rsidRPr="0081082A">
              <w:rPr>
                <w:rFonts w:ascii="Times New Roman" w:hAnsi="Times New Roman" w:cs="Times New Roman"/>
                <w:b/>
                <w:iCs/>
                <w:sz w:val="18"/>
                <w:szCs w:val="18"/>
                <w:lang w:val="sr-Cyrl-RS"/>
              </w:rPr>
              <w:t>ПОСЕБНИ ЦИЉ IV:</w:t>
            </w:r>
            <w:r w:rsidRPr="0081082A">
              <w:rPr>
                <w:rFonts w:ascii="Times New Roman" w:hAnsi="Times New Roman" w:cs="Times New Roman"/>
                <w:i/>
                <w:sz w:val="18"/>
                <w:szCs w:val="18"/>
                <w:lang w:val="sr-Cyrl-RS"/>
              </w:rPr>
              <w:t xml:space="preserve">  </w:t>
            </w:r>
          </w:p>
          <w:p w:rsidR="00F95EBF" w:rsidRPr="0081082A" w:rsidRDefault="00F95EBF" w:rsidP="00C634A0">
            <w:pPr>
              <w:jc w:val="both"/>
              <w:rPr>
                <w:rFonts w:ascii="Times New Roman" w:hAnsi="Times New Roman" w:cs="Times New Roman"/>
                <w:i/>
                <w:sz w:val="18"/>
                <w:szCs w:val="18"/>
                <w:lang w:val="sr-Cyrl-RS"/>
              </w:rPr>
            </w:pPr>
            <w:r w:rsidRPr="0081082A">
              <w:rPr>
                <w:rFonts w:ascii="Times New Roman" w:hAnsi="Times New Roman" w:cs="Times New Roman"/>
                <w:sz w:val="18"/>
                <w:szCs w:val="18"/>
                <w:lang w:val="sr-Cyrl-RS"/>
              </w:rPr>
              <w:t>УНАПРЕЂЕЊЕ ПРИМЕНЕ СИСТЕМА ИНТЕРНЕ ФИНАНСИЈСКЕ КОНТРОЛЕ У ЈАВНОМ СЕКТОРУ</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Идентификован напредак који се односи на ИФКЈ у оквиру </w:t>
            </w:r>
            <w:r w:rsidR="009024C0" w:rsidRPr="0081082A">
              <w:rPr>
                <w:rFonts w:ascii="Times New Roman" w:hAnsi="Times New Roman" w:cs="Times New Roman"/>
                <w:sz w:val="18"/>
                <w:szCs w:val="18"/>
                <w:lang w:val="sr-Cyrl-RS"/>
              </w:rPr>
              <w:t>извештаја ЕК</w:t>
            </w:r>
            <w:r w:rsidR="0040145F" w:rsidRPr="0081082A">
              <w:rPr>
                <w:rFonts w:ascii="Times New Roman" w:hAnsi="Times New Roman" w:cs="Times New Roman"/>
                <w:sz w:val="18"/>
                <w:szCs w:val="18"/>
                <w:lang w:val="sr-Cyrl-RS"/>
              </w:rPr>
              <w:t xml:space="preserve"> </w:t>
            </w:r>
            <w:r w:rsidRPr="0081082A">
              <w:rPr>
                <w:rFonts w:ascii="Times New Roman" w:hAnsi="Times New Roman" w:cs="Times New Roman"/>
                <w:sz w:val="18"/>
                <w:szCs w:val="18"/>
                <w:lang w:val="sr-Cyrl-RS"/>
              </w:rPr>
              <w:t>о напретку Републике Србије за одређену годину</w:t>
            </w:r>
          </w:p>
        </w:tc>
        <w:tc>
          <w:tcPr>
            <w:tcW w:w="4253" w:type="dxa"/>
          </w:tcPr>
          <w:p w:rsidR="00F95EBF" w:rsidRPr="0081082A" w:rsidRDefault="00BB4D2D" w:rsidP="00D01626">
            <w:pPr>
              <w:rPr>
                <w:rFonts w:ascii="Times New Roman" w:hAnsi="Times New Roman" w:cs="Times New Roman"/>
                <w:sz w:val="18"/>
                <w:szCs w:val="18"/>
                <w:lang w:val="sr-Cyrl-RS"/>
              </w:rPr>
            </w:pPr>
            <w:r>
              <w:rPr>
                <w:rFonts w:ascii="Times New Roman" w:hAnsi="Times New Roman" w:cs="Times New Roman"/>
                <w:sz w:val="18"/>
                <w:szCs w:val="18"/>
                <w:lang w:val="sr-Cyrl-RS"/>
              </w:rPr>
              <w:t>И</w:t>
            </w:r>
            <w:r w:rsidR="00F95EBF" w:rsidRPr="0081082A">
              <w:rPr>
                <w:rFonts w:ascii="Times New Roman" w:hAnsi="Times New Roman" w:cs="Times New Roman"/>
                <w:sz w:val="18"/>
                <w:szCs w:val="18"/>
                <w:lang w:val="sr-Cyrl-RS"/>
              </w:rPr>
              <w:t xml:space="preserve">звештај </w:t>
            </w:r>
            <w:r w:rsidR="0040145F" w:rsidRPr="0081082A">
              <w:rPr>
                <w:rFonts w:ascii="Times New Roman" w:hAnsi="Times New Roman" w:cs="Times New Roman"/>
                <w:sz w:val="18"/>
                <w:szCs w:val="18"/>
                <w:lang w:val="sr-Cyrl-RS"/>
              </w:rPr>
              <w:t xml:space="preserve">EK </w:t>
            </w:r>
            <w:r w:rsidR="00F95EBF" w:rsidRPr="0081082A">
              <w:rPr>
                <w:rFonts w:ascii="Times New Roman" w:hAnsi="Times New Roman" w:cs="Times New Roman"/>
                <w:sz w:val="18"/>
                <w:szCs w:val="18"/>
                <w:lang w:val="sr-Cyrl-RS"/>
              </w:rPr>
              <w:t>о Србији за одређену годину (поглавље 32)</w:t>
            </w:r>
          </w:p>
        </w:tc>
      </w:tr>
      <w:tr w:rsidR="00F95EBF" w:rsidRPr="0081082A" w:rsidTr="00C634A0">
        <w:trPr>
          <w:trHeight w:val="1833"/>
        </w:trPr>
        <w:tc>
          <w:tcPr>
            <w:tcW w:w="3964" w:type="dxa"/>
          </w:tcPr>
          <w:p w:rsidR="00C634A0" w:rsidRPr="0081082A" w:rsidRDefault="00F95EBF" w:rsidP="00C634A0">
            <w:pPr>
              <w:jc w:val="both"/>
              <w:rPr>
                <w:rFonts w:eastAsia="Times New Roman"/>
                <w:b/>
                <w:iCs/>
                <w:color w:val="365F91"/>
                <w:lang w:val="sr-Cyrl-RS" w:eastAsia="en-GB"/>
              </w:rPr>
            </w:pPr>
            <w:r w:rsidRPr="0081082A">
              <w:rPr>
                <w:rFonts w:ascii="Times New Roman" w:hAnsi="Times New Roman" w:cs="Times New Roman"/>
                <w:b/>
                <w:iCs/>
                <w:sz w:val="18"/>
                <w:szCs w:val="18"/>
                <w:lang w:val="sr-Cyrl-RS"/>
              </w:rPr>
              <w:lastRenderedPageBreak/>
              <w:t>ПОСЕБНИ ЦИЉ V</w:t>
            </w:r>
            <w:r w:rsidRPr="0081082A">
              <w:rPr>
                <w:rFonts w:ascii="Times New Roman" w:hAnsi="Times New Roman" w:cs="Times New Roman"/>
                <w:iCs/>
                <w:sz w:val="18"/>
                <w:szCs w:val="18"/>
                <w:lang w:val="sr-Cyrl-RS"/>
              </w:rPr>
              <w:t xml:space="preserve">: </w:t>
            </w:r>
            <w:r w:rsidRPr="0081082A">
              <w:rPr>
                <w:rFonts w:eastAsia="Times New Roman"/>
                <w:b/>
                <w:iCs/>
                <w:color w:val="365F91"/>
                <w:lang w:val="sr-Cyrl-RS" w:eastAsia="en-GB"/>
              </w:rPr>
              <w:t xml:space="preserve"> </w:t>
            </w:r>
          </w:p>
          <w:p w:rsidR="00F95EBF" w:rsidRPr="0081082A" w:rsidRDefault="00F95EBF" w:rsidP="00C634A0">
            <w:pPr>
              <w:jc w:val="both"/>
              <w:rPr>
                <w:rFonts w:ascii="Times New Roman" w:hAnsi="Times New Roman" w:cs="Times New Roman"/>
                <w:iCs/>
                <w:sz w:val="18"/>
                <w:szCs w:val="18"/>
                <w:lang w:val="sr-Cyrl-RS"/>
              </w:rPr>
            </w:pPr>
            <w:r w:rsidRPr="0081082A">
              <w:rPr>
                <w:rFonts w:ascii="Times New Roman" w:hAnsi="Times New Roman" w:cs="Times New Roman"/>
                <w:iCs/>
                <w:sz w:val="18"/>
                <w:szCs w:val="18"/>
                <w:lang w:val="sr-Cyrl-RS"/>
              </w:rPr>
              <w:t xml:space="preserve">УНАПРЕЂЕНО РАЧУНОВОДСТВО У ЈАВНОМ </w:t>
            </w:r>
            <w:r w:rsidR="000A401E" w:rsidRPr="0081082A">
              <w:rPr>
                <w:rFonts w:ascii="Times New Roman" w:hAnsi="Times New Roman" w:cs="Times New Roman"/>
                <w:iCs/>
                <w:sz w:val="18"/>
                <w:szCs w:val="18"/>
                <w:lang w:val="sr-Cyrl-RS"/>
              </w:rPr>
              <w:t>СЕКТОРУ ПРИМЕНОМ</w:t>
            </w:r>
            <w:r w:rsidRPr="0081082A">
              <w:rPr>
                <w:rFonts w:ascii="Times New Roman" w:hAnsi="Times New Roman" w:cs="Times New Roman"/>
                <w:iCs/>
                <w:sz w:val="18"/>
                <w:szCs w:val="18"/>
                <w:lang w:val="sr-Cyrl-RS"/>
              </w:rPr>
              <w:t xml:space="preserve"> МЕЂУНАРОДНИХ РАЧУНОВОДСТВЕНИХ СТАНДАРДА ЗА ЈАВНИ СЕКТОР (</w:t>
            </w:r>
            <w:r w:rsidR="00C634A0" w:rsidRPr="0081082A">
              <w:rPr>
                <w:rFonts w:ascii="Times New Roman" w:hAnsi="Times New Roman" w:cs="Times New Roman"/>
                <w:i/>
                <w:sz w:val="18"/>
                <w:szCs w:val="18"/>
                <w:lang w:val="sr-Cyrl-RS"/>
              </w:rPr>
              <w:t>IPSAS</w:t>
            </w:r>
            <w:r w:rsidRPr="0081082A">
              <w:rPr>
                <w:rFonts w:ascii="Times New Roman" w:hAnsi="Times New Roman" w:cs="Times New Roman"/>
                <w:iCs/>
                <w:sz w:val="18"/>
                <w:szCs w:val="18"/>
                <w:lang w:val="sr-Cyrl-RS"/>
              </w:rPr>
              <w:t xml:space="preserve">)  </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Финансијски извештај припремљен и </w:t>
            </w:r>
            <w:r w:rsidR="000A401E" w:rsidRPr="0081082A">
              <w:rPr>
                <w:rFonts w:ascii="Times New Roman" w:hAnsi="Times New Roman" w:cs="Times New Roman"/>
                <w:sz w:val="18"/>
                <w:szCs w:val="18"/>
                <w:lang w:val="sr-Cyrl-RS"/>
              </w:rPr>
              <w:t>презентован Министарству</w:t>
            </w:r>
            <w:r w:rsidRPr="0081082A">
              <w:rPr>
                <w:rFonts w:ascii="Times New Roman" w:hAnsi="Times New Roman" w:cs="Times New Roman"/>
                <w:sz w:val="18"/>
                <w:szCs w:val="18"/>
                <w:lang w:val="sr-Cyrl-RS"/>
              </w:rPr>
              <w:t xml:space="preserve"> финансија Републике Србије у складу са </w:t>
            </w:r>
            <w:r w:rsidR="000A401E" w:rsidRPr="0081082A">
              <w:rPr>
                <w:rFonts w:ascii="Times New Roman" w:hAnsi="Times New Roman" w:cs="Times New Roman"/>
                <w:sz w:val="18"/>
                <w:szCs w:val="18"/>
                <w:lang w:val="sr-Cyrl-RS"/>
              </w:rPr>
              <w:t xml:space="preserve">захтевима </w:t>
            </w:r>
            <w:r w:rsidR="000A401E" w:rsidRPr="0081082A">
              <w:rPr>
                <w:rFonts w:ascii="Times New Roman" w:hAnsi="Times New Roman" w:cs="Times New Roman"/>
                <w:i/>
                <w:iCs/>
                <w:sz w:val="18"/>
                <w:szCs w:val="18"/>
                <w:lang w:val="sr-Cyrl-RS"/>
              </w:rPr>
              <w:t>IPSAS</w:t>
            </w:r>
            <w:r w:rsidRPr="0081082A">
              <w:rPr>
                <w:rFonts w:ascii="Times New Roman" w:hAnsi="Times New Roman" w:cs="Times New Roman"/>
                <w:sz w:val="18"/>
                <w:szCs w:val="18"/>
                <w:lang w:val="sr-Cyrl-RS"/>
              </w:rPr>
              <w:t xml:space="preserve"> за готовинску основу</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Сајт Управе за трезор</w:t>
            </w:r>
          </w:p>
        </w:tc>
      </w:tr>
      <w:tr w:rsidR="00F95EBF" w:rsidRPr="0081082A" w:rsidTr="00D938D4">
        <w:trPr>
          <w:trHeight w:val="983"/>
        </w:trPr>
        <w:tc>
          <w:tcPr>
            <w:tcW w:w="3964" w:type="dxa"/>
          </w:tcPr>
          <w:p w:rsidR="00C634A0" w:rsidRPr="0081082A" w:rsidRDefault="00F95EBF" w:rsidP="00D01626">
            <w:pPr>
              <w:rPr>
                <w:rFonts w:ascii="Times New Roman" w:hAnsi="Times New Roman" w:cs="Times New Roman"/>
                <w:iCs/>
                <w:sz w:val="18"/>
                <w:szCs w:val="18"/>
                <w:lang w:val="sr-Cyrl-RS"/>
              </w:rPr>
            </w:pPr>
            <w:r w:rsidRPr="0081082A">
              <w:rPr>
                <w:rFonts w:ascii="Times New Roman" w:hAnsi="Times New Roman" w:cs="Times New Roman"/>
                <w:b/>
                <w:iCs/>
                <w:sz w:val="18"/>
                <w:szCs w:val="18"/>
                <w:lang w:val="sr-Cyrl-RS"/>
              </w:rPr>
              <w:t>ПОСЕБНИ ЦИЉ VI</w:t>
            </w:r>
            <w:r w:rsidRPr="0081082A">
              <w:rPr>
                <w:rFonts w:ascii="Times New Roman" w:hAnsi="Times New Roman" w:cs="Times New Roman"/>
                <w:iCs/>
                <w:sz w:val="18"/>
                <w:szCs w:val="18"/>
                <w:lang w:val="sr-Cyrl-RS"/>
              </w:rPr>
              <w:t xml:space="preserve">: </w:t>
            </w:r>
          </w:p>
          <w:p w:rsidR="00F95EBF" w:rsidRPr="0081082A" w:rsidRDefault="00F95EBF" w:rsidP="00D01626">
            <w:pPr>
              <w:rPr>
                <w:rStyle w:val="SubtleEmphasis"/>
                <w:iCs w:val="0"/>
                <w:lang w:val="sr-Cyrl-RS"/>
              </w:rPr>
            </w:pPr>
            <w:r w:rsidRPr="0081082A">
              <w:rPr>
                <w:rFonts w:ascii="Times New Roman" w:hAnsi="Times New Roman" w:cs="Times New Roman"/>
                <w:iCs/>
                <w:sz w:val="18"/>
                <w:szCs w:val="18"/>
                <w:lang w:val="sr-Cyrl-RS"/>
              </w:rPr>
              <w:t xml:space="preserve">ЈАЧАЊЕ СПОЉНОГ НАДЗОРА НАД ЈАВНИМ ФИНАНСИЈАМА  </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color w:val="000000"/>
                <w:sz w:val="18"/>
                <w:szCs w:val="18"/>
                <w:lang w:val="sr-Cyrl-RS" w:eastAsia="en-GB"/>
              </w:rPr>
              <w:t>Број разматраних извештаја о ревизији</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color w:val="000000"/>
                <w:sz w:val="18"/>
                <w:szCs w:val="18"/>
                <w:lang w:val="sr-Cyrl-RS" w:eastAsia="en-GB"/>
              </w:rPr>
              <w:t>Извештаји Одбора/Записници са седница Одбора</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НАЗИВ МЕРЕ</w:t>
            </w:r>
          </w:p>
        </w:tc>
        <w:tc>
          <w:tcPr>
            <w:tcW w:w="4678" w:type="dxa"/>
          </w:tcPr>
          <w:p w:rsidR="00F95EBF" w:rsidRPr="0081082A" w:rsidRDefault="00F95EBF" w:rsidP="00D01626">
            <w:pPr>
              <w:rPr>
                <w:rFonts w:ascii="Times New Roman" w:hAnsi="Times New Roman" w:cs="Times New Roman"/>
                <w:b/>
                <w:i/>
                <w:sz w:val="18"/>
                <w:szCs w:val="18"/>
                <w:lang w:val="sr-Cyrl-RS"/>
              </w:rPr>
            </w:pPr>
            <w:r w:rsidRPr="0081082A">
              <w:rPr>
                <w:rFonts w:ascii="Times New Roman" w:hAnsi="Times New Roman" w:cs="Times New Roman"/>
                <w:b/>
                <w:i/>
                <w:sz w:val="18"/>
                <w:szCs w:val="18"/>
                <w:lang w:val="sr-Cyrl-RS"/>
              </w:rPr>
              <w:t>ИНДИКАТОРИ НА НИВОУ МЕРЕ</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b/>
                <w:i/>
                <w:sz w:val="18"/>
                <w:szCs w:val="18"/>
                <w:lang w:val="sr-Cyrl-RS"/>
              </w:rPr>
              <w:t>ИЗВОР ВЕРИФИКАЦИЈЕ</w:t>
            </w:r>
          </w:p>
        </w:tc>
      </w:tr>
      <w:tr w:rsidR="00F95EBF" w:rsidRPr="0081082A" w:rsidTr="00D01626">
        <w:tc>
          <w:tcPr>
            <w:tcW w:w="3964" w:type="dxa"/>
          </w:tcPr>
          <w:p w:rsidR="00F95EBF" w:rsidRPr="0081082A" w:rsidRDefault="00F95EBF" w:rsidP="00D01626">
            <w:pPr>
              <w:rPr>
                <w:rFonts w:ascii="Times New Roman" w:hAnsi="Times New Roman" w:cs="Times New Roman"/>
                <w:iCs/>
                <w:sz w:val="18"/>
                <w:szCs w:val="18"/>
                <w:lang w:val="sr-Cyrl-RS"/>
              </w:rPr>
            </w:pPr>
            <w:r w:rsidRPr="0081082A">
              <w:rPr>
                <w:rFonts w:ascii="Times New Roman" w:hAnsi="Times New Roman" w:cs="Times New Roman"/>
                <w:b/>
                <w:iCs/>
                <w:sz w:val="18"/>
                <w:szCs w:val="18"/>
                <w:lang w:val="sr-Cyrl-RS"/>
              </w:rPr>
              <w:t>Мера 1.1</w:t>
            </w:r>
            <w:r w:rsidRPr="0081082A">
              <w:rPr>
                <w:rFonts w:ascii="Times New Roman" w:hAnsi="Times New Roman" w:cs="Times New Roman"/>
                <w:iCs/>
                <w:sz w:val="18"/>
                <w:szCs w:val="18"/>
                <w:lang w:val="sr-Cyrl-RS"/>
              </w:rPr>
              <w:t>: Унапређење програмског буџета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Израђена анализа примене програмског буџета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 Израђена анализа униформне структуре програмског буџета јединица локалне самоуправе</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3. Утврђена униформна програмска структура за организације обавезног социјалног осигурања и њихове кориснике</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Израђена анализа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 Израђена анализа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3. Закон о буџету</w:t>
            </w:r>
          </w:p>
          <w:p w:rsidR="00F95EBF" w:rsidRPr="0081082A" w:rsidRDefault="00F95EBF" w:rsidP="00D01626">
            <w:pPr>
              <w:rPr>
                <w:rFonts w:ascii="Times New Roman" w:hAnsi="Times New Roman" w:cs="Times New Roman"/>
                <w:sz w:val="18"/>
                <w:szCs w:val="18"/>
                <w:lang w:val="sr-Cyrl-RS"/>
              </w:rPr>
            </w:pPr>
          </w:p>
        </w:tc>
      </w:tr>
      <w:tr w:rsidR="00F95EBF" w:rsidRPr="0081082A" w:rsidTr="00D01626">
        <w:tc>
          <w:tcPr>
            <w:tcW w:w="3964" w:type="dxa"/>
          </w:tcPr>
          <w:p w:rsidR="00F95EBF" w:rsidRPr="0081082A" w:rsidRDefault="00F95EBF" w:rsidP="00D01626">
            <w:pPr>
              <w:rPr>
                <w:rFonts w:ascii="Times New Roman" w:hAnsi="Times New Roman" w:cs="Times New Roman"/>
                <w:iCs/>
                <w:sz w:val="18"/>
                <w:szCs w:val="18"/>
                <w:lang w:val="sr-Cyrl-RS"/>
              </w:rPr>
            </w:pPr>
            <w:r w:rsidRPr="0081082A">
              <w:rPr>
                <w:rFonts w:ascii="Times New Roman" w:hAnsi="Times New Roman" w:cs="Times New Roman"/>
                <w:b/>
                <w:iCs/>
                <w:sz w:val="18"/>
                <w:szCs w:val="18"/>
                <w:lang w:val="sr-Cyrl-RS"/>
              </w:rPr>
              <w:t>Мера 1.2</w:t>
            </w:r>
            <w:r w:rsidRPr="0081082A">
              <w:rPr>
                <w:rFonts w:ascii="Times New Roman" w:hAnsi="Times New Roman" w:cs="Times New Roman"/>
                <w:iCs/>
                <w:sz w:val="18"/>
                <w:szCs w:val="18"/>
                <w:lang w:val="sr-Cyrl-RS"/>
              </w:rPr>
              <w:t>: Унапређење капацитета у вези припреме и обавеза земаља чланица ЕУ током процеса припреме буџета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Израђена анализа процеса припреме буџета земаља чланица ЕУ</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  Број студијских посета</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Израђена анализа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Извештај са студијских посета</w:t>
            </w:r>
          </w:p>
          <w:p w:rsidR="00F95EBF" w:rsidRPr="0081082A" w:rsidRDefault="00F95EBF" w:rsidP="00D01626">
            <w:pPr>
              <w:rPr>
                <w:rFonts w:ascii="Times New Roman" w:hAnsi="Times New Roman" w:cs="Times New Roman"/>
                <w:sz w:val="18"/>
                <w:szCs w:val="18"/>
                <w:lang w:val="sr-Cyrl-RS"/>
              </w:rPr>
            </w:pPr>
          </w:p>
        </w:tc>
      </w:tr>
      <w:tr w:rsidR="00F95EBF" w:rsidRPr="0081082A" w:rsidTr="00D01626">
        <w:tc>
          <w:tcPr>
            <w:tcW w:w="3964" w:type="dxa"/>
          </w:tcPr>
          <w:p w:rsidR="00F95EBF" w:rsidRPr="0081082A" w:rsidRDefault="00F95EBF" w:rsidP="00D01626">
            <w:pPr>
              <w:rPr>
                <w:rFonts w:ascii="Times New Roman" w:hAnsi="Times New Roman" w:cs="Times New Roman"/>
                <w:iCs/>
                <w:sz w:val="18"/>
                <w:szCs w:val="18"/>
                <w:lang w:val="sr-Cyrl-RS"/>
              </w:rPr>
            </w:pPr>
            <w:r w:rsidRPr="0081082A">
              <w:rPr>
                <w:rFonts w:ascii="Times New Roman" w:hAnsi="Times New Roman" w:cs="Times New Roman"/>
                <w:b/>
                <w:iCs/>
                <w:sz w:val="18"/>
                <w:szCs w:val="18"/>
                <w:lang w:val="sr-Cyrl-RS"/>
              </w:rPr>
              <w:t>Мера 1.3</w:t>
            </w:r>
            <w:r w:rsidRPr="0081082A">
              <w:rPr>
                <w:rFonts w:ascii="Times New Roman" w:hAnsi="Times New Roman" w:cs="Times New Roman"/>
                <w:iCs/>
                <w:sz w:val="18"/>
                <w:szCs w:val="18"/>
                <w:lang w:val="sr-Cyrl-RS"/>
              </w:rPr>
              <w:t>: Унапређење средњорочног планирања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Број усвојених и средњорочних планова обвезника средњорочног планирања на републичком нивоу</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Интернет странице обвезника средњорочног планирања</w:t>
            </w:r>
          </w:p>
        </w:tc>
      </w:tr>
      <w:tr w:rsidR="00F95EBF" w:rsidRPr="0081082A" w:rsidTr="00D01626">
        <w:tc>
          <w:tcPr>
            <w:tcW w:w="3964" w:type="dxa"/>
          </w:tcPr>
          <w:p w:rsidR="00F95EBF" w:rsidRPr="0081082A" w:rsidRDefault="00F95EBF" w:rsidP="00D01626">
            <w:pPr>
              <w:rPr>
                <w:rFonts w:ascii="Times New Roman" w:hAnsi="Times New Roman" w:cs="Times New Roman"/>
                <w:iCs/>
                <w:sz w:val="18"/>
                <w:szCs w:val="18"/>
                <w:lang w:val="sr-Cyrl-RS"/>
              </w:rPr>
            </w:pPr>
            <w:r w:rsidRPr="0081082A">
              <w:rPr>
                <w:rFonts w:ascii="Times New Roman" w:hAnsi="Times New Roman" w:cs="Times New Roman"/>
                <w:b/>
                <w:iCs/>
                <w:sz w:val="18"/>
                <w:szCs w:val="18"/>
                <w:lang w:val="sr-Cyrl-RS"/>
              </w:rPr>
              <w:t>Мера 1.4</w:t>
            </w:r>
            <w:r w:rsidRPr="0081082A">
              <w:rPr>
                <w:rFonts w:ascii="Times New Roman" w:hAnsi="Times New Roman" w:cs="Times New Roman"/>
                <w:iCs/>
                <w:sz w:val="18"/>
                <w:szCs w:val="18"/>
                <w:lang w:val="sr-Cyrl-RS"/>
              </w:rPr>
              <w:t>: Унапређење окружења за ефикасно управљање капиталним пројектима и праћење фискалних ризика</w:t>
            </w:r>
          </w:p>
        </w:tc>
        <w:tc>
          <w:tcPr>
            <w:tcW w:w="4678" w:type="dxa"/>
          </w:tcPr>
          <w:p w:rsidR="00F95EBF" w:rsidRPr="0081082A" w:rsidRDefault="00F95EBF" w:rsidP="00D01626">
            <w:pPr>
              <w:rPr>
                <w:rFonts w:ascii="Times New Roman" w:eastAsia="Times New Roman" w:hAnsi="Times New Roman" w:cs="Times New Roman"/>
                <w:sz w:val="18"/>
                <w:szCs w:val="18"/>
                <w:lang w:val="sr-Cyrl-RS" w:eastAsia="en-GB"/>
              </w:rPr>
            </w:pPr>
            <w:r w:rsidRPr="0081082A">
              <w:rPr>
                <w:rFonts w:eastAsia="Times New Roman"/>
                <w:sz w:val="16"/>
                <w:szCs w:val="16"/>
                <w:lang w:val="sr-Cyrl-RS" w:eastAsia="en-GB"/>
              </w:rPr>
              <w:t>1</w:t>
            </w:r>
            <w:r w:rsidRPr="0081082A">
              <w:rPr>
                <w:rFonts w:ascii="Times New Roman" w:eastAsia="Times New Roman" w:hAnsi="Times New Roman" w:cs="Times New Roman"/>
                <w:sz w:val="18"/>
                <w:szCs w:val="18"/>
                <w:lang w:val="sr-Cyrl-RS" w:eastAsia="en-GB"/>
              </w:rPr>
              <w:t>.  Капитални</w:t>
            </w:r>
            <w:r w:rsidR="007154A8">
              <w:rPr>
                <w:rFonts w:ascii="Times New Roman" w:eastAsia="Times New Roman" w:hAnsi="Times New Roman" w:cs="Times New Roman"/>
                <w:sz w:val="18"/>
                <w:szCs w:val="18"/>
                <w:lang w:val="sr-Cyrl-RS" w:eastAsia="en-GB"/>
              </w:rPr>
              <w:t xml:space="preserve"> пројекти који нису прошли пред</w:t>
            </w:r>
            <w:r w:rsidRPr="0081082A">
              <w:rPr>
                <w:rFonts w:ascii="Times New Roman" w:eastAsia="Times New Roman" w:hAnsi="Times New Roman" w:cs="Times New Roman"/>
                <w:sz w:val="18"/>
                <w:szCs w:val="18"/>
                <w:lang w:val="sr-Cyrl-RS" w:eastAsia="en-GB"/>
              </w:rPr>
              <w:t xml:space="preserve">имплементациону фазу сходно методологији, а укључени </w:t>
            </w:r>
            <w:r w:rsidR="002254EC">
              <w:rPr>
                <w:rFonts w:ascii="Times New Roman" w:eastAsia="Times New Roman" w:hAnsi="Times New Roman" w:cs="Times New Roman"/>
                <w:sz w:val="18"/>
                <w:szCs w:val="18"/>
                <w:lang w:val="sr-Cyrl-RS" w:eastAsia="en-GB"/>
              </w:rPr>
              <w:t>су у буџет Републике</w:t>
            </w:r>
            <w:r w:rsidRPr="0081082A">
              <w:rPr>
                <w:rFonts w:ascii="Times New Roman" w:eastAsia="Times New Roman" w:hAnsi="Times New Roman" w:cs="Times New Roman"/>
                <w:sz w:val="18"/>
                <w:szCs w:val="18"/>
                <w:lang w:val="sr-Cyrl-RS" w:eastAsia="en-GB"/>
              </w:rPr>
              <w:t xml:space="preserve"> Србије, а нису проглашени пројектима од посебног значаја за Р</w:t>
            </w:r>
            <w:r w:rsidR="00981CD6">
              <w:rPr>
                <w:rFonts w:ascii="Times New Roman" w:eastAsia="Times New Roman" w:hAnsi="Times New Roman" w:cs="Times New Roman"/>
                <w:sz w:val="18"/>
                <w:szCs w:val="18"/>
                <w:lang w:val="sr-Cyrl-RS" w:eastAsia="en-GB"/>
              </w:rPr>
              <w:t xml:space="preserve">епублику </w:t>
            </w:r>
            <w:r w:rsidRPr="0081082A">
              <w:rPr>
                <w:rFonts w:ascii="Times New Roman" w:eastAsia="Times New Roman" w:hAnsi="Times New Roman" w:cs="Times New Roman"/>
                <w:sz w:val="18"/>
                <w:szCs w:val="18"/>
                <w:lang w:val="sr-Cyrl-RS" w:eastAsia="en-GB"/>
              </w:rPr>
              <w:t>С</w:t>
            </w:r>
            <w:r w:rsidR="00981CD6">
              <w:rPr>
                <w:rFonts w:ascii="Times New Roman" w:eastAsia="Times New Roman" w:hAnsi="Times New Roman" w:cs="Times New Roman"/>
                <w:sz w:val="18"/>
                <w:szCs w:val="18"/>
                <w:lang w:val="sr-Cyrl-RS" w:eastAsia="en-GB"/>
              </w:rPr>
              <w:t>рбију</w:t>
            </w:r>
            <w:r w:rsidRPr="0081082A">
              <w:rPr>
                <w:rFonts w:ascii="Times New Roman" w:eastAsia="Times New Roman" w:hAnsi="Times New Roman" w:cs="Times New Roman"/>
                <w:sz w:val="18"/>
                <w:szCs w:val="18"/>
                <w:lang w:val="sr-Cyrl-RS" w:eastAsia="en-GB"/>
              </w:rPr>
              <w:t xml:space="preserve"> (где су ресорна министарства у својству овлашћених предлагача)</w:t>
            </w:r>
          </w:p>
          <w:p w:rsidR="00F95EBF" w:rsidRPr="0081082A" w:rsidRDefault="00F95EBF" w:rsidP="00D01626">
            <w:pPr>
              <w:rPr>
                <w:rFonts w:ascii="Times New Roman" w:eastAsia="Times New Roman" w:hAnsi="Times New Roman" w:cs="Times New Roman"/>
                <w:sz w:val="18"/>
                <w:szCs w:val="18"/>
                <w:lang w:val="sr-Cyrl-RS" w:eastAsia="en-GB"/>
              </w:rPr>
            </w:pPr>
            <w:r w:rsidRPr="0081082A">
              <w:rPr>
                <w:rFonts w:ascii="Times New Roman" w:eastAsia="Times New Roman" w:hAnsi="Times New Roman" w:cs="Times New Roman"/>
                <w:sz w:val="18"/>
                <w:szCs w:val="18"/>
                <w:lang w:val="sr-Cyrl-RS" w:eastAsia="en-GB"/>
              </w:rPr>
              <w:t>2.  Обучени државни службеници из јединица за управљање пројектима на нивоу ресорних министарстава и других институција</w:t>
            </w:r>
          </w:p>
        </w:tc>
        <w:tc>
          <w:tcPr>
            <w:tcW w:w="4253" w:type="dxa"/>
          </w:tcPr>
          <w:p w:rsidR="00F95EBF" w:rsidRPr="0081082A" w:rsidRDefault="00F95EBF" w:rsidP="00D01626">
            <w:pPr>
              <w:rPr>
                <w:rFonts w:ascii="Times New Roman" w:hAnsi="Times New Roman"/>
                <w:sz w:val="18"/>
                <w:szCs w:val="18"/>
                <w:lang w:val="sr-Cyrl-RS"/>
              </w:rPr>
            </w:pPr>
            <w:r w:rsidRPr="0081082A">
              <w:rPr>
                <w:rFonts w:ascii="Times New Roman" w:hAnsi="Times New Roman"/>
                <w:sz w:val="18"/>
                <w:szCs w:val="18"/>
                <w:lang w:val="sr-Cyrl-RS"/>
              </w:rPr>
              <w:t>1. Закон о буџету/Извештај за РККИ</w:t>
            </w:r>
          </w:p>
          <w:p w:rsidR="00F95EBF" w:rsidRPr="0081082A" w:rsidRDefault="00F95EBF" w:rsidP="00D01626">
            <w:pPr>
              <w:rPr>
                <w:rFonts w:ascii="Times New Roman" w:hAnsi="Times New Roman"/>
                <w:sz w:val="18"/>
                <w:szCs w:val="18"/>
                <w:lang w:val="sr-Cyrl-RS"/>
              </w:rPr>
            </w:pPr>
            <w:r w:rsidRPr="0081082A">
              <w:rPr>
                <w:rFonts w:ascii="Times New Roman" w:hAnsi="Times New Roman"/>
                <w:sz w:val="18"/>
                <w:szCs w:val="18"/>
                <w:lang w:val="sr-Cyrl-RS"/>
              </w:rPr>
              <w:t>2.  Извештај о одржаним радионицама - НАЈУ</w:t>
            </w:r>
          </w:p>
        </w:tc>
      </w:tr>
      <w:tr w:rsidR="00F95EBF" w:rsidRPr="0081082A" w:rsidTr="00D01626">
        <w:tc>
          <w:tcPr>
            <w:tcW w:w="3964" w:type="dxa"/>
          </w:tcPr>
          <w:p w:rsidR="00F95EBF" w:rsidRPr="0081082A" w:rsidRDefault="00F95EBF" w:rsidP="00D01626">
            <w:pPr>
              <w:rPr>
                <w:rFonts w:ascii="Times New Roman" w:hAnsi="Times New Roman" w:cs="Times New Roman"/>
                <w:iCs/>
                <w:sz w:val="18"/>
                <w:szCs w:val="18"/>
                <w:lang w:val="sr-Cyrl-RS"/>
              </w:rPr>
            </w:pPr>
            <w:r w:rsidRPr="0081082A">
              <w:rPr>
                <w:rFonts w:ascii="Times New Roman" w:hAnsi="Times New Roman" w:cs="Times New Roman"/>
                <w:b/>
                <w:iCs/>
                <w:sz w:val="18"/>
                <w:szCs w:val="18"/>
                <w:lang w:val="sr-Cyrl-RS"/>
              </w:rPr>
              <w:t>Мера 1.5</w:t>
            </w:r>
            <w:r w:rsidRPr="0081082A">
              <w:rPr>
                <w:rFonts w:ascii="Times New Roman" w:hAnsi="Times New Roman" w:cs="Times New Roman"/>
                <w:iCs/>
                <w:sz w:val="18"/>
                <w:szCs w:val="18"/>
                <w:lang w:val="sr-Cyrl-RS"/>
              </w:rPr>
              <w:t xml:space="preserve">: Јачање капацитета Сектора за </w:t>
            </w:r>
            <w:r w:rsidRPr="0081082A">
              <w:rPr>
                <w:rFonts w:ascii="Times New Roman" w:hAnsi="Times New Roman" w:cs="Times New Roman"/>
                <w:iCs/>
                <w:sz w:val="18"/>
                <w:szCs w:val="18"/>
                <w:lang w:val="sr-Cyrl-RS"/>
              </w:rPr>
              <w:lastRenderedPageBreak/>
              <w:t>праћење фискалних ризика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lastRenderedPageBreak/>
              <w:t xml:space="preserve">1. Попуњена систематизована радна места у Сектору за </w:t>
            </w:r>
            <w:r w:rsidRPr="0081082A">
              <w:rPr>
                <w:rFonts w:ascii="Times New Roman" w:hAnsi="Times New Roman" w:cs="Times New Roman"/>
                <w:sz w:val="18"/>
                <w:szCs w:val="18"/>
                <w:lang w:val="sr-Cyrl-RS"/>
              </w:rPr>
              <w:lastRenderedPageBreak/>
              <w:t xml:space="preserve">праћење фискалних ризика  </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w:t>
            </w:r>
            <w:r w:rsidRPr="0081082A">
              <w:rPr>
                <w:rFonts w:ascii="Times New Roman" w:hAnsi="Times New Roman" w:cs="Times New Roman"/>
                <w:lang w:val="sr-Cyrl-RS"/>
              </w:rPr>
              <w:t xml:space="preserve"> </w:t>
            </w:r>
            <w:r w:rsidRPr="0081082A">
              <w:rPr>
                <w:rFonts w:eastAsia="Times New Roman"/>
                <w:color w:val="000000"/>
                <w:sz w:val="16"/>
                <w:szCs w:val="16"/>
                <w:lang w:val="sr-Cyrl-RS" w:eastAsia="en-GB"/>
              </w:rPr>
              <w:t xml:space="preserve"> </w:t>
            </w:r>
            <w:r w:rsidRPr="0081082A">
              <w:rPr>
                <w:rFonts w:ascii="Times New Roman" w:eastAsia="Times New Roman" w:hAnsi="Times New Roman" w:cs="Times New Roman"/>
                <w:color w:val="000000"/>
                <w:sz w:val="18"/>
                <w:szCs w:val="18"/>
                <w:lang w:val="sr-Cyrl-RS" w:eastAsia="en-GB"/>
              </w:rPr>
              <w:t>Обучени запослени у Сектору за праћење фискалних ризика</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lastRenderedPageBreak/>
              <w:t>1. Информатор о раду Министарства финансија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lastRenderedPageBreak/>
              <w:t xml:space="preserve">2. Извештај о спроведеним обукама </w:t>
            </w:r>
          </w:p>
          <w:p w:rsidR="00F95EBF" w:rsidRPr="0081082A" w:rsidRDefault="00F95EBF" w:rsidP="00D01626">
            <w:pPr>
              <w:rPr>
                <w:rFonts w:ascii="Times New Roman" w:hAnsi="Times New Roman" w:cs="Times New Roman"/>
                <w:sz w:val="18"/>
                <w:szCs w:val="18"/>
                <w:lang w:val="sr-Cyrl-RS"/>
              </w:rPr>
            </w:pPr>
          </w:p>
        </w:tc>
      </w:tr>
      <w:tr w:rsidR="00F95EBF" w:rsidRPr="0081082A" w:rsidTr="001C1F82">
        <w:trPr>
          <w:trHeight w:val="735"/>
        </w:trPr>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lastRenderedPageBreak/>
              <w:t>Мера 2.1:</w:t>
            </w:r>
            <w:r w:rsidRPr="0081082A">
              <w:rPr>
                <w:rFonts w:ascii="Times New Roman" w:hAnsi="Times New Roman" w:cs="Times New Roman"/>
                <w:iCs/>
                <w:sz w:val="18"/>
                <w:szCs w:val="18"/>
                <w:lang w:val="sr-Cyrl-RS"/>
              </w:rPr>
              <w:t xml:space="preserve"> Ефикасно прикупљање буџетских прихода који су у надлежности Пореске управе</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Проценат оствaрене наплате у односу на одобрену буџетску процену (порез на доходак, порез на добит, бруто домаћи ПДВ, бруто акцизе)</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Закон о буџету и Извештај Пореске управе</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2.2: </w:t>
            </w:r>
            <w:r w:rsidRPr="0081082A">
              <w:rPr>
                <w:rFonts w:ascii="Times New Roman" w:hAnsi="Times New Roman" w:cs="Times New Roman"/>
                <w:iCs/>
                <w:sz w:val="18"/>
                <w:szCs w:val="18"/>
                <w:lang w:val="sr-Cyrl-RS"/>
              </w:rPr>
              <w:t>Модернизација процеса рада Управе за дуван</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Успостављен јединствени систем регистара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 Обучени сви запослени у Управи за дуван за рад у јединственом систему регистара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3. % привредних субјеката који послују на тржишту дувана и дуванских производа користи електронске услуге Управе за дуван</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1.Записник о примопредаји предмета јавне набавке</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Листе учесника на обукама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3.</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Јединствени систем регистара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Деловодник</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Мера 2.3:</w:t>
            </w:r>
            <w:r w:rsidRPr="0081082A">
              <w:rPr>
                <w:rFonts w:ascii="Times New Roman" w:hAnsi="Times New Roman" w:cs="Times New Roman"/>
                <w:iCs/>
                <w:sz w:val="18"/>
                <w:szCs w:val="18"/>
                <w:lang w:val="sr-Cyrl-RS"/>
              </w:rPr>
              <w:t xml:space="preserve"> Јачање административних капацитета Управе царина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color w:val="000000"/>
                <w:sz w:val="18"/>
                <w:szCs w:val="18"/>
                <w:lang w:val="sr-Cyrl-RS" w:eastAsia="en-GB"/>
              </w:rPr>
              <w:t>Проценат оствaрене наплате царина и ПДВ-а из увоза у односу на одобрену буџетску процену</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sz w:val="18"/>
                <w:szCs w:val="18"/>
                <w:lang w:val="sr-Cyrl-RS" w:eastAsia="en-GB"/>
              </w:rPr>
              <w:t>Закон о буџету и информатор о раду Управе царина</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2.4: </w:t>
            </w:r>
            <w:r w:rsidRPr="0081082A">
              <w:rPr>
                <w:rFonts w:ascii="Times New Roman" w:hAnsi="Times New Roman" w:cs="Times New Roman"/>
                <w:iCs/>
                <w:sz w:val="18"/>
                <w:szCs w:val="18"/>
                <w:lang w:val="sr-Cyrl-RS"/>
              </w:rPr>
              <w:t>Ефикасно управљање јавним дугом</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sz w:val="18"/>
                <w:szCs w:val="18"/>
                <w:lang w:val="sr-Cyrl-RS" w:eastAsia="en-GB"/>
              </w:rPr>
              <w:t>Учешће дуга у домаћој валути у укупном јавном дугу - централни ниво власти</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sz w:val="18"/>
                <w:szCs w:val="18"/>
                <w:lang w:val="sr-Cyrl-RS" w:eastAsia="en-GB"/>
              </w:rPr>
              <w:t>Квартални извештаји Управе за јавни дуг</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2.5: </w:t>
            </w:r>
            <w:r w:rsidRPr="0081082A">
              <w:rPr>
                <w:rFonts w:ascii="Times New Roman" w:hAnsi="Times New Roman" w:cs="Times New Roman"/>
                <w:iCs/>
                <w:sz w:val="18"/>
                <w:szCs w:val="18"/>
                <w:lang w:val="sr-Cyrl-RS"/>
              </w:rPr>
              <w:t>Унапређење електронског система јавних набавки</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Број понуда по поступку јавне набавке</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Годишњи извештај о јавни</w:t>
            </w:r>
            <w:r w:rsidR="00885A19" w:rsidRPr="0081082A">
              <w:rPr>
                <w:rFonts w:ascii="Times New Roman" w:hAnsi="Times New Roman" w:cs="Times New Roman"/>
                <w:sz w:val="18"/>
                <w:szCs w:val="18"/>
                <w:lang w:val="sr-Cyrl-RS"/>
              </w:rPr>
              <w:t>м</w:t>
            </w:r>
            <w:r w:rsidRPr="0081082A">
              <w:rPr>
                <w:rFonts w:ascii="Times New Roman" w:hAnsi="Times New Roman" w:cs="Times New Roman"/>
                <w:sz w:val="18"/>
                <w:szCs w:val="18"/>
                <w:lang w:val="sr-Cyrl-RS"/>
              </w:rPr>
              <w:t xml:space="preserve"> набавк</w:t>
            </w:r>
            <w:r w:rsidR="00885A19" w:rsidRPr="0081082A">
              <w:rPr>
                <w:rFonts w:ascii="Times New Roman" w:hAnsi="Times New Roman" w:cs="Times New Roman"/>
                <w:sz w:val="18"/>
                <w:szCs w:val="18"/>
                <w:lang w:val="sr-Cyrl-RS"/>
              </w:rPr>
              <w:t>ама</w:t>
            </w:r>
          </w:p>
        </w:tc>
      </w:tr>
      <w:tr w:rsidR="00F95EBF" w:rsidRPr="0081082A" w:rsidTr="00D938D4">
        <w:trPr>
          <w:trHeight w:val="1243"/>
        </w:trPr>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3.1: </w:t>
            </w:r>
            <w:r w:rsidRPr="0081082A">
              <w:rPr>
                <w:rFonts w:ascii="Times New Roman" w:hAnsi="Times New Roman" w:cs="Times New Roman"/>
                <w:iCs/>
                <w:sz w:val="18"/>
                <w:szCs w:val="18"/>
                <w:lang w:val="sr-Cyrl-RS"/>
              </w:rPr>
              <w:t>Формирање базе за јачање институционалних и административних капацитета Канцеларије за ревизију система управљања средствима ЕУ који омогућују делотворну ревизију система контроле ЕУ</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Број ревизорских налаза ЕК у односу на број спроведених препорука ревизије</w:t>
            </w:r>
          </w:p>
        </w:tc>
        <w:tc>
          <w:tcPr>
            <w:tcW w:w="4253" w:type="dxa"/>
          </w:tcPr>
          <w:p w:rsidR="00D938D4"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Извештај ЕК</w:t>
            </w:r>
          </w:p>
        </w:tc>
      </w:tr>
      <w:tr w:rsidR="00F95EBF" w:rsidRPr="0081082A" w:rsidTr="00D01626">
        <w:trPr>
          <w:trHeight w:val="64"/>
        </w:trPr>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Mera 3.2:</w:t>
            </w:r>
            <w:r w:rsidRPr="0081082A">
              <w:rPr>
                <w:rFonts w:ascii="Times New Roman" w:hAnsi="Times New Roman" w:cs="Times New Roman"/>
                <w:iCs/>
                <w:sz w:val="18"/>
                <w:szCs w:val="18"/>
                <w:lang w:val="sr-Cyrl-RS"/>
              </w:rPr>
              <w:t xml:space="preserve"> Јачање система за ефикасније и ефективније управљање средствима ЕУ</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Усвојени акти усмерени на политику задржавања кадрова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w:t>
            </w:r>
            <w:r w:rsidRPr="0081082A">
              <w:rPr>
                <w:rFonts w:ascii="Times New Roman" w:hAnsi="Times New Roman" w:cs="Times New Roman"/>
                <w:lang w:val="sr-Cyrl-RS"/>
              </w:rPr>
              <w:t xml:space="preserve"> </w:t>
            </w:r>
            <w:r w:rsidRPr="0081082A">
              <w:rPr>
                <w:rFonts w:eastAsia="Times New Roman" w:cstheme="minorHAnsi"/>
                <w:color w:val="000000"/>
                <w:sz w:val="16"/>
                <w:szCs w:val="16"/>
                <w:lang w:val="sr-Cyrl-RS" w:eastAsia="en-GB"/>
              </w:rPr>
              <w:t xml:space="preserve"> </w:t>
            </w:r>
            <w:r w:rsidRPr="0081082A">
              <w:rPr>
                <w:rFonts w:ascii="Times New Roman" w:eastAsia="Times New Roman" w:hAnsi="Times New Roman" w:cs="Times New Roman"/>
                <w:color w:val="000000"/>
                <w:sz w:val="18"/>
                <w:szCs w:val="18"/>
                <w:lang w:val="sr-Cyrl-RS" w:eastAsia="en-GB"/>
              </w:rPr>
              <w:t>Проценат обучених службеника у погледу управљања контроле коришћења средстава управљања ризицима и неправилностима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3.</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Извршене провере на лицу места код корисника јавних средстава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4. </w:t>
            </w:r>
            <w:r w:rsidRPr="0081082A">
              <w:rPr>
                <w:rFonts w:ascii="Times New Roman" w:eastAsia="Times New Roman" w:hAnsi="Times New Roman" w:cs="Times New Roman"/>
                <w:color w:val="000000"/>
                <w:sz w:val="18"/>
                <w:szCs w:val="18"/>
                <w:lang w:val="sr-Cyrl-RS" w:eastAsia="en-GB"/>
              </w:rPr>
              <w:t xml:space="preserve"> Проценат идентификованих неправилности приликом прве/првостепене контроле</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5. Проценат пословних процеса који су подржани ИТ системом</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Службени гласник</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Извештаји о одржаним обукама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3.</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Годишњи планови Провера на лицу места релевантних ИПА тела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4.</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AFIS-IMS систем за извештавање, Годишњи извештаји о напретку који се подносе НАО, Декларације о управљању</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5. </w:t>
            </w:r>
            <w:r w:rsidRPr="0081082A">
              <w:rPr>
                <w:lang w:val="sr-Cyrl-RS"/>
              </w:rPr>
              <w:t xml:space="preserve"> </w:t>
            </w:r>
            <w:r w:rsidRPr="0081082A">
              <w:rPr>
                <w:rFonts w:ascii="Times New Roman" w:hAnsi="Times New Roman" w:cs="Times New Roman"/>
                <w:sz w:val="18"/>
                <w:szCs w:val="18"/>
                <w:lang w:val="sr-Cyrl-RS"/>
              </w:rPr>
              <w:t>Извештаји о функционисању ИТ система</w:t>
            </w:r>
          </w:p>
        </w:tc>
      </w:tr>
      <w:tr w:rsidR="00F95EBF" w:rsidRPr="0081082A" w:rsidTr="00D938D4">
        <w:trPr>
          <w:trHeight w:val="983"/>
        </w:trPr>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lastRenderedPageBreak/>
              <w:t>Mera 3.3:</w:t>
            </w:r>
            <w:r w:rsidRPr="0081082A">
              <w:rPr>
                <w:rFonts w:ascii="Times New Roman" w:hAnsi="Times New Roman" w:cs="Times New Roman"/>
                <w:iCs/>
                <w:sz w:val="18"/>
                <w:szCs w:val="18"/>
                <w:lang w:val="sr-Cyrl-RS"/>
              </w:rPr>
              <w:t xml:space="preserve"> </w:t>
            </w:r>
            <w:r w:rsidRPr="0081082A">
              <w:rPr>
                <w:iCs/>
                <w:lang w:val="sr-Cyrl-RS"/>
              </w:rPr>
              <w:t xml:space="preserve"> </w:t>
            </w:r>
            <w:r w:rsidRPr="0081082A">
              <w:rPr>
                <w:rFonts w:ascii="Times New Roman" w:hAnsi="Times New Roman" w:cs="Times New Roman"/>
                <w:iCs/>
                <w:sz w:val="18"/>
                <w:szCs w:val="18"/>
                <w:lang w:val="sr-Cyrl-RS"/>
              </w:rPr>
              <w:t>Повећање ефикасности и ефективности инспекцијске контроле</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Укупан број извршених инспекцијских контрола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 % планираних контрола у односу на број примљених представки, пријава и захтева за контролу</w:t>
            </w:r>
          </w:p>
        </w:tc>
        <w:tc>
          <w:tcPr>
            <w:tcW w:w="4253" w:type="dxa"/>
          </w:tcPr>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Годишњи извештај о раду буџетске инспекције</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4.1: </w:t>
            </w:r>
            <w:r w:rsidRPr="0081082A">
              <w:rPr>
                <w:rFonts w:ascii="Times New Roman" w:hAnsi="Times New Roman" w:cs="Times New Roman"/>
                <w:iCs/>
                <w:sz w:val="18"/>
                <w:szCs w:val="18"/>
                <w:lang w:val="sr-Cyrl-RS"/>
              </w:rPr>
              <w:t>Унапређење система ФУК-а у институцијама јавног сектора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 xml:space="preserve"> Проценат приоритетних КЈС   који достављају извештај о стању система ФУК</w:t>
            </w:r>
          </w:p>
          <w:p w:rsidR="00F95EBF" w:rsidRPr="0081082A" w:rsidRDefault="00F95EBF" w:rsidP="00D01626">
            <w:pPr>
              <w:rPr>
                <w:rFonts w:ascii="Times New Roman" w:eastAsia="Times New Roman" w:hAnsi="Times New Roman" w:cs="Times New Roman"/>
                <w:bCs/>
                <w:sz w:val="18"/>
                <w:szCs w:val="18"/>
                <w:lang w:val="sr-Cyrl-RS" w:eastAsia="en-GB"/>
              </w:rPr>
            </w:pPr>
            <w:r w:rsidRPr="0081082A">
              <w:rPr>
                <w:rFonts w:ascii="Times New Roman" w:hAnsi="Times New Roman" w:cs="Times New Roman"/>
                <w:sz w:val="18"/>
                <w:szCs w:val="18"/>
                <w:lang w:val="sr-Cyrl-RS"/>
              </w:rPr>
              <w:t xml:space="preserve">2. </w:t>
            </w:r>
            <w:r w:rsidRPr="0081082A">
              <w:rPr>
                <w:rFonts w:ascii="Times New Roman" w:eastAsia="Times New Roman" w:hAnsi="Times New Roman" w:cs="Times New Roman"/>
                <w:bCs/>
                <w:sz w:val="18"/>
                <w:szCs w:val="18"/>
                <w:lang w:val="sr-Cyrl-RS" w:eastAsia="en-GB"/>
              </w:rPr>
              <w:t xml:space="preserve"> Проценат приоритетних КЈС</w:t>
            </w:r>
            <w:r w:rsidRPr="0081082A">
              <w:rPr>
                <w:rStyle w:val="FootnoteReference"/>
                <w:rFonts w:ascii="Times New Roman" w:eastAsia="Times New Roman" w:hAnsi="Times New Roman" w:cs="Times New Roman"/>
                <w:bCs/>
                <w:sz w:val="18"/>
                <w:szCs w:val="18"/>
                <w:lang w:val="sr-Cyrl-RS" w:eastAsia="en-GB"/>
              </w:rPr>
              <w:footnoteReference w:id="180"/>
            </w:r>
            <w:r w:rsidRPr="0081082A">
              <w:rPr>
                <w:rFonts w:ascii="Times New Roman" w:eastAsia="Times New Roman" w:hAnsi="Times New Roman" w:cs="Times New Roman"/>
                <w:bCs/>
                <w:sz w:val="18"/>
                <w:szCs w:val="18"/>
                <w:lang w:val="sr-Cyrl-RS" w:eastAsia="en-GB"/>
              </w:rPr>
              <w:t xml:space="preserve">  који су сачинили регистар ризика</w:t>
            </w:r>
          </w:p>
          <w:p w:rsidR="00F95EBF" w:rsidRPr="0081082A" w:rsidRDefault="00F95EBF" w:rsidP="00D01626">
            <w:pPr>
              <w:rPr>
                <w:rFonts w:ascii="Times New Roman" w:eastAsia="Times New Roman" w:hAnsi="Times New Roman" w:cs="Times New Roman"/>
                <w:bCs/>
                <w:sz w:val="18"/>
                <w:szCs w:val="18"/>
                <w:lang w:val="sr-Cyrl-RS" w:eastAsia="en-GB"/>
              </w:rPr>
            </w:pPr>
            <w:r w:rsidRPr="0081082A">
              <w:rPr>
                <w:rFonts w:ascii="Times New Roman" w:eastAsia="Times New Roman" w:hAnsi="Times New Roman" w:cs="Times New Roman"/>
                <w:bCs/>
                <w:sz w:val="18"/>
                <w:szCs w:val="18"/>
                <w:lang w:val="sr-Cyrl-RS" w:eastAsia="en-GB"/>
              </w:rPr>
              <w:t>3.  Просечна оцена приоритетне групе КЈС</w:t>
            </w:r>
            <w:r w:rsidRPr="0081082A">
              <w:rPr>
                <w:rFonts w:ascii="Times New Roman" w:eastAsia="Times New Roman" w:hAnsi="Times New Roman" w:cs="Times New Roman"/>
                <w:bCs/>
                <w:sz w:val="18"/>
                <w:szCs w:val="18"/>
                <w:vertAlign w:val="superscript"/>
                <w:lang w:val="sr-Cyrl-RS" w:eastAsia="en-GB"/>
              </w:rPr>
              <w:footnoteReference w:id="181"/>
            </w:r>
            <w:r w:rsidRPr="0081082A">
              <w:rPr>
                <w:rFonts w:ascii="Times New Roman" w:eastAsia="Times New Roman" w:hAnsi="Times New Roman" w:cs="Times New Roman"/>
                <w:bCs/>
                <w:sz w:val="18"/>
                <w:szCs w:val="18"/>
                <w:lang w:val="sr-Cyrl-RS" w:eastAsia="en-GB"/>
              </w:rPr>
              <w:t xml:space="preserve"> који ажурирају Регистар ризика (обављају процену ризика и преглед адекватности мера бар једном годишње)</w:t>
            </w:r>
          </w:p>
          <w:p w:rsidR="00F95EBF" w:rsidRPr="0081082A" w:rsidRDefault="00F95EBF" w:rsidP="00D01626">
            <w:pPr>
              <w:rPr>
                <w:rFonts w:ascii="Times New Roman" w:eastAsia="Times New Roman" w:hAnsi="Times New Roman" w:cs="Times New Roman"/>
                <w:bCs/>
                <w:sz w:val="18"/>
                <w:szCs w:val="18"/>
                <w:lang w:val="sr-Cyrl-RS" w:eastAsia="en-GB"/>
              </w:rPr>
            </w:pPr>
            <w:r w:rsidRPr="0081082A">
              <w:rPr>
                <w:rFonts w:ascii="Times New Roman" w:eastAsia="Times New Roman" w:hAnsi="Times New Roman" w:cs="Times New Roman"/>
                <w:bCs/>
                <w:sz w:val="18"/>
                <w:szCs w:val="18"/>
                <w:lang w:val="sr-Cyrl-RS" w:eastAsia="en-GB"/>
              </w:rPr>
              <w:t>4.  Просечна оцена приоритетне групе КЈС</w:t>
            </w:r>
            <w:r w:rsidRPr="0081082A">
              <w:rPr>
                <w:rFonts w:ascii="Times New Roman" w:eastAsia="Times New Roman" w:hAnsi="Times New Roman" w:cs="Times New Roman"/>
                <w:bCs/>
                <w:sz w:val="18"/>
                <w:szCs w:val="18"/>
                <w:vertAlign w:val="superscript"/>
                <w:lang w:val="sr-Cyrl-RS" w:eastAsia="en-GB"/>
              </w:rPr>
              <w:footnoteReference w:id="182"/>
            </w:r>
            <w:r w:rsidRPr="0081082A">
              <w:rPr>
                <w:rFonts w:ascii="Times New Roman" w:eastAsia="Times New Roman" w:hAnsi="Times New Roman" w:cs="Times New Roman"/>
                <w:bCs/>
                <w:sz w:val="18"/>
                <w:szCs w:val="18"/>
                <w:lang w:val="sr-Cyrl-RS" w:eastAsia="en-GB"/>
              </w:rPr>
              <w:t xml:space="preserve"> код које руководиоци доносе одлуке у функцији управљања идентификовани</w:t>
            </w:r>
            <w:r w:rsidR="0031343D" w:rsidRPr="0081082A">
              <w:rPr>
                <w:rFonts w:ascii="Times New Roman" w:eastAsia="Times New Roman" w:hAnsi="Times New Roman" w:cs="Times New Roman"/>
                <w:bCs/>
                <w:sz w:val="18"/>
                <w:szCs w:val="18"/>
                <w:lang w:val="sr-Cyrl-RS" w:eastAsia="en-GB"/>
              </w:rPr>
              <w:t>м</w:t>
            </w:r>
            <w:r w:rsidRPr="0081082A">
              <w:rPr>
                <w:rFonts w:ascii="Times New Roman" w:eastAsia="Times New Roman" w:hAnsi="Times New Roman" w:cs="Times New Roman"/>
                <w:bCs/>
                <w:sz w:val="18"/>
                <w:szCs w:val="18"/>
                <w:lang w:val="sr-Cyrl-RS" w:eastAsia="en-GB"/>
              </w:rPr>
              <w:t xml:space="preserve"> ризицима (у вези реакције на ризик: прихватање, избегавање, умањивање или подела ризика)</w:t>
            </w:r>
          </w:p>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bCs/>
                <w:sz w:val="18"/>
                <w:szCs w:val="18"/>
                <w:lang w:val="sr-Cyrl-RS" w:eastAsia="en-GB"/>
              </w:rPr>
              <w:t>5.  Просечна оцена приоритетне групе КЈС</w:t>
            </w:r>
            <w:r w:rsidRPr="0081082A">
              <w:rPr>
                <w:rFonts w:ascii="Times New Roman" w:eastAsia="Times New Roman" w:hAnsi="Times New Roman" w:cs="Times New Roman"/>
                <w:bCs/>
                <w:sz w:val="18"/>
                <w:szCs w:val="18"/>
                <w:vertAlign w:val="superscript"/>
                <w:lang w:val="sr-Cyrl-RS" w:eastAsia="en-GB"/>
              </w:rPr>
              <w:footnoteReference w:id="183"/>
            </w:r>
            <w:r w:rsidRPr="0081082A">
              <w:rPr>
                <w:rFonts w:ascii="Times New Roman" w:eastAsia="Times New Roman" w:hAnsi="Times New Roman" w:cs="Times New Roman"/>
                <w:bCs/>
                <w:sz w:val="18"/>
                <w:szCs w:val="18"/>
                <w:lang w:val="sr-Cyrl-RS" w:eastAsia="en-GB"/>
              </w:rPr>
              <w:t xml:space="preserve"> који извештавају руководство о ризицима</w:t>
            </w:r>
          </w:p>
        </w:tc>
        <w:tc>
          <w:tcPr>
            <w:tcW w:w="4253" w:type="dxa"/>
          </w:tcPr>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Консолидовани годишњи извештај</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4.2. </w:t>
            </w:r>
            <w:r w:rsidRPr="0081082A">
              <w:rPr>
                <w:rFonts w:eastAsia="Times New Roman"/>
                <w:b/>
                <w:iCs/>
                <w:color w:val="365F91"/>
                <w:sz w:val="18"/>
                <w:szCs w:val="18"/>
                <w:lang w:val="sr-Cyrl-RS" w:eastAsia="en-GB"/>
              </w:rPr>
              <w:t xml:space="preserve"> </w:t>
            </w:r>
            <w:r w:rsidRPr="0081082A">
              <w:rPr>
                <w:rFonts w:ascii="Times New Roman" w:hAnsi="Times New Roman" w:cs="Times New Roman"/>
                <w:iCs/>
                <w:sz w:val="18"/>
                <w:szCs w:val="18"/>
                <w:lang w:val="sr-Cyrl-RS"/>
              </w:rPr>
              <w:t>Унапређена функција интерне ревизије у јавном сектору у складу са</w:t>
            </w:r>
            <w:r w:rsidRPr="0081082A">
              <w:rPr>
                <w:rFonts w:eastAsia="Times New Roman"/>
                <w:b/>
                <w:iCs/>
                <w:color w:val="365F91"/>
                <w:sz w:val="18"/>
                <w:szCs w:val="18"/>
                <w:lang w:val="sr-Cyrl-RS" w:eastAsia="en-GB"/>
              </w:rPr>
              <w:t xml:space="preserve"> </w:t>
            </w:r>
            <w:r w:rsidRPr="0081082A">
              <w:rPr>
                <w:rFonts w:ascii="Times New Roman" w:hAnsi="Times New Roman" w:cs="Times New Roman"/>
                <w:iCs/>
                <w:sz w:val="18"/>
                <w:szCs w:val="18"/>
                <w:lang w:val="sr-Cyrl-RS"/>
              </w:rPr>
              <w:t>међународним стандардима и начелима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СИГМА показатељ адекватности оперативног оквира за интерну ревизију</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СИГМА показатељ функционисања интерне ревизије</w:t>
            </w:r>
          </w:p>
        </w:tc>
        <w:tc>
          <w:tcPr>
            <w:tcW w:w="4253" w:type="dxa"/>
          </w:tcPr>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Мониторинг извештај СИГМЕ</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Мера 4.3:</w:t>
            </w:r>
            <w:r w:rsidRPr="0081082A">
              <w:rPr>
                <w:rFonts w:ascii="Times New Roman" w:hAnsi="Times New Roman" w:cs="Times New Roman"/>
                <w:iCs/>
                <w:sz w:val="18"/>
                <w:szCs w:val="18"/>
                <w:lang w:val="sr-Cyrl-RS"/>
              </w:rPr>
              <w:t xml:space="preserve"> Ојачано праћењe интерне контроле у јавном сектору (ИКЈС)</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Функционалан ИТ систем за ИК</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Консолидовани годишњи извештај</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4.4: </w:t>
            </w:r>
            <w:r w:rsidRPr="0081082A">
              <w:rPr>
                <w:rFonts w:ascii="Times New Roman" w:hAnsi="Times New Roman" w:cs="Times New Roman"/>
                <w:iCs/>
                <w:sz w:val="18"/>
                <w:szCs w:val="18"/>
                <w:lang w:val="sr-Cyrl-RS"/>
              </w:rPr>
              <w:t>Модернизација система обучавања из области ИФКЈ</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Број учесника обука из области интерних контрола које је НАЈУ организовала</w:t>
            </w:r>
            <w:r w:rsidRPr="0081082A">
              <w:rPr>
                <w:rFonts w:ascii="Times New Roman" w:hAnsi="Times New Roman" w:cs="Times New Roman"/>
                <w:sz w:val="18"/>
                <w:szCs w:val="18"/>
                <w:lang w:val="sr-Cyrl-RS"/>
              </w:rPr>
              <w:tab/>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 xml:space="preserve">Проценат овлашћених интерних ревизора који је прикупио прописан број бодова у оквиру континуираног </w:t>
            </w:r>
            <w:r w:rsidRPr="0081082A">
              <w:rPr>
                <w:rFonts w:ascii="Times New Roman" w:hAnsi="Times New Roman" w:cs="Times New Roman"/>
                <w:sz w:val="18"/>
                <w:szCs w:val="18"/>
                <w:lang w:val="sr-Cyrl-RS"/>
              </w:rPr>
              <w:lastRenderedPageBreak/>
              <w:t>стручног усавршавања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3.</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Проценат сертификованих интерних ревизора у приоритетним КЈС</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lastRenderedPageBreak/>
              <w:t>1.</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Извештаји НАЈУ о спроведеним обукама</w:t>
            </w:r>
          </w:p>
          <w:p w:rsidR="00D938D4" w:rsidRPr="0081082A" w:rsidRDefault="00D938D4"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2.</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Консолидовани годишњи извештај</w:t>
            </w:r>
          </w:p>
          <w:p w:rsidR="00D938D4" w:rsidRPr="0081082A" w:rsidRDefault="00D938D4"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3.</w:t>
            </w:r>
            <w:r w:rsidRPr="0081082A">
              <w:rPr>
                <w:rFonts w:ascii="Times New Roman" w:hAnsi="Times New Roman" w:cs="Times New Roman"/>
                <w:lang w:val="sr-Cyrl-RS"/>
              </w:rPr>
              <w:t xml:space="preserve"> </w:t>
            </w:r>
            <w:r w:rsidRPr="0081082A">
              <w:rPr>
                <w:rFonts w:ascii="Times New Roman" w:hAnsi="Times New Roman" w:cs="Times New Roman"/>
                <w:sz w:val="18"/>
                <w:szCs w:val="18"/>
                <w:lang w:val="sr-Cyrl-RS"/>
              </w:rPr>
              <w:t>Консолидовани годишњи извештај</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lastRenderedPageBreak/>
              <w:t xml:space="preserve">Мера 5.1: </w:t>
            </w:r>
            <w:r w:rsidRPr="0081082A">
              <w:rPr>
                <w:rFonts w:eastAsia="Times New Roman"/>
                <w:b/>
                <w:iCs/>
                <w:color w:val="365F91"/>
                <w:sz w:val="18"/>
                <w:szCs w:val="18"/>
                <w:lang w:val="sr-Cyrl-RS" w:eastAsia="en-GB"/>
              </w:rPr>
              <w:t xml:space="preserve"> </w:t>
            </w:r>
            <w:r w:rsidRPr="0081082A">
              <w:rPr>
                <w:rFonts w:ascii="Times New Roman" w:hAnsi="Times New Roman" w:cs="Times New Roman"/>
                <w:iCs/>
                <w:sz w:val="18"/>
                <w:szCs w:val="18"/>
                <w:lang w:val="sr-Cyrl-RS"/>
              </w:rPr>
              <w:t>Анализа постојећег стања у рачуноводству у јавном сектору и развој и имплементација Плана унапређења рачуноводства у јавном сектору</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Усвојен план унапређења рачуноводства у јавном сектору</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Сајт Управе за трезор</w:t>
            </w:r>
          </w:p>
        </w:tc>
      </w:tr>
      <w:tr w:rsidR="00F95EBF" w:rsidRPr="0081082A" w:rsidTr="00D938D4">
        <w:trPr>
          <w:trHeight w:val="841"/>
        </w:trPr>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5.2: </w:t>
            </w:r>
            <w:r w:rsidRPr="0081082A">
              <w:rPr>
                <w:rFonts w:ascii="Times New Roman" w:hAnsi="Times New Roman" w:cs="Times New Roman"/>
                <w:iCs/>
                <w:sz w:val="18"/>
                <w:szCs w:val="18"/>
                <w:lang w:val="sr-Cyrl-RS"/>
              </w:rPr>
              <w:t xml:space="preserve">Унапређење </w:t>
            </w:r>
            <w:r w:rsidR="00B7122A" w:rsidRPr="0081082A">
              <w:rPr>
                <w:rFonts w:ascii="Times New Roman" w:hAnsi="Times New Roman" w:cs="Times New Roman"/>
                <w:iCs/>
                <w:sz w:val="18"/>
                <w:szCs w:val="18"/>
                <w:lang w:val="sr-Cyrl-RS"/>
              </w:rPr>
              <w:t xml:space="preserve">професионалне компетентности рачуновођа </w:t>
            </w:r>
            <w:r w:rsidR="001C1F82" w:rsidRPr="0081082A">
              <w:rPr>
                <w:rFonts w:ascii="Times New Roman" w:hAnsi="Times New Roman" w:cs="Times New Roman"/>
                <w:iCs/>
                <w:sz w:val="18"/>
                <w:szCs w:val="18"/>
                <w:lang w:val="sr-Cyrl-RS"/>
              </w:rPr>
              <w:t>у јавном</w:t>
            </w:r>
            <w:r w:rsidRPr="0081082A">
              <w:rPr>
                <w:rFonts w:ascii="Times New Roman" w:hAnsi="Times New Roman" w:cs="Times New Roman"/>
                <w:iCs/>
                <w:sz w:val="18"/>
                <w:szCs w:val="18"/>
                <w:lang w:val="sr-Cyrl-RS"/>
              </w:rPr>
              <w:t xml:space="preserve">  сектору  спровођењем  адекватних  обука</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Удео запослених рачуновођа у јавном сектору који је прошао обуку „Унапређење рачуноводства у јавном </w:t>
            </w:r>
            <w:r w:rsidR="00B7122A" w:rsidRPr="0081082A">
              <w:rPr>
                <w:rFonts w:ascii="Times New Roman" w:hAnsi="Times New Roman" w:cs="Times New Roman"/>
                <w:sz w:val="18"/>
                <w:szCs w:val="18"/>
                <w:lang w:val="sr-Cyrl-RS"/>
              </w:rPr>
              <w:t>сектору</w:t>
            </w:r>
            <w:r w:rsidR="007E728E" w:rsidRPr="0081082A">
              <w:rPr>
                <w:rFonts w:ascii="Times New Roman" w:hAnsi="Times New Roman" w:cs="Times New Roman"/>
                <w:sz w:val="18"/>
                <w:szCs w:val="18"/>
                <w:lang w:val="sr-Cyrl-RS"/>
              </w:rPr>
              <w:t>”</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Извештај о реализацији програма обуке</w:t>
            </w:r>
          </w:p>
        </w:tc>
      </w:tr>
      <w:tr w:rsidR="00F95EBF" w:rsidRPr="0081082A" w:rsidTr="00D938D4">
        <w:trPr>
          <w:trHeight w:val="980"/>
        </w:trPr>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5.3: </w:t>
            </w:r>
            <w:r w:rsidRPr="0081082A">
              <w:rPr>
                <w:rFonts w:ascii="Times New Roman" w:hAnsi="Times New Roman" w:cs="Times New Roman"/>
                <w:iCs/>
                <w:sz w:val="18"/>
                <w:szCs w:val="18"/>
                <w:lang w:val="sr-Cyrl-RS"/>
              </w:rPr>
              <w:t xml:space="preserve">Унапређење обухвата рачуноводствених података кроз примену </w:t>
            </w:r>
            <w:r w:rsidR="00B7122A" w:rsidRPr="0081082A">
              <w:rPr>
                <w:rFonts w:ascii="Times New Roman" w:hAnsi="Times New Roman" w:cs="Times New Roman"/>
                <w:iCs/>
                <w:sz w:val="18"/>
                <w:szCs w:val="18"/>
                <w:lang w:val="sr-Cyrl-RS"/>
              </w:rPr>
              <w:t>међународних рачуноводствених</w:t>
            </w:r>
            <w:r w:rsidRPr="0081082A">
              <w:rPr>
                <w:rFonts w:ascii="Times New Roman" w:hAnsi="Times New Roman" w:cs="Times New Roman"/>
                <w:iCs/>
                <w:sz w:val="18"/>
                <w:szCs w:val="18"/>
                <w:lang w:val="sr-Cyrl-RS"/>
              </w:rPr>
              <w:t xml:space="preserve"> стандарда за јавни сектор</w:t>
            </w:r>
          </w:p>
        </w:tc>
        <w:tc>
          <w:tcPr>
            <w:tcW w:w="4678" w:type="dxa"/>
          </w:tcPr>
          <w:p w:rsidR="00F95EBF" w:rsidRPr="0081082A" w:rsidRDefault="00F95EBF" w:rsidP="00B245BD">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Нацрт </w:t>
            </w:r>
            <w:r w:rsidR="00B7122A" w:rsidRPr="0081082A">
              <w:rPr>
                <w:rFonts w:ascii="Times New Roman" w:hAnsi="Times New Roman" w:cs="Times New Roman"/>
                <w:sz w:val="18"/>
                <w:szCs w:val="18"/>
                <w:lang w:val="sr-Cyrl-RS"/>
              </w:rPr>
              <w:t>Финансијског извештаја</w:t>
            </w:r>
            <w:r w:rsidRPr="0081082A">
              <w:rPr>
                <w:rFonts w:ascii="Times New Roman" w:hAnsi="Times New Roman" w:cs="Times New Roman"/>
                <w:sz w:val="18"/>
                <w:szCs w:val="18"/>
                <w:lang w:val="sr-Cyrl-RS"/>
              </w:rPr>
              <w:t xml:space="preserve"> припремљен у складу са </w:t>
            </w:r>
            <w:r w:rsidRPr="0081082A">
              <w:rPr>
                <w:rFonts w:ascii="Times New Roman" w:hAnsi="Times New Roman" w:cs="Times New Roman"/>
                <w:i/>
                <w:sz w:val="18"/>
                <w:szCs w:val="18"/>
                <w:lang w:val="sr-Cyrl-RS"/>
              </w:rPr>
              <w:t>IPSAS</w:t>
            </w:r>
            <w:r w:rsidRPr="0081082A">
              <w:rPr>
                <w:rFonts w:ascii="Times New Roman" w:hAnsi="Times New Roman" w:cs="Times New Roman"/>
                <w:sz w:val="18"/>
                <w:szCs w:val="18"/>
                <w:lang w:val="sr-Cyrl-RS"/>
              </w:rPr>
              <w:t xml:space="preserve"> за готовинску основу достављен Влади</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Министарство финансија</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6.1: </w:t>
            </w:r>
            <w:r w:rsidRPr="0081082A">
              <w:rPr>
                <w:iCs/>
                <w:lang w:val="sr-Cyrl-RS"/>
              </w:rPr>
              <w:t xml:space="preserve"> </w:t>
            </w:r>
            <w:r w:rsidRPr="0081082A">
              <w:rPr>
                <w:rFonts w:ascii="Times New Roman" w:hAnsi="Times New Roman" w:cs="Times New Roman"/>
                <w:iCs/>
                <w:sz w:val="18"/>
                <w:szCs w:val="18"/>
                <w:lang w:val="sr-Cyrl-RS"/>
              </w:rPr>
              <w:t>Унапређење обухвата, квалитета и утицаја екстерних ревизија (у складу са Стратешким планом Државне ревизорске институције (ДРИ)</w:t>
            </w:r>
          </w:p>
        </w:tc>
        <w:tc>
          <w:tcPr>
            <w:tcW w:w="4678"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 Број извештаја о ревизији</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2. </w:t>
            </w:r>
            <w:r w:rsidRPr="0081082A">
              <w:rPr>
                <w:rFonts w:eastAsia="Times New Roman"/>
                <w:color w:val="000000"/>
                <w:sz w:val="16"/>
                <w:szCs w:val="16"/>
                <w:lang w:val="sr-Cyrl-RS" w:eastAsia="en-GB"/>
              </w:rPr>
              <w:t xml:space="preserve"> </w:t>
            </w:r>
            <w:r w:rsidRPr="0081082A">
              <w:rPr>
                <w:rFonts w:ascii="Times New Roman" w:eastAsia="Times New Roman" w:hAnsi="Times New Roman" w:cs="Times New Roman"/>
                <w:color w:val="000000"/>
                <w:sz w:val="18"/>
                <w:szCs w:val="18"/>
                <w:lang w:val="sr-Cyrl-RS" w:eastAsia="en-GB"/>
              </w:rPr>
              <w:t>Број запослених</w:t>
            </w:r>
          </w:p>
          <w:p w:rsidR="00F95EBF" w:rsidRPr="0081082A" w:rsidRDefault="00F95EBF" w:rsidP="00D01626">
            <w:pPr>
              <w:rPr>
                <w:rFonts w:ascii="Times New Roman" w:eastAsia="Times New Roman" w:hAnsi="Times New Roman" w:cs="Times New Roman"/>
                <w:color w:val="000000"/>
                <w:sz w:val="18"/>
                <w:szCs w:val="18"/>
                <w:lang w:val="sr-Cyrl-RS" w:eastAsia="en-GB"/>
              </w:rPr>
            </w:pPr>
            <w:r w:rsidRPr="0081082A">
              <w:rPr>
                <w:rFonts w:ascii="Times New Roman" w:hAnsi="Times New Roman" w:cs="Times New Roman"/>
                <w:sz w:val="18"/>
                <w:szCs w:val="18"/>
                <w:lang w:val="sr-Cyrl-RS"/>
              </w:rPr>
              <w:t xml:space="preserve">3. </w:t>
            </w:r>
            <w:bookmarkStart w:id="147" w:name="_Hlk73451958"/>
            <w:r w:rsidRPr="0081082A">
              <w:rPr>
                <w:rFonts w:eastAsia="Times New Roman"/>
                <w:color w:val="000000"/>
                <w:sz w:val="16"/>
                <w:szCs w:val="16"/>
                <w:lang w:val="sr-Cyrl-RS" w:eastAsia="en-GB"/>
              </w:rPr>
              <w:t xml:space="preserve"> </w:t>
            </w:r>
            <w:r w:rsidRPr="0081082A">
              <w:rPr>
                <w:rFonts w:ascii="Times New Roman" w:eastAsia="Times New Roman" w:hAnsi="Times New Roman" w:cs="Times New Roman"/>
                <w:color w:val="000000"/>
                <w:sz w:val="18"/>
                <w:szCs w:val="18"/>
                <w:lang w:val="sr-Cyrl-RS" w:eastAsia="en-GB"/>
              </w:rPr>
              <w:t>Број следећих области обухваћених ревизијама сврсисходности пословања: социјална заштита, опште јавне услуге, одбрана, јавни ред и безбедност, економски послови, заштита животне средине, послови становања и заједнице, здравство, рекреација, спорт, култура и вера, образовање.</w:t>
            </w:r>
            <w:bookmarkEnd w:id="147"/>
          </w:p>
          <w:p w:rsidR="00F95EBF" w:rsidRPr="0081082A" w:rsidRDefault="00F95EBF" w:rsidP="00D01626">
            <w:pPr>
              <w:rPr>
                <w:rFonts w:ascii="Times New Roman" w:eastAsia="Times New Roman" w:hAnsi="Times New Roman" w:cs="Times New Roman"/>
                <w:color w:val="000000"/>
                <w:sz w:val="18"/>
                <w:szCs w:val="18"/>
                <w:lang w:val="sr-Cyrl-RS" w:eastAsia="en-GB"/>
              </w:rPr>
            </w:pPr>
            <w:r w:rsidRPr="0081082A">
              <w:rPr>
                <w:rFonts w:ascii="Times New Roman" w:eastAsia="Times New Roman" w:hAnsi="Times New Roman" w:cs="Times New Roman"/>
                <w:color w:val="000000"/>
                <w:sz w:val="18"/>
                <w:szCs w:val="18"/>
                <w:lang w:val="sr-Cyrl-RS" w:eastAsia="en-GB"/>
              </w:rPr>
              <w:t>4.  Број прегледа ради контроле квалитета и уверавања у квалитет</w:t>
            </w:r>
          </w:p>
          <w:p w:rsidR="00F95EBF" w:rsidRPr="0081082A" w:rsidRDefault="00F95EBF" w:rsidP="00D01626">
            <w:pPr>
              <w:rPr>
                <w:rFonts w:ascii="Times New Roman" w:hAnsi="Times New Roman" w:cs="Times New Roman"/>
                <w:sz w:val="18"/>
                <w:szCs w:val="18"/>
                <w:lang w:val="sr-Cyrl-RS"/>
              </w:rPr>
            </w:pPr>
            <w:r w:rsidRPr="0081082A">
              <w:rPr>
                <w:rFonts w:ascii="Times New Roman" w:eastAsia="Times New Roman" w:hAnsi="Times New Roman" w:cs="Times New Roman"/>
                <w:color w:val="000000"/>
                <w:sz w:val="18"/>
                <w:szCs w:val="18"/>
                <w:lang w:val="sr-Cyrl-RS" w:eastAsia="en-GB"/>
              </w:rPr>
              <w:t>5.  Удео ревизија пословања (правилности и сврсисходности) у годишњем Програму ревизије ДРИ</w:t>
            </w:r>
          </w:p>
        </w:tc>
        <w:tc>
          <w:tcPr>
            <w:tcW w:w="4253" w:type="dxa"/>
          </w:tcPr>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Извештај о раду ДРИ</w:t>
            </w:r>
          </w:p>
        </w:tc>
      </w:tr>
      <w:tr w:rsidR="00F95EBF" w:rsidRPr="0081082A" w:rsidTr="00D01626">
        <w:tc>
          <w:tcPr>
            <w:tcW w:w="3964" w:type="dxa"/>
          </w:tcPr>
          <w:p w:rsidR="00F95EBF" w:rsidRPr="0081082A" w:rsidRDefault="00F95EBF" w:rsidP="00D01626">
            <w:pPr>
              <w:rPr>
                <w:rFonts w:ascii="Times New Roman" w:hAnsi="Times New Roman" w:cs="Times New Roman"/>
                <w:b/>
                <w:iCs/>
                <w:sz w:val="18"/>
                <w:szCs w:val="18"/>
                <w:lang w:val="sr-Cyrl-RS"/>
              </w:rPr>
            </w:pPr>
            <w:r w:rsidRPr="0081082A">
              <w:rPr>
                <w:rFonts w:ascii="Times New Roman" w:hAnsi="Times New Roman" w:cs="Times New Roman"/>
                <w:b/>
                <w:iCs/>
                <w:sz w:val="18"/>
                <w:szCs w:val="18"/>
                <w:lang w:val="sr-Cyrl-RS"/>
              </w:rPr>
              <w:t xml:space="preserve">Мера 6.2: </w:t>
            </w:r>
            <w:r w:rsidRPr="0081082A">
              <w:rPr>
                <w:rFonts w:ascii="Times New Roman" w:hAnsi="Times New Roman" w:cs="Times New Roman"/>
                <w:iCs/>
                <w:sz w:val="18"/>
                <w:szCs w:val="18"/>
                <w:lang w:val="sr-Cyrl-RS"/>
              </w:rPr>
              <w:t>Обезбеђивање ефикасног скупштинског надзора над јавним финансијама</w:t>
            </w:r>
          </w:p>
        </w:tc>
        <w:tc>
          <w:tcPr>
            <w:tcW w:w="4678" w:type="dxa"/>
          </w:tcPr>
          <w:p w:rsidR="00F95EBF" w:rsidRPr="0081082A" w:rsidRDefault="00F95EBF" w:rsidP="00D01626">
            <w:pPr>
              <w:pStyle w:val="CommentText"/>
              <w:rPr>
                <w:rFonts w:ascii="Times New Roman" w:eastAsia="Times New Roman" w:hAnsi="Times New Roman" w:cs="Times New Roman"/>
                <w:sz w:val="18"/>
                <w:szCs w:val="18"/>
                <w:lang w:val="sr-Cyrl-RS" w:eastAsia="en-GB"/>
              </w:rPr>
            </w:pPr>
            <w:r w:rsidRPr="0081082A">
              <w:rPr>
                <w:rFonts w:ascii="Times New Roman" w:hAnsi="Times New Roman" w:cs="Times New Roman"/>
                <w:sz w:val="18"/>
                <w:szCs w:val="18"/>
                <w:lang w:val="sr-Cyrl-RS"/>
              </w:rPr>
              <w:t xml:space="preserve">1. </w:t>
            </w:r>
            <w:r w:rsidRPr="0081082A">
              <w:rPr>
                <w:rFonts w:ascii="Calibri" w:eastAsia="Times New Roman" w:hAnsi="Calibri" w:cs="Times New Roman"/>
                <w:sz w:val="16"/>
                <w:szCs w:val="16"/>
                <w:lang w:val="sr-Cyrl-RS" w:eastAsia="en-GB"/>
              </w:rPr>
              <w:t xml:space="preserve"> </w:t>
            </w:r>
            <w:r w:rsidRPr="0081082A">
              <w:rPr>
                <w:rFonts w:ascii="Times New Roman" w:eastAsia="Times New Roman" w:hAnsi="Times New Roman" w:cs="Times New Roman"/>
                <w:sz w:val="18"/>
                <w:szCs w:val="18"/>
                <w:lang w:val="sr-Cyrl-RS" w:eastAsia="en-GB"/>
              </w:rPr>
              <w:t>Разматрање годишњег извештаја о раду ДРИ са усвајањем предлога закључка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2. </w:t>
            </w:r>
            <w:r w:rsidRPr="0081082A">
              <w:rPr>
                <w:rFonts w:ascii="Times New Roman" w:hAnsi="Times New Roman" w:cs="Times New Roman"/>
                <w:lang w:val="sr-Cyrl-RS"/>
              </w:rPr>
              <w:t xml:space="preserve"> </w:t>
            </w:r>
            <w:r w:rsidRPr="0081082A">
              <w:rPr>
                <w:rFonts w:eastAsia="Times New Roman"/>
                <w:sz w:val="16"/>
                <w:szCs w:val="16"/>
                <w:lang w:val="sr-Cyrl-RS" w:eastAsia="en-GB"/>
              </w:rPr>
              <w:t xml:space="preserve"> </w:t>
            </w:r>
            <w:r w:rsidRPr="0081082A">
              <w:rPr>
                <w:rFonts w:ascii="Times New Roman" w:eastAsia="Times New Roman" w:hAnsi="Times New Roman" w:cs="Times New Roman"/>
                <w:sz w:val="18"/>
                <w:szCs w:val="18"/>
                <w:lang w:val="sr-Cyrl-RS" w:eastAsia="en-GB"/>
              </w:rPr>
              <w:t>Одржавање седнице/састанка Одбора за разматрање препорука за измене закона у присуству ДРИ и Министарства финансија</w:t>
            </w:r>
          </w:p>
        </w:tc>
        <w:tc>
          <w:tcPr>
            <w:tcW w:w="4253" w:type="dxa"/>
          </w:tcPr>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1.</w:t>
            </w:r>
            <w:r w:rsidRPr="0081082A">
              <w:rPr>
                <w:rFonts w:ascii="Times New Roman" w:hAnsi="Times New Roman" w:cs="Times New Roman"/>
                <w:lang w:val="sr-Cyrl-RS"/>
              </w:rPr>
              <w:t xml:space="preserve"> </w:t>
            </w:r>
            <w:r w:rsidRPr="0081082A">
              <w:rPr>
                <w:rFonts w:ascii="Calibri" w:eastAsia="Times New Roman" w:hAnsi="Calibri"/>
                <w:sz w:val="16"/>
                <w:szCs w:val="16"/>
                <w:lang w:val="sr-Cyrl-RS" w:eastAsia="en-GB"/>
              </w:rPr>
              <w:t xml:space="preserve"> </w:t>
            </w:r>
            <w:r w:rsidRPr="0081082A">
              <w:rPr>
                <w:rFonts w:ascii="Times New Roman" w:eastAsia="Times New Roman" w:hAnsi="Times New Roman" w:cs="Times New Roman"/>
                <w:sz w:val="18"/>
                <w:szCs w:val="18"/>
                <w:lang w:val="sr-Cyrl-RS" w:eastAsia="en-GB"/>
              </w:rPr>
              <w:t>Извештај Одбора/Записник са седнице Одбора</w:t>
            </w:r>
          </w:p>
          <w:p w:rsidR="00F95EBF" w:rsidRPr="0081082A" w:rsidRDefault="00F95EBF" w:rsidP="00D01626">
            <w:pPr>
              <w:rPr>
                <w:rFonts w:ascii="Times New Roman" w:hAnsi="Times New Roman" w:cs="Times New Roman"/>
                <w:sz w:val="18"/>
                <w:szCs w:val="18"/>
                <w:lang w:val="sr-Cyrl-RS"/>
              </w:rPr>
            </w:pPr>
            <w:r w:rsidRPr="0081082A">
              <w:rPr>
                <w:rFonts w:ascii="Times New Roman" w:hAnsi="Times New Roman" w:cs="Times New Roman"/>
                <w:sz w:val="18"/>
                <w:szCs w:val="18"/>
                <w:lang w:val="sr-Cyrl-RS"/>
              </w:rPr>
              <w:t xml:space="preserve">2. </w:t>
            </w:r>
            <w:r w:rsidRPr="0081082A">
              <w:rPr>
                <w:rFonts w:ascii="Times New Roman" w:eastAsia="Times New Roman" w:hAnsi="Times New Roman" w:cs="Times New Roman"/>
                <w:sz w:val="18"/>
                <w:szCs w:val="18"/>
                <w:lang w:val="sr-Cyrl-RS" w:eastAsia="en-GB"/>
              </w:rPr>
              <w:t xml:space="preserve"> Записник са седнице/састанка</w:t>
            </w:r>
          </w:p>
        </w:tc>
      </w:tr>
    </w:tbl>
    <w:p w:rsidR="00CB0D8C" w:rsidRPr="0081082A" w:rsidRDefault="00CB0D8C" w:rsidP="00CB0D8C">
      <w:pPr>
        <w:spacing w:after="100" w:afterAutospacing="1" w:line="240" w:lineRule="auto"/>
        <w:jc w:val="both"/>
        <w:rPr>
          <w:rFonts w:ascii="Times New Roman" w:eastAsia="Calibri" w:hAnsi="Times New Roman" w:cs="Times New Roman"/>
          <w:sz w:val="24"/>
          <w:szCs w:val="24"/>
          <w:lang w:val="sr-Cyrl-RS"/>
        </w:rPr>
      </w:pPr>
    </w:p>
    <w:p w:rsidR="00F95EBF" w:rsidRPr="0081082A" w:rsidRDefault="00F95EBF" w:rsidP="00F95EBF">
      <w:pPr>
        <w:rPr>
          <w:rFonts w:ascii="Times New Roman" w:hAnsi="Times New Roman" w:cs="Times New Roman"/>
          <w:lang w:val="sr-Cyrl-RS"/>
        </w:rPr>
      </w:pPr>
    </w:p>
    <w:p w:rsidR="005F0C63" w:rsidRPr="0081082A" w:rsidRDefault="00CB6980" w:rsidP="0089255F">
      <w:pPr>
        <w:spacing w:after="100" w:afterAutospacing="1" w:line="240" w:lineRule="auto"/>
        <w:jc w:val="both"/>
        <w:rPr>
          <w:rFonts w:ascii="Times New Roman" w:eastAsia="Calibri" w:hAnsi="Times New Roman" w:cs="Times New Roman"/>
          <w:sz w:val="24"/>
          <w:szCs w:val="24"/>
          <w:lang w:val="sr-Cyrl-RS"/>
        </w:rPr>
      </w:pPr>
      <w:r w:rsidRPr="0081082A">
        <w:rPr>
          <w:rFonts w:ascii="Times New Roman" w:eastAsia="Calibri" w:hAnsi="Times New Roman" w:cs="Times New Roman"/>
          <w:sz w:val="24"/>
          <w:szCs w:val="24"/>
          <w:lang w:val="sr-Cyrl-RS"/>
        </w:rPr>
        <w:t xml:space="preserve"> </w:t>
      </w:r>
    </w:p>
    <w:sectPr w:rsidR="005F0C63" w:rsidRPr="0081082A" w:rsidSect="00CB0D8C">
      <w:pgSz w:w="16838" w:h="11906" w:orient="landscape" w:code="9"/>
      <w:pgMar w:top="1440" w:right="1440" w:bottom="1440" w:left="1440" w:header="431"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0816" w:rsidRDefault="00F60816" w:rsidP="007D6B29">
      <w:pPr>
        <w:spacing w:after="0" w:line="240" w:lineRule="auto"/>
      </w:pPr>
      <w:r>
        <w:separator/>
      </w:r>
    </w:p>
  </w:endnote>
  <w:endnote w:type="continuationSeparator" w:id="0">
    <w:p w:rsidR="00F60816" w:rsidRDefault="00F60816" w:rsidP="007D6B29">
      <w:pPr>
        <w:spacing w:after="0" w:line="240" w:lineRule="auto"/>
      </w:pPr>
      <w:r>
        <w:continuationSeparator/>
      </w:r>
    </w:p>
  </w:endnote>
  <w:endnote w:type="continuationNotice" w:id="1">
    <w:p w:rsidR="00F60816" w:rsidRDefault="00F6081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unga">
    <w:panose1 w:val="020B0502040204020203"/>
    <w:charset w:val="00"/>
    <w:family w:val="swiss"/>
    <w:pitch w:val="variable"/>
    <w:sig w:usb0="004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YU C Times">
    <w:altName w:val="Courier New"/>
    <w:panose1 w:val="00000000000000000000"/>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Roboto-Regular">
    <w:panose1 w:val="00000000000000000000"/>
    <w:charset w:val="00"/>
    <w:family w:val="roman"/>
    <w:notTrueType/>
    <w:pitch w:val="default"/>
  </w:font>
  <w:font w:name="DejaVu Sans Mono">
    <w:altName w:val="Verdana"/>
    <w:charset w:val="00"/>
    <w:family w:val="modern"/>
    <w:pitch w:val="fixed"/>
  </w:font>
  <w:font w:name="Lohit Devanagari">
    <w:altName w:val="Times New Roman"/>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Liberation Mono">
    <w:altName w:val="MS Gothic"/>
    <w:charset w:val="00"/>
    <w:family w:val="modern"/>
    <w:pitch w:val="fixed"/>
  </w:font>
  <w:font w:name="DejaVu Sans">
    <w:altName w:val="Times New Roman"/>
    <w:panose1 w:val="00000000000000000000"/>
    <w:charset w:val="00"/>
    <w:family w:val="roman"/>
    <w:notTrueType/>
    <w:pitch w:val="default"/>
  </w:font>
  <w:font w:name="Liberation Sans">
    <w:altName w:val="Arial"/>
    <w:charset w:val="01"/>
    <w:family w:val="roman"/>
    <w:pitch w:val="variable"/>
  </w:font>
  <w:font w:name="Noto Sans CJK SC">
    <w:panose1 w:val="00000000000000000000"/>
    <w:charset w:val="00"/>
    <w:family w:val="roman"/>
    <w:notTrueType/>
    <w:pitch w:val="default"/>
  </w:font>
  <w:font w:name="Liberation Serif">
    <w:altName w:val="Times New Roman"/>
    <w:charset w:val="EE"/>
    <w:family w:val="roman"/>
    <w:pitch w:val="variable"/>
  </w:font>
  <w:font w:name="FreeSans">
    <w:altName w:val="MS Gothic"/>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Algerian">
    <w:panose1 w:val="04020705040A02060702"/>
    <w:charset w:val="00"/>
    <w:family w:val="decorativ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6475856"/>
      <w:docPartObj>
        <w:docPartGallery w:val="Page Numbers (Bottom of Page)"/>
        <w:docPartUnique/>
      </w:docPartObj>
    </w:sdtPr>
    <w:sdtEndPr>
      <w:rPr>
        <w:noProof/>
      </w:rPr>
    </w:sdtEndPr>
    <w:sdtContent>
      <w:p w:rsidR="00BB481C" w:rsidRDefault="00BB481C">
        <w:pPr>
          <w:pStyle w:val="Footer"/>
          <w:jc w:val="center"/>
        </w:pPr>
        <w:r>
          <w:fldChar w:fldCharType="begin"/>
        </w:r>
        <w:r>
          <w:instrText xml:space="preserve"> PAGE   \* MERGEFORMAT </w:instrText>
        </w:r>
        <w:r>
          <w:fldChar w:fldCharType="separate"/>
        </w:r>
        <w:r w:rsidR="00EA418B">
          <w:rPr>
            <w:noProof/>
          </w:rPr>
          <w:t>2</w:t>
        </w:r>
        <w:r>
          <w:rPr>
            <w:noProof/>
          </w:rPr>
          <w:fldChar w:fldCharType="end"/>
        </w:r>
      </w:p>
    </w:sdtContent>
  </w:sdt>
  <w:p w:rsidR="00BB481C" w:rsidRDefault="00BB481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17281448"/>
      <w:docPartObj>
        <w:docPartGallery w:val="Page Numbers (Bottom of Page)"/>
        <w:docPartUnique/>
      </w:docPartObj>
    </w:sdtPr>
    <w:sdtEndPr>
      <w:rPr>
        <w:noProof/>
      </w:rPr>
    </w:sdtEndPr>
    <w:sdtContent>
      <w:p w:rsidR="00BB481C" w:rsidRDefault="00BB481C">
        <w:pPr>
          <w:pStyle w:val="Footer"/>
          <w:jc w:val="center"/>
        </w:pPr>
        <w:r>
          <w:fldChar w:fldCharType="begin"/>
        </w:r>
        <w:r>
          <w:instrText xml:space="preserve"> PAGE   \* MERGEFORMAT </w:instrText>
        </w:r>
        <w:r>
          <w:fldChar w:fldCharType="separate"/>
        </w:r>
        <w:r w:rsidR="00EA418B">
          <w:rPr>
            <w:noProof/>
          </w:rPr>
          <w:t>20</w:t>
        </w:r>
        <w:r>
          <w:rPr>
            <w:noProof/>
          </w:rPr>
          <w:fldChar w:fldCharType="end"/>
        </w:r>
      </w:p>
    </w:sdtContent>
  </w:sdt>
  <w:p w:rsidR="00BB481C" w:rsidRDefault="00BB481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3606716"/>
      <w:docPartObj>
        <w:docPartGallery w:val="Page Numbers (Bottom of Page)"/>
        <w:docPartUnique/>
      </w:docPartObj>
    </w:sdtPr>
    <w:sdtEndPr>
      <w:rPr>
        <w:noProof/>
      </w:rPr>
    </w:sdtEndPr>
    <w:sdtContent>
      <w:p w:rsidR="00BB481C" w:rsidRDefault="00BB481C">
        <w:pPr>
          <w:pStyle w:val="Footer"/>
          <w:jc w:val="center"/>
        </w:pPr>
        <w:r>
          <w:fldChar w:fldCharType="begin"/>
        </w:r>
        <w:r>
          <w:instrText xml:space="preserve"> PAGE   \* MERGEFORMAT </w:instrText>
        </w:r>
        <w:r>
          <w:fldChar w:fldCharType="separate"/>
        </w:r>
        <w:r w:rsidR="00EA418B">
          <w:rPr>
            <w:noProof/>
          </w:rPr>
          <w:t>205</w:t>
        </w:r>
        <w:r>
          <w:rPr>
            <w:noProof/>
          </w:rPr>
          <w:fldChar w:fldCharType="end"/>
        </w:r>
      </w:p>
    </w:sdtContent>
  </w:sdt>
  <w:p w:rsidR="00BB481C" w:rsidRDefault="00BB481C">
    <w:pPr>
      <w:pStyle w:val="Footer"/>
    </w:pPr>
  </w:p>
  <w:p w:rsidR="00BB481C" w:rsidRDefault="00BB481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0816" w:rsidRDefault="00F60816" w:rsidP="007D6B29">
      <w:pPr>
        <w:spacing w:after="0" w:line="240" w:lineRule="auto"/>
      </w:pPr>
      <w:r>
        <w:separator/>
      </w:r>
    </w:p>
  </w:footnote>
  <w:footnote w:type="continuationSeparator" w:id="0">
    <w:p w:rsidR="00F60816" w:rsidRDefault="00F60816" w:rsidP="007D6B29">
      <w:pPr>
        <w:spacing w:after="0" w:line="240" w:lineRule="auto"/>
      </w:pPr>
      <w:r>
        <w:continuationSeparator/>
      </w:r>
    </w:p>
  </w:footnote>
  <w:footnote w:type="continuationNotice" w:id="1">
    <w:p w:rsidR="00F60816" w:rsidRDefault="00F60816">
      <w:pPr>
        <w:spacing w:before="0" w:after="0" w:line="240" w:lineRule="auto"/>
      </w:pPr>
    </w:p>
  </w:footnote>
  <w:footnote w:id="2">
    <w:p w:rsidR="00BB481C" w:rsidRPr="00E44BBB" w:rsidRDefault="00BB481C" w:rsidP="00B671C8">
      <w:pPr>
        <w:pStyle w:val="FootnoteText"/>
        <w:spacing w:before="0"/>
        <w:rPr>
          <w:rFonts w:ascii="Times New Roman" w:hAnsi="Times New Roman"/>
          <w:sz w:val="18"/>
          <w:szCs w:val="18"/>
          <w:lang w:val="sr-Latn-RS"/>
        </w:rPr>
      </w:pPr>
      <w:r w:rsidRPr="00E44BBB">
        <w:rPr>
          <w:rStyle w:val="FootnoteReference"/>
          <w:rFonts w:ascii="Times New Roman" w:hAnsi="Times New Roman"/>
          <w:sz w:val="18"/>
          <w:szCs w:val="18"/>
        </w:rPr>
        <w:footnoteRef/>
      </w:r>
      <w:r w:rsidRPr="00E44BBB">
        <w:rPr>
          <w:rFonts w:ascii="Times New Roman" w:hAnsi="Times New Roman"/>
          <w:sz w:val="18"/>
          <w:szCs w:val="18"/>
        </w:rPr>
        <w:t xml:space="preserve"> </w:t>
      </w:r>
      <w:r w:rsidRPr="00E44BBB">
        <w:rPr>
          <w:rFonts w:ascii="Times New Roman" w:hAnsi="Times New Roman"/>
          <w:sz w:val="18"/>
          <w:szCs w:val="18"/>
          <w:lang w:val="sr-Latn-RS"/>
        </w:rPr>
        <w:t>„</w:t>
      </w:r>
      <w:r w:rsidRPr="00E44BBB">
        <w:rPr>
          <w:rFonts w:ascii="Times New Roman" w:hAnsi="Times New Roman"/>
          <w:sz w:val="18"/>
          <w:szCs w:val="18"/>
          <w:lang w:val="sr-Cyrl-RS"/>
        </w:rPr>
        <w:t>Сл</w:t>
      </w:r>
      <w:r>
        <w:rPr>
          <w:rFonts w:ascii="Times New Roman" w:hAnsi="Times New Roman"/>
          <w:sz w:val="18"/>
          <w:szCs w:val="18"/>
          <w:lang w:val="sr-Cyrl-RS"/>
        </w:rPr>
        <w:t>ужбени</w:t>
      </w:r>
      <w:r w:rsidRPr="00E44BBB">
        <w:rPr>
          <w:rFonts w:ascii="Times New Roman" w:hAnsi="Times New Roman"/>
          <w:sz w:val="18"/>
          <w:szCs w:val="18"/>
          <w:lang w:val="sr-Cyrl-RS"/>
        </w:rPr>
        <w:t xml:space="preserve"> гласник РС</w:t>
      </w:r>
      <w:r>
        <w:rPr>
          <w:rFonts w:ascii="Times New Roman" w:hAnsi="Times New Roman"/>
          <w:sz w:val="18"/>
          <w:szCs w:val="18"/>
          <w:lang w:val="sr-Latn-RS"/>
        </w:rPr>
        <w:t>”</w:t>
      </w:r>
      <w:r>
        <w:rPr>
          <w:rFonts w:ascii="Times New Roman" w:hAnsi="Times New Roman"/>
          <w:sz w:val="18"/>
          <w:szCs w:val="18"/>
          <w:lang w:val="sr-Cyrl-RS"/>
        </w:rPr>
        <w:t xml:space="preserve">, </w:t>
      </w:r>
      <w:r w:rsidRPr="00E44BBB">
        <w:rPr>
          <w:rFonts w:ascii="Times New Roman" w:hAnsi="Times New Roman"/>
          <w:sz w:val="18"/>
          <w:szCs w:val="18"/>
          <w:lang w:val="sr-Cyrl-RS"/>
        </w:rPr>
        <w:t xml:space="preserve"> бр. 9/14 </w:t>
      </w:r>
      <w:r>
        <w:rPr>
          <w:rFonts w:ascii="Times New Roman" w:hAnsi="Times New Roman"/>
          <w:sz w:val="18"/>
          <w:szCs w:val="18"/>
          <w:lang w:val="sr-Cyrl-RS"/>
        </w:rPr>
        <w:t>и</w:t>
      </w:r>
      <w:r w:rsidRPr="00E44BBB">
        <w:rPr>
          <w:rFonts w:ascii="Times New Roman" w:hAnsi="Times New Roman"/>
          <w:sz w:val="18"/>
          <w:szCs w:val="18"/>
          <w:lang w:val="sr-Cyrl-RS"/>
        </w:rPr>
        <w:t xml:space="preserve"> 42/14 - исправка</w:t>
      </w:r>
    </w:p>
  </w:footnote>
  <w:footnote w:id="3">
    <w:p w:rsidR="00BB481C" w:rsidRPr="00E44BBB" w:rsidRDefault="00BB481C" w:rsidP="00B671C8">
      <w:pPr>
        <w:pStyle w:val="FootnoteText"/>
        <w:spacing w:before="0"/>
        <w:rPr>
          <w:rFonts w:ascii="Times New Roman" w:hAnsi="Times New Roman"/>
          <w:sz w:val="18"/>
          <w:szCs w:val="18"/>
          <w:lang w:val="sr-Cyrl-RS"/>
        </w:rPr>
      </w:pPr>
      <w:r w:rsidRPr="00E44BBB">
        <w:rPr>
          <w:rStyle w:val="FootnoteReference"/>
          <w:rFonts w:ascii="Times New Roman" w:hAnsi="Times New Roman"/>
          <w:sz w:val="18"/>
          <w:szCs w:val="18"/>
        </w:rPr>
        <w:footnoteRef/>
      </w:r>
      <w:r w:rsidRPr="00E44BBB">
        <w:rPr>
          <w:rFonts w:ascii="Times New Roman" w:hAnsi="Times New Roman"/>
          <w:sz w:val="18"/>
          <w:szCs w:val="18"/>
        </w:rPr>
        <w:t xml:space="preserve"> https://www.mfin.gov.rs//upload/media/OUPTqo_6016bd999a20f.PDF</w:t>
      </w:r>
    </w:p>
  </w:footnote>
  <w:footnote w:id="4">
    <w:p w:rsidR="00BB481C" w:rsidRPr="00E44BBB" w:rsidRDefault="00BB481C" w:rsidP="00B671C8">
      <w:pPr>
        <w:pStyle w:val="FootnoteText"/>
        <w:spacing w:before="0"/>
        <w:rPr>
          <w:rFonts w:ascii="Times New Roman" w:hAnsi="Times New Roman"/>
          <w:sz w:val="18"/>
          <w:szCs w:val="18"/>
          <w:lang w:val="sr-Cyrl-RS"/>
        </w:rPr>
      </w:pPr>
      <w:r w:rsidRPr="00E44BBB">
        <w:rPr>
          <w:rStyle w:val="FootnoteReference"/>
          <w:rFonts w:ascii="Times New Roman" w:hAnsi="Times New Roman"/>
          <w:sz w:val="18"/>
          <w:szCs w:val="18"/>
        </w:rPr>
        <w:footnoteRef/>
      </w:r>
      <w:r w:rsidRPr="00E44BBB">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E44BBB">
        <w:rPr>
          <w:rFonts w:ascii="Times New Roman" w:hAnsi="Times New Roman"/>
          <w:sz w:val="18"/>
          <w:szCs w:val="18"/>
          <w:lang w:val="sr-Cyrl-RS"/>
        </w:rPr>
        <w:t>, бр</w:t>
      </w:r>
      <w:r>
        <w:rPr>
          <w:rFonts w:ascii="Times New Roman" w:hAnsi="Times New Roman"/>
          <w:sz w:val="18"/>
          <w:szCs w:val="18"/>
          <w:lang w:val="sr-Cyrl-RS"/>
        </w:rPr>
        <w:t>ој</w:t>
      </w:r>
      <w:r w:rsidRPr="00E44BBB">
        <w:rPr>
          <w:rFonts w:ascii="Times New Roman" w:hAnsi="Times New Roman"/>
          <w:sz w:val="18"/>
          <w:szCs w:val="18"/>
          <w:lang w:val="sr-Cyrl-RS"/>
        </w:rPr>
        <w:t xml:space="preserve"> 30/18</w:t>
      </w:r>
    </w:p>
  </w:footnote>
  <w:footnote w:id="5">
    <w:p w:rsidR="00BB481C" w:rsidRPr="00E44BBB" w:rsidRDefault="00BB481C" w:rsidP="00B671C8">
      <w:pPr>
        <w:pStyle w:val="FootnoteText"/>
        <w:spacing w:before="0"/>
        <w:rPr>
          <w:rFonts w:ascii="Times New Roman" w:hAnsi="Times New Roman"/>
          <w:sz w:val="18"/>
          <w:szCs w:val="18"/>
          <w:lang w:val="sr-Cyrl-RS"/>
        </w:rPr>
      </w:pPr>
      <w:r w:rsidRPr="00E44BBB">
        <w:rPr>
          <w:rStyle w:val="FootnoteReference"/>
          <w:rFonts w:ascii="Times New Roman" w:hAnsi="Times New Roman"/>
          <w:sz w:val="18"/>
          <w:szCs w:val="18"/>
        </w:rPr>
        <w:footnoteRef/>
      </w:r>
      <w:r w:rsidRPr="00E44BBB">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E44BBB">
        <w:rPr>
          <w:rFonts w:ascii="Times New Roman" w:hAnsi="Times New Roman"/>
          <w:sz w:val="18"/>
          <w:szCs w:val="18"/>
          <w:lang w:val="sr-Cyrl-RS"/>
        </w:rPr>
        <w:t>, бр</w:t>
      </w:r>
      <w:r>
        <w:rPr>
          <w:rFonts w:ascii="Times New Roman" w:hAnsi="Times New Roman"/>
          <w:sz w:val="18"/>
          <w:szCs w:val="18"/>
          <w:lang w:val="sr-Cyrl-RS"/>
        </w:rPr>
        <w:t>ој</w:t>
      </w:r>
      <w:r w:rsidRPr="00E44BBB">
        <w:rPr>
          <w:rFonts w:ascii="Times New Roman" w:hAnsi="Times New Roman"/>
          <w:sz w:val="18"/>
          <w:szCs w:val="18"/>
          <w:lang w:val="sr-Cyrl-RS"/>
        </w:rPr>
        <w:t xml:space="preserve"> 8/19</w:t>
      </w:r>
    </w:p>
  </w:footnote>
  <w:footnote w:id="6">
    <w:p w:rsidR="00BB481C" w:rsidRPr="00E44BBB" w:rsidRDefault="00BB481C" w:rsidP="00B671C8">
      <w:pPr>
        <w:pStyle w:val="FootnoteText"/>
        <w:spacing w:before="0"/>
        <w:rPr>
          <w:rFonts w:ascii="Times New Roman" w:hAnsi="Times New Roman"/>
          <w:sz w:val="18"/>
          <w:szCs w:val="18"/>
          <w:lang w:val="sr-Cyrl-RS"/>
        </w:rPr>
      </w:pPr>
      <w:r w:rsidRPr="00E44BBB">
        <w:rPr>
          <w:rStyle w:val="FootnoteReference"/>
          <w:rFonts w:ascii="Times New Roman" w:hAnsi="Times New Roman"/>
          <w:sz w:val="18"/>
          <w:szCs w:val="18"/>
        </w:rPr>
        <w:footnoteRef/>
      </w:r>
      <w:r w:rsidRPr="00E44BBB">
        <w:rPr>
          <w:rFonts w:ascii="Times New Roman" w:hAnsi="Times New Roman"/>
          <w:sz w:val="18"/>
          <w:szCs w:val="18"/>
        </w:rPr>
        <w:t xml:space="preserve"> </w:t>
      </w:r>
      <w:r w:rsidRPr="00E44BBB">
        <w:rPr>
          <w:rFonts w:ascii="Times New Roman" w:eastAsia="Calibri" w:hAnsi="Times New Roman"/>
          <w:sz w:val="18"/>
          <w:szCs w:val="18"/>
          <w:lang w:val="sr-Cyrl-RS"/>
        </w:rPr>
        <w:t>„Службени гласник РС</w:t>
      </w:r>
      <w:r>
        <w:rPr>
          <w:rStyle w:val="st1"/>
          <w:rFonts w:ascii="Times New Roman" w:hAnsi="Times New Roman"/>
          <w:sz w:val="18"/>
          <w:szCs w:val="18"/>
          <w:lang w:val="sr-Cyrl-RS"/>
        </w:rPr>
        <w:t>”</w:t>
      </w:r>
      <w:r w:rsidRPr="00E44BBB">
        <w:rPr>
          <w:rFonts w:ascii="Times New Roman" w:eastAsia="Calibri" w:hAnsi="Times New Roman"/>
          <w:sz w:val="18"/>
          <w:szCs w:val="18"/>
          <w:lang w:val="sr-Cyrl-RS"/>
        </w:rPr>
        <w:t>, број 51/17</w:t>
      </w:r>
    </w:p>
  </w:footnote>
  <w:footnote w:id="7">
    <w:p w:rsidR="00BB481C" w:rsidRPr="00E44BBB" w:rsidRDefault="00BB481C" w:rsidP="00B671C8">
      <w:pPr>
        <w:pStyle w:val="FootnoteText"/>
        <w:spacing w:before="0"/>
        <w:rPr>
          <w:rFonts w:ascii="Times New Roman" w:hAnsi="Times New Roman"/>
          <w:sz w:val="18"/>
          <w:szCs w:val="18"/>
          <w:lang w:val="sr-Cyrl-RS"/>
        </w:rPr>
      </w:pPr>
      <w:r w:rsidRPr="00E44BBB">
        <w:rPr>
          <w:rStyle w:val="FootnoteReference"/>
          <w:rFonts w:ascii="Times New Roman" w:hAnsi="Times New Roman"/>
          <w:sz w:val="18"/>
          <w:szCs w:val="18"/>
        </w:rPr>
        <w:footnoteRef/>
      </w:r>
      <w:r w:rsidRPr="00E44BBB">
        <w:rPr>
          <w:rFonts w:ascii="Times New Roman" w:hAnsi="Times New Roman"/>
          <w:sz w:val="18"/>
          <w:szCs w:val="18"/>
        </w:rPr>
        <w:t xml:space="preserve"> </w:t>
      </w:r>
      <w:r w:rsidRPr="00E44BBB">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E44BBB">
        <w:rPr>
          <w:rFonts w:ascii="Times New Roman" w:hAnsi="Times New Roman"/>
          <w:sz w:val="18"/>
          <w:szCs w:val="18"/>
          <w:lang w:val="sr-Cyrl-RS"/>
        </w:rPr>
        <w:t>, бр. 54/09, 73/10, 101/10, 101/11, 93/12, 62/13, 63/13 – исправка, 108/13, 142/14, 68/15 – др.</w:t>
      </w:r>
      <w:r>
        <w:rPr>
          <w:rFonts w:ascii="Times New Roman" w:hAnsi="Times New Roman"/>
          <w:sz w:val="18"/>
          <w:szCs w:val="18"/>
          <w:lang w:val="sr-Cyrl-RS"/>
        </w:rPr>
        <w:t xml:space="preserve"> закон, 103/19, 72/19 и 149/20</w:t>
      </w:r>
    </w:p>
  </w:footnote>
  <w:footnote w:id="8">
    <w:p w:rsidR="00BB481C" w:rsidRPr="00E44BBB" w:rsidRDefault="00BB481C" w:rsidP="00B671C8">
      <w:pPr>
        <w:pStyle w:val="FootnoteText"/>
        <w:spacing w:before="0"/>
        <w:rPr>
          <w:rFonts w:ascii="Times New Roman" w:hAnsi="Times New Roman"/>
          <w:sz w:val="18"/>
          <w:szCs w:val="18"/>
          <w:lang w:val="sr-Cyrl-RS"/>
        </w:rPr>
      </w:pPr>
      <w:r w:rsidRPr="00E44BBB">
        <w:rPr>
          <w:rStyle w:val="FootnoteReference"/>
          <w:rFonts w:ascii="Times New Roman" w:hAnsi="Times New Roman"/>
          <w:sz w:val="18"/>
          <w:szCs w:val="18"/>
        </w:rPr>
        <w:footnoteRef/>
      </w:r>
      <w:r w:rsidRPr="00E44BBB">
        <w:rPr>
          <w:rFonts w:ascii="Times New Roman" w:hAnsi="Times New Roman"/>
          <w:sz w:val="18"/>
          <w:szCs w:val="18"/>
        </w:rPr>
        <w:t xml:space="preserve"> </w:t>
      </w:r>
      <w:r w:rsidRPr="00E44BBB">
        <w:rPr>
          <w:rFonts w:ascii="Times New Roman" w:hAnsi="Times New Roman"/>
          <w:sz w:val="18"/>
          <w:szCs w:val="18"/>
          <w:lang w:val="sr-Cyrl-RS"/>
        </w:rPr>
        <w:t xml:space="preserve"> Фискална стратегија за 2021. годину са пројекцијама за 2022</w:t>
      </w:r>
      <w:r>
        <w:rPr>
          <w:rFonts w:ascii="Times New Roman" w:hAnsi="Times New Roman"/>
          <w:sz w:val="18"/>
          <w:szCs w:val="18"/>
          <w:lang w:val="sr-Cyrl-RS"/>
        </w:rPr>
        <w:t>.</w:t>
      </w:r>
      <w:r w:rsidRPr="00E44BBB">
        <w:rPr>
          <w:rFonts w:ascii="Times New Roman" w:hAnsi="Times New Roman"/>
          <w:sz w:val="18"/>
          <w:szCs w:val="18"/>
          <w:lang w:val="sr-Cyrl-RS"/>
        </w:rPr>
        <w:t xml:space="preserve"> и 2023. годину може се преузети са: https://mfin.gov.rs/dokumenti2/fiskalna-strategija</w:t>
      </w:r>
    </w:p>
  </w:footnote>
  <w:footnote w:id="9">
    <w:p w:rsidR="00BB481C" w:rsidRPr="00F9168C" w:rsidRDefault="00BB481C" w:rsidP="00B671C8">
      <w:pPr>
        <w:pStyle w:val="FootnoteText"/>
        <w:spacing w:before="0"/>
        <w:jc w:val="both"/>
        <w:rPr>
          <w:sz w:val="18"/>
          <w:szCs w:val="18"/>
          <w:lang w:val="sr-Cyrl-RS"/>
        </w:rPr>
      </w:pPr>
      <w:r w:rsidRPr="00612156">
        <w:rPr>
          <w:rFonts w:ascii="Times New Roman" w:hAnsi="Times New Roman"/>
          <w:sz w:val="18"/>
          <w:szCs w:val="18"/>
          <w:vertAlign w:val="superscript"/>
          <w:lang w:val="sr-Cyrl-RS"/>
        </w:rPr>
        <w:footnoteRef/>
      </w:r>
      <w:r w:rsidRPr="00612156">
        <w:rPr>
          <w:rFonts w:ascii="Times New Roman" w:hAnsi="Times New Roman"/>
          <w:sz w:val="18"/>
          <w:szCs w:val="18"/>
          <w:vertAlign w:val="superscript"/>
          <w:lang w:val="sr-Cyrl-RS"/>
        </w:rPr>
        <w:t xml:space="preserve"> </w:t>
      </w:r>
      <w:r w:rsidRPr="00F9168C">
        <w:rPr>
          <w:rFonts w:ascii="Times New Roman" w:hAnsi="Times New Roman"/>
          <w:sz w:val="18"/>
          <w:szCs w:val="18"/>
          <w:lang w:val="sr-Cyrl-RS"/>
        </w:rPr>
        <w:t>Стратегије развоја интерне финансијске контроле у јавном сектору у Републици Србији за период 2017–2020. године.</w:t>
      </w:r>
    </w:p>
  </w:footnote>
  <w:footnote w:id="10">
    <w:p w:rsidR="00BB481C" w:rsidRPr="00F24AF7" w:rsidRDefault="00BB481C" w:rsidP="001C00C3">
      <w:pPr>
        <w:pStyle w:val="FootnoteText"/>
        <w:spacing w:before="0"/>
        <w:jc w:val="both"/>
        <w:rPr>
          <w:rFonts w:ascii="Times New Roman" w:hAnsi="Times New Roman"/>
          <w:sz w:val="18"/>
          <w:szCs w:val="18"/>
          <w:lang w:val="sr-Cyrl-RS"/>
        </w:rPr>
      </w:pPr>
      <w:r w:rsidRPr="00F24AF7">
        <w:rPr>
          <w:rStyle w:val="FootnoteReference"/>
          <w:rFonts w:ascii="Times New Roman" w:hAnsi="Times New Roman"/>
          <w:sz w:val="18"/>
          <w:szCs w:val="18"/>
        </w:rPr>
        <w:footnoteRef/>
      </w:r>
      <w:r w:rsidRPr="00F24AF7">
        <w:rPr>
          <w:rFonts w:ascii="Times New Roman" w:hAnsi="Times New Roman"/>
          <w:sz w:val="18"/>
          <w:szCs w:val="18"/>
          <w:lang w:val="sr-Cyrl-RS"/>
        </w:rPr>
        <w:t xml:space="preserve"> </w:t>
      </w:r>
      <w:hyperlink r:id="rId1" w:history="1">
        <w:r w:rsidRPr="00F24AF7">
          <w:rPr>
            <w:rStyle w:val="Hyperlink"/>
            <w:rFonts w:ascii="Times New Roman" w:hAnsi="Times New Roman"/>
            <w:sz w:val="18"/>
            <w:szCs w:val="18"/>
          </w:rPr>
          <w:t>https</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www</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mfin</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gov</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rs</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dokumenti</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program</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reforme</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upravljanja</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javnim</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finansijama</w:t>
        </w:r>
        <w:r w:rsidRPr="00F24AF7">
          <w:rPr>
            <w:rStyle w:val="Hyperlink"/>
            <w:rFonts w:ascii="Times New Roman" w:hAnsi="Times New Roman"/>
            <w:sz w:val="18"/>
            <w:szCs w:val="18"/>
            <w:lang w:val="sr-Cyrl-RS"/>
          </w:rPr>
          <w:t>-</w:t>
        </w:r>
        <w:r w:rsidRPr="00F24AF7">
          <w:rPr>
            <w:rStyle w:val="Hyperlink"/>
            <w:rFonts w:ascii="Times New Roman" w:hAnsi="Times New Roman"/>
            <w:sz w:val="18"/>
            <w:szCs w:val="18"/>
          </w:rPr>
          <w:t>pfm</w:t>
        </w:r>
        <w:r w:rsidRPr="00F24AF7">
          <w:rPr>
            <w:rStyle w:val="Hyperlink"/>
            <w:rFonts w:ascii="Times New Roman" w:hAnsi="Times New Roman"/>
            <w:sz w:val="18"/>
            <w:szCs w:val="18"/>
            <w:lang w:val="sr-Cyrl-RS"/>
          </w:rPr>
          <w:t>/</w:t>
        </w:r>
      </w:hyperlink>
      <w:r w:rsidRPr="00F24AF7">
        <w:rPr>
          <w:rFonts w:ascii="Times New Roman" w:hAnsi="Times New Roman"/>
          <w:sz w:val="18"/>
          <w:szCs w:val="18"/>
          <w:lang w:val="sr-Cyrl-RS"/>
        </w:rPr>
        <w:t xml:space="preserve"> </w:t>
      </w:r>
    </w:p>
  </w:footnote>
  <w:footnote w:id="11">
    <w:p w:rsidR="00BB481C" w:rsidRPr="00F24AF7" w:rsidRDefault="00BB481C" w:rsidP="001C00C3">
      <w:pPr>
        <w:pStyle w:val="FootnoteText"/>
        <w:spacing w:before="0"/>
        <w:jc w:val="both"/>
        <w:rPr>
          <w:rFonts w:ascii="Times New Roman" w:hAnsi="Times New Roman"/>
          <w:sz w:val="18"/>
          <w:szCs w:val="18"/>
          <w:lang w:val="sr-Cyrl-RS"/>
        </w:rPr>
      </w:pPr>
      <w:r w:rsidRPr="00F24AF7">
        <w:rPr>
          <w:rFonts w:ascii="Times New Roman" w:hAnsi="Times New Roman"/>
          <w:sz w:val="18"/>
          <w:szCs w:val="18"/>
          <w:lang w:val="sr-Cyrl-RS"/>
        </w:rPr>
        <w:t xml:space="preserve"> </w:t>
      </w:r>
      <w:r w:rsidRPr="00F24AF7">
        <w:rPr>
          <w:rStyle w:val="FootnoteReference"/>
          <w:rFonts w:ascii="Times New Roman" w:hAnsi="Times New Roman"/>
          <w:sz w:val="18"/>
          <w:szCs w:val="18"/>
        </w:rPr>
        <w:footnoteRef/>
      </w:r>
      <w:r w:rsidRPr="00F24AF7">
        <w:rPr>
          <w:rFonts w:ascii="Times New Roman" w:hAnsi="Times New Roman"/>
          <w:sz w:val="18"/>
          <w:szCs w:val="18"/>
          <w:lang w:val="sr-Cyrl-RS"/>
        </w:rPr>
        <w:t xml:space="preserve"> Подаци од 4.</w:t>
      </w:r>
      <w:r>
        <w:rPr>
          <w:rFonts w:ascii="Times New Roman" w:hAnsi="Times New Roman"/>
          <w:sz w:val="18"/>
          <w:szCs w:val="18"/>
          <w:lang w:val="sr-Cyrl-RS"/>
        </w:rPr>
        <w:t xml:space="preserve"> фебруара </w:t>
      </w:r>
      <w:r w:rsidRPr="00F24AF7">
        <w:rPr>
          <w:rFonts w:ascii="Times New Roman" w:hAnsi="Times New Roman"/>
          <w:sz w:val="18"/>
          <w:szCs w:val="18"/>
          <w:lang w:val="sr-Cyrl-RS"/>
        </w:rPr>
        <w:t>2021.</w:t>
      </w:r>
      <w:r>
        <w:rPr>
          <w:rFonts w:ascii="Times New Roman" w:hAnsi="Times New Roman"/>
          <w:sz w:val="18"/>
          <w:szCs w:val="18"/>
          <w:lang w:val="sr-Cyrl-RS"/>
        </w:rPr>
        <w:t xml:space="preserve"> године</w:t>
      </w:r>
      <w:r w:rsidRPr="00F24AF7">
        <w:rPr>
          <w:rFonts w:ascii="Times New Roman" w:hAnsi="Times New Roman"/>
          <w:sz w:val="18"/>
          <w:szCs w:val="18"/>
          <w:lang w:val="sr-Cyrl-RS"/>
        </w:rPr>
        <w:t xml:space="preserve"> преузети 25.</w:t>
      </w:r>
      <w:r>
        <w:rPr>
          <w:rFonts w:ascii="Times New Roman" w:hAnsi="Times New Roman"/>
          <w:sz w:val="18"/>
          <w:szCs w:val="18"/>
          <w:lang w:val="sr-Cyrl-RS"/>
        </w:rPr>
        <w:t xml:space="preserve"> фебруара </w:t>
      </w:r>
      <w:r w:rsidRPr="00F24AF7">
        <w:rPr>
          <w:rFonts w:ascii="Times New Roman" w:hAnsi="Times New Roman"/>
          <w:sz w:val="18"/>
          <w:szCs w:val="18"/>
          <w:lang w:val="sr-Cyrl-RS"/>
        </w:rPr>
        <w:t>2021</w:t>
      </w:r>
      <w:r>
        <w:rPr>
          <w:rFonts w:ascii="Times New Roman" w:hAnsi="Times New Roman"/>
          <w:sz w:val="18"/>
          <w:szCs w:val="18"/>
          <w:lang w:val="sr-Cyrl-RS"/>
        </w:rPr>
        <w:t>. године</w:t>
      </w:r>
      <w:r w:rsidRPr="00F24AF7">
        <w:rPr>
          <w:rFonts w:ascii="Times New Roman" w:hAnsi="Times New Roman"/>
          <w:sz w:val="18"/>
          <w:szCs w:val="18"/>
          <w:lang w:val="sr-Cyrl-RS"/>
        </w:rPr>
        <w:t xml:space="preserve"> на: https://www.mfin.gov.rs/dokumenti/makroekonomski-i-fiskalni-podaci/   </w:t>
      </w:r>
    </w:p>
  </w:footnote>
  <w:footnote w:id="12">
    <w:p w:rsidR="00BB481C" w:rsidRPr="00F24AF7" w:rsidRDefault="00BB481C" w:rsidP="001C00C3">
      <w:pPr>
        <w:pStyle w:val="FootnoteText"/>
        <w:spacing w:before="0"/>
        <w:jc w:val="both"/>
        <w:rPr>
          <w:rFonts w:ascii="Times New Roman" w:hAnsi="Times New Roman"/>
          <w:sz w:val="18"/>
          <w:szCs w:val="18"/>
          <w:lang w:val="sr-Cyrl-RS"/>
        </w:rPr>
      </w:pPr>
      <w:r w:rsidRPr="00F24AF7">
        <w:rPr>
          <w:rStyle w:val="FootnoteReference"/>
          <w:rFonts w:ascii="Times New Roman" w:hAnsi="Times New Roman"/>
          <w:sz w:val="18"/>
          <w:szCs w:val="18"/>
        </w:rPr>
        <w:footnoteRef/>
      </w:r>
      <w:r w:rsidRPr="00F24AF7">
        <w:rPr>
          <w:rFonts w:ascii="Times New Roman" w:hAnsi="Times New Roman"/>
          <w:sz w:val="18"/>
          <w:szCs w:val="18"/>
          <w:lang w:val="sr-Cyrl-RS"/>
        </w:rPr>
        <w:t xml:space="preserve"> Процена Министарства финансија из фебруара 2021. године: https://www.mfin.gov.rs/dokumenti/makroekonomski-i-fiskalni-podaci/</w:t>
      </w:r>
    </w:p>
  </w:footnote>
  <w:footnote w:id="13">
    <w:p w:rsidR="00BB481C" w:rsidRPr="00247BC8" w:rsidRDefault="00BB481C" w:rsidP="001C00C3">
      <w:pPr>
        <w:pStyle w:val="FootnoteText"/>
        <w:spacing w:before="0"/>
        <w:jc w:val="both"/>
        <w:rPr>
          <w:rFonts w:ascii="Times New Roman" w:hAnsi="Times New Roman"/>
          <w:color w:val="4F6372"/>
          <w:sz w:val="18"/>
          <w:szCs w:val="18"/>
          <w:u w:val="single"/>
          <w:lang w:val="sr-Cyrl-RS"/>
        </w:rPr>
      </w:pPr>
      <w:r w:rsidRPr="00247BC8">
        <w:rPr>
          <w:rStyle w:val="FootnoteReference"/>
          <w:rFonts w:ascii="Times New Roman" w:eastAsiaTheme="majorEastAsia" w:hAnsi="Times New Roman"/>
          <w:sz w:val="18"/>
          <w:szCs w:val="18"/>
          <w:lang w:val="sr-Cyrl-RS"/>
        </w:rPr>
        <w:footnoteRef/>
      </w:r>
      <w:r w:rsidRPr="00247BC8">
        <w:rPr>
          <w:rFonts w:ascii="Times New Roman" w:hAnsi="Times New Roman"/>
          <w:sz w:val="18"/>
          <w:szCs w:val="18"/>
          <w:lang w:val="sr-Cyrl-RS"/>
        </w:rPr>
        <w:t xml:space="preserve"> European Commission, </w:t>
      </w:r>
      <w:r w:rsidRPr="00247BC8">
        <w:rPr>
          <w:rFonts w:ascii="Times New Roman" w:hAnsi="Times New Roman"/>
          <w:i/>
          <w:sz w:val="18"/>
          <w:szCs w:val="18"/>
          <w:lang w:val="sr-Cyrl-RS"/>
        </w:rPr>
        <w:t>Budget Support Guidelines</w:t>
      </w:r>
      <w:r w:rsidRPr="00247BC8">
        <w:rPr>
          <w:rFonts w:ascii="Times New Roman" w:hAnsi="Times New Roman"/>
          <w:sz w:val="18"/>
          <w:szCs w:val="18"/>
          <w:lang w:val="sr-Cyrl-RS"/>
        </w:rPr>
        <w:t xml:space="preserve">, September 2017, </w:t>
      </w:r>
      <w:r w:rsidRPr="00247BC8">
        <w:rPr>
          <w:rFonts w:ascii="Times New Roman" w:hAnsi="Times New Roman"/>
          <w:color w:val="4F6372"/>
          <w:sz w:val="18"/>
          <w:szCs w:val="18"/>
          <w:u w:val="single"/>
          <w:lang w:val="sr-Cyrl-RS"/>
        </w:rPr>
        <w:t>https://ec.europa.eu/europeaid/budget-support-guidelines_en</w:t>
      </w:r>
    </w:p>
  </w:footnote>
  <w:footnote w:id="14">
    <w:p w:rsidR="00BB481C" w:rsidRPr="00247BC8" w:rsidRDefault="00BB481C" w:rsidP="001C00C3">
      <w:pPr>
        <w:pStyle w:val="FootnoteText"/>
        <w:spacing w:before="0"/>
        <w:jc w:val="both"/>
        <w:rPr>
          <w:rFonts w:ascii="Times New Roman" w:hAnsi="Times New Roman"/>
          <w:sz w:val="18"/>
          <w:szCs w:val="18"/>
        </w:rPr>
      </w:pPr>
      <w:r w:rsidRPr="00247BC8">
        <w:rPr>
          <w:rStyle w:val="FootnoteReference"/>
          <w:rFonts w:ascii="Times New Roman" w:hAnsi="Times New Roman"/>
          <w:sz w:val="18"/>
          <w:szCs w:val="18"/>
        </w:rPr>
        <w:footnoteRef/>
      </w:r>
      <w:r w:rsidRPr="00247BC8">
        <w:rPr>
          <w:rFonts w:ascii="Times New Roman" w:hAnsi="Times New Roman"/>
          <w:sz w:val="18"/>
          <w:szCs w:val="18"/>
        </w:rPr>
        <w:t xml:space="preserve"> </w:t>
      </w:r>
      <w:r w:rsidRPr="00247BC8">
        <w:rPr>
          <w:rFonts w:ascii="Times New Roman" w:hAnsi="Times New Roman"/>
          <w:sz w:val="18"/>
          <w:szCs w:val="18"/>
          <w:lang w:val="sr-Cyrl-RS"/>
        </w:rPr>
        <w:t>Грађански буџет за 2021</w:t>
      </w:r>
      <w:r>
        <w:rPr>
          <w:rFonts w:ascii="Times New Roman" w:hAnsi="Times New Roman"/>
          <w:sz w:val="18"/>
          <w:szCs w:val="18"/>
          <w:lang w:val="sr-Cyrl-RS"/>
        </w:rPr>
        <w:t>.</w:t>
      </w:r>
      <w:r w:rsidRPr="00247BC8">
        <w:rPr>
          <w:rFonts w:ascii="Times New Roman" w:hAnsi="Times New Roman"/>
          <w:sz w:val="18"/>
          <w:szCs w:val="18"/>
          <w:lang w:val="sr-Cyrl-RS"/>
        </w:rPr>
        <w:t xml:space="preserve"> годину: </w:t>
      </w:r>
      <w:r w:rsidRPr="00247BC8">
        <w:rPr>
          <w:rFonts w:ascii="Times New Roman" w:hAnsi="Times New Roman"/>
          <w:sz w:val="18"/>
          <w:szCs w:val="18"/>
        </w:rPr>
        <w:t>https://www.mfin.gov.rs/tip-dokumenta/gradjanski-budzet/</w:t>
      </w:r>
    </w:p>
  </w:footnote>
  <w:footnote w:id="15">
    <w:p w:rsidR="00BB481C" w:rsidRPr="000A5992" w:rsidRDefault="00BB481C" w:rsidP="001C00C3">
      <w:pPr>
        <w:pStyle w:val="FootnoteText"/>
        <w:jc w:val="both"/>
        <w:rPr>
          <w:rFonts w:ascii="Tahoma" w:hAnsi="Tahoma" w:cs="Tahoma"/>
          <w:sz w:val="18"/>
          <w:szCs w:val="18"/>
          <w:lang w:val="sr-Cyrl-RS"/>
        </w:rPr>
      </w:pPr>
      <w:r>
        <w:rPr>
          <w:rStyle w:val="FootnoteReference"/>
        </w:rPr>
        <w:footnoteRef/>
      </w:r>
      <w:r>
        <w:t xml:space="preserve"> </w:t>
      </w:r>
      <w:r w:rsidRPr="00546F41">
        <w:rPr>
          <w:rFonts w:ascii="Times New Roman" w:hAnsi="Times New Roman"/>
          <w:sz w:val="18"/>
          <w:szCs w:val="18"/>
          <w:lang w:val="sr-Cyrl-RS"/>
        </w:rPr>
        <w:t>2018. године</w:t>
      </w:r>
      <w:r>
        <w:rPr>
          <w:rFonts w:ascii="Times New Roman" w:hAnsi="Times New Roman"/>
          <w:sz w:val="18"/>
          <w:szCs w:val="18"/>
          <w:lang w:val="sr-Cyrl-RS"/>
        </w:rPr>
        <w:t xml:space="preserve"> у оквиру Програма Exchange 5 (</w:t>
      </w:r>
      <w:r w:rsidRPr="00546F41">
        <w:rPr>
          <w:rFonts w:ascii="Times New Roman" w:hAnsi="Times New Roman"/>
          <w:sz w:val="18"/>
          <w:szCs w:val="18"/>
          <w:lang w:val="sr-Cyrl-RS"/>
        </w:rPr>
        <w:t>ЕУ, ИПА 2014) у сарадњи Министарства финансија и СКГО припремљен је и промовисан модел грађанског водича кроз буџет намењен градовима и општинама у циљу подстицања ЛС да ове водиче израђују и објављују.</w:t>
      </w:r>
    </w:p>
  </w:footnote>
  <w:footnote w:id="16">
    <w:p w:rsidR="00BB481C" w:rsidRPr="00A25A0C" w:rsidRDefault="00BB481C" w:rsidP="001C00C3">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„Служб</w:t>
      </w:r>
      <w:r>
        <w:rPr>
          <w:rFonts w:ascii="Times New Roman" w:hAnsi="Times New Roman"/>
          <w:sz w:val="18"/>
          <w:szCs w:val="18"/>
          <w:lang w:val="sr-Cyrl-RS"/>
        </w:rPr>
        <w:t>е</w:t>
      </w:r>
      <w:r w:rsidRPr="00A25A0C">
        <w:rPr>
          <w:rFonts w:ascii="Times New Roman" w:hAnsi="Times New Roman"/>
          <w:sz w:val="18"/>
          <w:szCs w:val="18"/>
          <w:lang w:val="sr-Cyrl-RS"/>
        </w:rPr>
        <w:t>ни гласник РС</w:t>
      </w:r>
      <w:r>
        <w:rPr>
          <w:rFonts w:ascii="Times New Roman" w:hAnsi="Times New Roman"/>
          <w:sz w:val="18"/>
          <w:szCs w:val="18"/>
          <w:lang w:val="sr-Cyrl-RS"/>
        </w:rPr>
        <w:t>”</w:t>
      </w:r>
      <w:r w:rsidRPr="00A25A0C">
        <w:rPr>
          <w:rFonts w:ascii="Times New Roman" w:hAnsi="Times New Roman"/>
          <w:sz w:val="18"/>
          <w:szCs w:val="18"/>
          <w:lang w:val="sr-Cyrl-RS"/>
        </w:rPr>
        <w:t>, бр. 95/18, 91/19 - др. закон и 144/20</w:t>
      </w:r>
    </w:p>
  </w:footnote>
  <w:footnote w:id="17">
    <w:p w:rsidR="00BB481C" w:rsidRPr="00A25A0C" w:rsidRDefault="00BB481C" w:rsidP="001C00C3">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A25A0C">
        <w:rPr>
          <w:rFonts w:ascii="Times New Roman" w:hAnsi="Times New Roman"/>
          <w:sz w:val="18"/>
          <w:szCs w:val="18"/>
          <w:lang w:val="sr-Cyrl-RS"/>
        </w:rPr>
        <w:t>, бр</w:t>
      </w:r>
      <w:r>
        <w:rPr>
          <w:rFonts w:ascii="Times New Roman" w:hAnsi="Times New Roman"/>
          <w:sz w:val="18"/>
          <w:szCs w:val="18"/>
          <w:lang w:val="sr-Cyrl-RS"/>
        </w:rPr>
        <w:t>ој</w:t>
      </w:r>
      <w:r w:rsidRPr="00A25A0C">
        <w:rPr>
          <w:rFonts w:ascii="Times New Roman" w:hAnsi="Times New Roman"/>
          <w:sz w:val="18"/>
          <w:szCs w:val="18"/>
          <w:lang w:val="sr-Cyrl-RS"/>
        </w:rPr>
        <w:t xml:space="preserve"> 95/18</w:t>
      </w:r>
    </w:p>
  </w:footnote>
  <w:footnote w:id="18">
    <w:p w:rsidR="00BB481C" w:rsidRPr="007738AE" w:rsidRDefault="00BB481C" w:rsidP="001C00C3">
      <w:pPr>
        <w:jc w:val="both"/>
        <w:rPr>
          <w:rFonts w:ascii="Times New Roman" w:hAnsi="Times New Roman" w:cs="Times New Roman"/>
          <w:sz w:val="18"/>
          <w:szCs w:val="18"/>
          <w:lang w:val="sr-Cyrl-RS"/>
        </w:rPr>
      </w:pPr>
      <w:r w:rsidRPr="007738AE">
        <w:rPr>
          <w:rStyle w:val="FootnoteReference"/>
          <w:rFonts w:ascii="Times New Roman" w:hAnsi="Times New Roman" w:cs="Times New Roman"/>
          <w:sz w:val="18"/>
          <w:szCs w:val="18"/>
        </w:rPr>
        <w:footnoteRef/>
      </w:r>
      <w:r w:rsidRPr="007738AE">
        <w:rPr>
          <w:rFonts w:ascii="Times New Roman" w:hAnsi="Times New Roman" w:cs="Times New Roman"/>
          <w:sz w:val="18"/>
          <w:szCs w:val="18"/>
          <w:lang w:val="sr-Cyrl-RS"/>
        </w:rPr>
        <w:t xml:space="preserve"> Обавештење за субјекте ревизије: </w:t>
      </w:r>
      <w:hyperlink r:id="rId2" w:history="1">
        <w:r w:rsidRPr="007738AE">
          <w:rPr>
            <w:rFonts w:ascii="Times New Roman" w:hAnsi="Times New Roman" w:cs="Times New Roman"/>
            <w:sz w:val="18"/>
            <w:szCs w:val="18"/>
          </w:rPr>
          <w:t>https</w:t>
        </w:r>
        <w:r w:rsidRPr="007738AE">
          <w:rPr>
            <w:rFonts w:ascii="Times New Roman" w:hAnsi="Times New Roman" w:cs="Times New Roman"/>
            <w:sz w:val="18"/>
            <w:szCs w:val="18"/>
            <w:lang w:val="sr-Cyrl-RS"/>
          </w:rPr>
          <w:t>://</w:t>
        </w:r>
        <w:r w:rsidRPr="007738AE">
          <w:rPr>
            <w:rFonts w:ascii="Times New Roman" w:hAnsi="Times New Roman" w:cs="Times New Roman"/>
            <w:sz w:val="18"/>
            <w:szCs w:val="18"/>
          </w:rPr>
          <w:t>www</w:t>
        </w:r>
        <w:r w:rsidRPr="007738AE">
          <w:rPr>
            <w:rFonts w:ascii="Times New Roman" w:hAnsi="Times New Roman" w:cs="Times New Roman"/>
            <w:sz w:val="18"/>
            <w:szCs w:val="18"/>
            <w:lang w:val="sr-Cyrl-RS"/>
          </w:rPr>
          <w:t>.</w:t>
        </w:r>
        <w:r w:rsidRPr="007738AE">
          <w:rPr>
            <w:rFonts w:ascii="Times New Roman" w:hAnsi="Times New Roman" w:cs="Times New Roman"/>
            <w:sz w:val="18"/>
            <w:szCs w:val="18"/>
          </w:rPr>
          <w:t>dri</w:t>
        </w:r>
        <w:r w:rsidRPr="007738AE">
          <w:rPr>
            <w:rFonts w:ascii="Times New Roman" w:hAnsi="Times New Roman" w:cs="Times New Roman"/>
            <w:sz w:val="18"/>
            <w:szCs w:val="18"/>
            <w:lang w:val="sr-Cyrl-RS"/>
          </w:rPr>
          <w:t>.</w:t>
        </w:r>
        <w:r w:rsidRPr="007738AE">
          <w:rPr>
            <w:rFonts w:ascii="Times New Roman" w:hAnsi="Times New Roman" w:cs="Times New Roman"/>
            <w:sz w:val="18"/>
            <w:szCs w:val="18"/>
          </w:rPr>
          <w:t>rs</w:t>
        </w:r>
        <w:r w:rsidRPr="007738AE">
          <w:rPr>
            <w:rFonts w:ascii="Times New Roman" w:hAnsi="Times New Roman" w:cs="Times New Roman"/>
            <w:sz w:val="18"/>
            <w:szCs w:val="18"/>
            <w:lang w:val="sr-Cyrl-RS"/>
          </w:rPr>
          <w:t>/медији/Обавештење-за-субјекте-ревизије.</w:t>
        </w:r>
        <w:r w:rsidRPr="007738AE">
          <w:rPr>
            <w:rFonts w:ascii="Times New Roman" w:hAnsi="Times New Roman" w:cs="Times New Roman"/>
            <w:sz w:val="18"/>
            <w:szCs w:val="18"/>
            <w:lang w:val="sr-Latn-RS"/>
          </w:rPr>
          <w:t>n-339.7.html</w:t>
        </w:r>
      </w:hyperlink>
    </w:p>
  </w:footnote>
  <w:footnote w:id="19">
    <w:p w:rsidR="00BB481C" w:rsidRPr="007738AE" w:rsidRDefault="00BB481C" w:rsidP="001C00C3">
      <w:pPr>
        <w:pStyle w:val="FootnoteText"/>
        <w:spacing w:before="0"/>
        <w:jc w:val="both"/>
        <w:rPr>
          <w:rFonts w:ascii="Times New Roman" w:hAnsi="Times New Roman"/>
          <w:sz w:val="18"/>
          <w:szCs w:val="18"/>
          <w:lang w:val="sr-Cyrl-RS"/>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w:t>
      </w:r>
      <w:hyperlink r:id="rId3" w:history="1">
        <w:r w:rsidRPr="007738AE">
          <w:rPr>
            <w:rStyle w:val="Hyperlink"/>
            <w:rFonts w:ascii="Times New Roman" w:hAnsi="Times New Roman"/>
            <w:sz w:val="18"/>
            <w:szCs w:val="18"/>
          </w:rPr>
          <w:t>https://www.dri.rs/revizije/poslerevizioni-izvestaji/2019-za-rev-2018.442.html</w:t>
        </w:r>
      </w:hyperlink>
    </w:p>
  </w:footnote>
  <w:footnote w:id="20">
    <w:p w:rsidR="00BB481C" w:rsidRPr="007738AE" w:rsidRDefault="00BB481C" w:rsidP="001C00C3">
      <w:pPr>
        <w:pStyle w:val="FootnoteText"/>
        <w:spacing w:before="0"/>
        <w:jc w:val="both"/>
        <w:rPr>
          <w:rFonts w:ascii="Times New Roman" w:hAnsi="Times New Roman"/>
          <w:sz w:val="18"/>
          <w:szCs w:val="18"/>
          <w:lang w:val="sr-Cyrl-RS"/>
        </w:rPr>
      </w:pPr>
      <w:r w:rsidRPr="007738AE">
        <w:rPr>
          <w:rStyle w:val="FootnoteReference"/>
          <w:rFonts w:ascii="Times New Roman" w:hAnsi="Times New Roman"/>
          <w:sz w:val="18"/>
          <w:szCs w:val="18"/>
        </w:rPr>
        <w:footnoteRef/>
      </w:r>
      <w:r w:rsidRPr="007738AE">
        <w:rPr>
          <w:rFonts w:ascii="Times New Roman" w:hAnsi="Times New Roman"/>
          <w:sz w:val="18"/>
          <w:szCs w:val="18"/>
          <w:lang w:val="sr-Cyrl-RS"/>
        </w:rPr>
        <w:t xml:space="preserve"> Резиме извештаја о ревизији: </w:t>
      </w:r>
      <w:hyperlink r:id="rId4" w:history="1">
        <w:r w:rsidRPr="007738AE">
          <w:rPr>
            <w:rStyle w:val="Hyperlink"/>
            <w:rFonts w:ascii="Times New Roman" w:hAnsi="Times New Roman"/>
            <w:sz w:val="18"/>
            <w:szCs w:val="18"/>
            <w:lang w:val="sr-Cyrl-RS"/>
          </w:rPr>
          <w:t>https://www.dri.rs/revizije/rezime-izvestaja-o-reviziji/arhiva-2019.460.html</w:t>
        </w:r>
      </w:hyperlink>
    </w:p>
    <w:p w:rsidR="00BB481C" w:rsidRPr="007738AE" w:rsidRDefault="00BB481C" w:rsidP="001C00C3">
      <w:pPr>
        <w:pStyle w:val="FootnoteText"/>
        <w:spacing w:before="0"/>
        <w:jc w:val="both"/>
        <w:rPr>
          <w:rFonts w:ascii="Times New Roman" w:hAnsi="Times New Roman"/>
          <w:sz w:val="18"/>
          <w:szCs w:val="18"/>
          <w:lang w:val="sr-Cyrl-RS"/>
        </w:rPr>
      </w:pPr>
      <w:r w:rsidRPr="008659B4">
        <w:rPr>
          <w:rFonts w:ascii="Times New Roman" w:hAnsi="Times New Roman"/>
          <w:sz w:val="18"/>
          <w:szCs w:val="18"/>
          <w:lang w:val="sr-Cyrl-RS"/>
        </w:rPr>
        <w:t>https://www.dri.rs/%D1%80%D0%B5%D0%B2%D0%B8%D0%B7%D0%B8%D1%98%D0%B5/%D1%80%D0%B5%D0%B7%D0%B8%D0%BC%D0%B5-%D0%B8%D0%B7%D0%B2%D0%B5%D1%88%D1%82%D0%B0%D1%98%D0%B0-%D0%BE-%D1%80%D0%B5%D0%B2%D0%B8%D0%B7%D0%B8%D1%98%D0%B8.405.html</w:t>
      </w:r>
    </w:p>
  </w:footnote>
  <w:footnote w:id="21">
    <w:p w:rsidR="00BB481C" w:rsidRPr="00A04687" w:rsidRDefault="00BB481C" w:rsidP="001C00C3">
      <w:pPr>
        <w:pStyle w:val="FootnoteText"/>
        <w:spacing w:before="0"/>
        <w:rPr>
          <w:rFonts w:ascii="Times New Roman" w:hAnsi="Times New Roman"/>
          <w:sz w:val="18"/>
          <w:szCs w:val="18"/>
          <w:lang w:val="sr-Cyrl-RS"/>
        </w:rPr>
      </w:pPr>
      <w:r w:rsidRPr="00A04687">
        <w:rPr>
          <w:rStyle w:val="FootnoteReference"/>
          <w:rFonts w:ascii="Times New Roman" w:hAnsi="Times New Roman"/>
          <w:sz w:val="18"/>
          <w:szCs w:val="18"/>
        </w:rPr>
        <w:footnoteRef/>
      </w:r>
      <w:r w:rsidRPr="00A04687">
        <w:rPr>
          <w:rFonts w:ascii="Times New Roman" w:hAnsi="Times New Roman"/>
          <w:sz w:val="18"/>
          <w:szCs w:val="18"/>
        </w:rPr>
        <w:t xml:space="preserve"> </w:t>
      </w:r>
      <w:r w:rsidRPr="00A04687">
        <w:rPr>
          <w:rFonts w:ascii="Times New Roman" w:hAnsi="Times New Roman"/>
          <w:sz w:val="18"/>
          <w:szCs w:val="18"/>
          <w:lang w:val="sr-Cyrl-RS"/>
        </w:rPr>
        <w:t>ЕРП 2021-2023 стр.78.</w:t>
      </w:r>
    </w:p>
  </w:footnote>
  <w:footnote w:id="22">
    <w:p w:rsidR="00BB481C" w:rsidRPr="00235395" w:rsidRDefault="00BB481C" w:rsidP="001C00C3">
      <w:pPr>
        <w:pStyle w:val="FootnoteText"/>
        <w:spacing w:before="0"/>
        <w:jc w:val="both"/>
        <w:rPr>
          <w:rFonts w:ascii="Times New Roman" w:hAnsi="Times New Roman"/>
          <w:sz w:val="18"/>
          <w:szCs w:val="18"/>
          <w:lang w:val="sr-Cyrl-RS"/>
        </w:rPr>
      </w:pPr>
      <w:r w:rsidRPr="00235395">
        <w:rPr>
          <w:rStyle w:val="FootnoteReference"/>
          <w:rFonts w:ascii="Times New Roman" w:hAnsi="Times New Roman"/>
          <w:sz w:val="18"/>
          <w:szCs w:val="18"/>
        </w:rPr>
        <w:footnoteRef/>
      </w:r>
      <w:r w:rsidRPr="00235395">
        <w:rPr>
          <w:rFonts w:ascii="Times New Roman" w:hAnsi="Times New Roman"/>
          <w:sz w:val="18"/>
          <w:szCs w:val="18"/>
          <w:lang w:val="sr-Cyrl-RS"/>
        </w:rPr>
        <w:t xml:space="preserve"> Пријаве сумњи на неправилности или превару коришћењу ЕУ средстава и поступању са финансијским средствима РС: </w:t>
      </w:r>
      <w:hyperlink r:id="rId5" w:history="1">
        <w:r w:rsidRPr="00235395">
          <w:rPr>
            <w:rStyle w:val="Hyperlink"/>
            <w:rFonts w:ascii="Times New Roman" w:hAnsi="Times New Roman"/>
            <w:sz w:val="18"/>
            <w:szCs w:val="18"/>
            <w:lang w:val="sr-Cyrl-RS"/>
          </w:rPr>
          <w:t>https://www.mfin.gov.rs/kontrola-javnih-sredstava/prijave-nepravilnosti/</w:t>
        </w:r>
      </w:hyperlink>
      <w:r w:rsidRPr="00235395">
        <w:rPr>
          <w:rFonts w:ascii="Times New Roman" w:hAnsi="Times New Roman"/>
          <w:sz w:val="18"/>
          <w:szCs w:val="18"/>
          <w:lang w:val="sr-Cyrl-RS"/>
        </w:rPr>
        <w:t xml:space="preserve"> </w:t>
      </w:r>
    </w:p>
  </w:footnote>
  <w:footnote w:id="23">
    <w:p w:rsidR="00BB481C" w:rsidRPr="009C38AD" w:rsidRDefault="00BB481C" w:rsidP="003F017F">
      <w:pPr>
        <w:pStyle w:val="FootnoteText"/>
        <w:spacing w:before="0"/>
        <w:jc w:val="both"/>
        <w:rPr>
          <w:rFonts w:ascii="Times New Roman" w:hAnsi="Times New Roman"/>
          <w:sz w:val="18"/>
          <w:szCs w:val="18"/>
          <w:lang w:val="sr-Cyrl-RS"/>
        </w:rPr>
      </w:pPr>
      <w:r w:rsidRPr="009C38AD">
        <w:rPr>
          <w:rStyle w:val="FootnoteReference"/>
          <w:rFonts w:ascii="Times New Roman" w:hAnsi="Times New Roman"/>
          <w:sz w:val="18"/>
          <w:szCs w:val="18"/>
        </w:rPr>
        <w:footnoteRef/>
      </w:r>
      <w:r w:rsidRPr="009C38AD">
        <w:rPr>
          <w:rFonts w:ascii="Times New Roman" w:hAnsi="Times New Roman"/>
          <w:sz w:val="18"/>
          <w:szCs w:val="18"/>
        </w:rPr>
        <w:t xml:space="preserve"> </w:t>
      </w:r>
      <w:r w:rsidRPr="009C38AD">
        <w:rPr>
          <w:rFonts w:ascii="Times New Roman" w:hAnsi="Times New Roman"/>
          <w:sz w:val="18"/>
          <w:szCs w:val="18"/>
          <w:lang w:val="sr-Cyrl-RS"/>
        </w:rPr>
        <w:t>Сектор за међународну сарадњу и европске интеграције, Сектор за макроекономске анали</w:t>
      </w:r>
      <w:r>
        <w:rPr>
          <w:rFonts w:ascii="Times New Roman" w:hAnsi="Times New Roman"/>
          <w:sz w:val="18"/>
          <w:szCs w:val="18"/>
          <w:lang w:val="sr-Cyrl-RS"/>
        </w:rPr>
        <w:t>з</w:t>
      </w:r>
      <w:r w:rsidRPr="009C38AD">
        <w:rPr>
          <w:rFonts w:ascii="Times New Roman" w:hAnsi="Times New Roman"/>
          <w:sz w:val="18"/>
          <w:szCs w:val="18"/>
          <w:lang w:val="sr-Cyrl-RS"/>
        </w:rPr>
        <w:t>е и пројекције, Сектор буџета, Сектор за фискални систем, Сектор за праћење фискалних ризика, Сектор за царински систем и политику,  сектор – Централна јединица за хармонизац</w:t>
      </w:r>
      <w:r>
        <w:rPr>
          <w:rFonts w:ascii="Times New Roman" w:hAnsi="Times New Roman"/>
          <w:sz w:val="18"/>
          <w:szCs w:val="18"/>
          <w:lang w:val="sr-Cyrl-RS"/>
        </w:rPr>
        <w:t>и</w:t>
      </w:r>
      <w:r w:rsidRPr="009C38AD">
        <w:rPr>
          <w:rFonts w:ascii="Times New Roman" w:hAnsi="Times New Roman"/>
          <w:sz w:val="18"/>
          <w:szCs w:val="18"/>
          <w:lang w:val="sr-Cyrl-RS"/>
        </w:rPr>
        <w:t>ју, Сектор за буџетску инспекцију, Одељење за сузбијање неправилности и превара у поступању са Е</w:t>
      </w:r>
      <w:r>
        <w:rPr>
          <w:rFonts w:ascii="Times New Roman" w:hAnsi="Times New Roman"/>
          <w:sz w:val="18"/>
          <w:szCs w:val="18"/>
          <w:lang w:val="sr-Cyrl-RS"/>
        </w:rPr>
        <w:t>У</w:t>
      </w:r>
      <w:r w:rsidRPr="009C38AD">
        <w:rPr>
          <w:rFonts w:ascii="Times New Roman" w:hAnsi="Times New Roman"/>
          <w:sz w:val="18"/>
          <w:szCs w:val="18"/>
          <w:lang w:val="sr-Cyrl-RS"/>
        </w:rPr>
        <w:t xml:space="preserve"> средствима,</w:t>
      </w:r>
      <w:r>
        <w:rPr>
          <w:rFonts w:ascii="Times New Roman" w:hAnsi="Times New Roman"/>
          <w:sz w:val="18"/>
          <w:szCs w:val="18"/>
          <w:lang w:val="sr-Cyrl-RS"/>
        </w:rPr>
        <w:t xml:space="preserve"> </w:t>
      </w:r>
      <w:r w:rsidRPr="009C38AD">
        <w:rPr>
          <w:rFonts w:ascii="Times New Roman" w:hAnsi="Times New Roman"/>
          <w:sz w:val="18"/>
          <w:szCs w:val="18"/>
          <w:lang w:val="sr-Cyrl-RS"/>
        </w:rPr>
        <w:t>Сектор за управљање средствима ЕУ, Пореска управа, Управа за трезор, Управа за јавни дуг, Управа царина, Управа за спречавање прања новца, Управа за дуван.</w:t>
      </w:r>
    </w:p>
  </w:footnote>
  <w:footnote w:id="24">
    <w:p w:rsidR="00BB481C" w:rsidRPr="0046377C" w:rsidRDefault="00BB481C" w:rsidP="0046377C">
      <w:pPr>
        <w:pStyle w:val="FootnoteText"/>
        <w:spacing w:before="0"/>
        <w:jc w:val="both"/>
        <w:rPr>
          <w:rFonts w:ascii="Times New Roman" w:hAnsi="Times New Roman"/>
          <w:sz w:val="18"/>
          <w:szCs w:val="18"/>
          <w:lang w:val="sr-Cyrl-RS"/>
        </w:rPr>
      </w:pPr>
      <w:r w:rsidRPr="0046377C">
        <w:rPr>
          <w:rStyle w:val="FootnoteReference"/>
          <w:rFonts w:ascii="Times New Roman" w:hAnsi="Times New Roman"/>
          <w:sz w:val="18"/>
          <w:szCs w:val="18"/>
        </w:rPr>
        <w:footnoteRef/>
      </w:r>
      <w:r w:rsidRPr="0046377C">
        <w:rPr>
          <w:rFonts w:ascii="Times New Roman" w:hAnsi="Times New Roman"/>
          <w:sz w:val="18"/>
          <w:szCs w:val="18"/>
        </w:rPr>
        <w:t xml:space="preserve"> </w:t>
      </w:r>
      <w:r w:rsidRPr="0046377C">
        <w:rPr>
          <w:rFonts w:ascii="Times New Roman" w:hAnsi="Times New Roman"/>
          <w:sz w:val="18"/>
          <w:szCs w:val="18"/>
          <w:lang w:val="sr-Cyrl-RS"/>
        </w:rPr>
        <w:t>Министарство здравља, Министарство просвете, науке и технолошког развоја, Министарство привреде, Министарство грађевинарства, транспорта и инфраструктуре, Дирекција за имовину, Комисија за заштиту пр</w:t>
      </w:r>
      <w:r>
        <w:rPr>
          <w:rFonts w:ascii="Times New Roman" w:hAnsi="Times New Roman"/>
          <w:sz w:val="18"/>
          <w:szCs w:val="18"/>
          <w:lang w:val="sr-Cyrl-RS"/>
        </w:rPr>
        <w:t>ава понуђача у јавним набавкама.</w:t>
      </w:r>
      <w:r w:rsidRPr="0046377C">
        <w:rPr>
          <w:rFonts w:ascii="Times New Roman" w:hAnsi="Times New Roman"/>
          <w:sz w:val="18"/>
          <w:szCs w:val="18"/>
          <w:lang w:val="sr-Cyrl-RS"/>
        </w:rPr>
        <w:t xml:space="preserve"> </w:t>
      </w:r>
    </w:p>
  </w:footnote>
  <w:footnote w:id="25">
    <w:p w:rsidR="00BB481C" w:rsidRPr="0046377C" w:rsidRDefault="00BB481C" w:rsidP="0046377C">
      <w:pPr>
        <w:pStyle w:val="FootnoteText"/>
        <w:spacing w:before="0"/>
        <w:rPr>
          <w:rFonts w:ascii="Times New Roman" w:hAnsi="Times New Roman"/>
          <w:sz w:val="18"/>
          <w:szCs w:val="18"/>
        </w:rPr>
      </w:pPr>
      <w:r w:rsidRPr="0046377C">
        <w:rPr>
          <w:rStyle w:val="FootnoteReference"/>
          <w:rFonts w:ascii="Times New Roman" w:hAnsi="Times New Roman"/>
          <w:sz w:val="18"/>
          <w:szCs w:val="18"/>
        </w:rPr>
        <w:footnoteRef/>
      </w:r>
      <w:r w:rsidRPr="0046377C">
        <w:rPr>
          <w:rFonts w:ascii="Times New Roman" w:hAnsi="Times New Roman"/>
          <w:sz w:val="18"/>
          <w:szCs w:val="18"/>
        </w:rPr>
        <w:t xml:space="preserve"> https://www.pefa.org/resources/pefa-2016-framework</w:t>
      </w:r>
    </w:p>
  </w:footnote>
  <w:footnote w:id="26">
    <w:p w:rsidR="00BB481C" w:rsidRPr="0046377C" w:rsidRDefault="00BB481C" w:rsidP="0046377C">
      <w:pPr>
        <w:pStyle w:val="FootnoteText"/>
        <w:spacing w:before="0"/>
        <w:rPr>
          <w:rFonts w:ascii="Times New Roman" w:hAnsi="Times New Roman"/>
          <w:sz w:val="18"/>
          <w:szCs w:val="18"/>
          <w:lang w:val="sr-Cyrl-RS"/>
        </w:rPr>
      </w:pPr>
      <w:r w:rsidRPr="0046377C">
        <w:rPr>
          <w:rStyle w:val="FootnoteReference"/>
          <w:rFonts w:ascii="Times New Roman" w:hAnsi="Times New Roman"/>
          <w:sz w:val="18"/>
          <w:szCs w:val="18"/>
        </w:rPr>
        <w:footnoteRef/>
      </w:r>
      <w:r w:rsidRPr="0046377C">
        <w:rPr>
          <w:rFonts w:ascii="Times New Roman" w:hAnsi="Times New Roman"/>
          <w:sz w:val="18"/>
          <w:szCs w:val="18"/>
        </w:rPr>
        <w:t xml:space="preserve"> http://mduls.gov.rs/javne-rasprave-i-konsultacije/pocetak-javne-rasprave-o-predlogu-strategije-reforme-javne-uprave-za-period-2021-2030-i-ap-za-period-2021-2025/</w:t>
      </w:r>
    </w:p>
  </w:footnote>
  <w:footnote w:id="27">
    <w:p w:rsidR="00BB481C" w:rsidRPr="0046377C" w:rsidRDefault="00BB481C" w:rsidP="0046377C">
      <w:pPr>
        <w:spacing w:before="0" w:after="0" w:line="240" w:lineRule="auto"/>
        <w:ind w:right="26"/>
        <w:jc w:val="both"/>
        <w:rPr>
          <w:rFonts w:ascii="Times New Roman" w:hAnsi="Times New Roman" w:cs="Times New Roman"/>
          <w:sz w:val="18"/>
          <w:szCs w:val="18"/>
          <w:lang w:val="sr-Cyrl-RS"/>
        </w:rPr>
      </w:pPr>
      <w:r w:rsidRPr="0046377C">
        <w:rPr>
          <w:rStyle w:val="FootnoteReference"/>
          <w:rFonts w:ascii="Times New Roman" w:hAnsi="Times New Roman" w:cs="Times New Roman"/>
          <w:sz w:val="18"/>
          <w:szCs w:val="18"/>
        </w:rPr>
        <w:footnoteRef/>
      </w:r>
      <w:r w:rsidRPr="0046377C">
        <w:rPr>
          <w:rFonts w:ascii="Times New Roman" w:hAnsi="Times New Roman" w:cs="Times New Roman"/>
          <w:sz w:val="18"/>
          <w:szCs w:val="18"/>
        </w:rPr>
        <w:t xml:space="preserve"> </w:t>
      </w:r>
      <w:r w:rsidRPr="0046377C">
        <w:rPr>
          <w:rFonts w:ascii="Times New Roman" w:hAnsi="Times New Roman" w:cs="Times New Roman"/>
          <w:sz w:val="18"/>
          <w:szCs w:val="18"/>
          <w:lang w:val="sr-Cyrl-RS"/>
        </w:rPr>
        <w:t>Овај део ће бити ревидиран након завршетка процеса консултација. Садржаће закључке и препоруке из овог процеса, као и појашњења шта је током процеса консултација узето у обзир и интегрисано у ПРУЈФ а шта није, и из којих ра</w:t>
      </w:r>
      <w:r>
        <w:rPr>
          <w:rFonts w:ascii="Times New Roman" w:hAnsi="Times New Roman" w:cs="Times New Roman"/>
          <w:sz w:val="18"/>
          <w:szCs w:val="18"/>
          <w:lang w:val="sr-Cyrl-RS"/>
        </w:rPr>
        <w:t>з</w:t>
      </w:r>
      <w:r w:rsidRPr="0046377C">
        <w:rPr>
          <w:rFonts w:ascii="Times New Roman" w:hAnsi="Times New Roman" w:cs="Times New Roman"/>
          <w:sz w:val="18"/>
          <w:szCs w:val="18"/>
          <w:lang w:val="sr-Cyrl-RS"/>
        </w:rPr>
        <w:t>лога.</w:t>
      </w:r>
    </w:p>
  </w:footnote>
  <w:footnote w:id="28">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Ове обуке су се, пре оснивања НАЈУ, спроводиле преко Службе за управљање кадровима</w:t>
      </w:r>
      <w:r>
        <w:rPr>
          <w:rFonts w:ascii="Times New Roman" w:hAnsi="Times New Roman"/>
          <w:sz w:val="18"/>
          <w:szCs w:val="18"/>
          <w:lang w:val="sr-Cyrl-RS"/>
        </w:rPr>
        <w:t xml:space="preserve"> (СУК)</w:t>
      </w:r>
      <w:r w:rsidRPr="00B43B9F">
        <w:rPr>
          <w:rFonts w:ascii="Times New Roman" w:hAnsi="Times New Roman"/>
          <w:sz w:val="18"/>
          <w:szCs w:val="18"/>
          <w:lang w:val="sr-Cyrl-RS"/>
        </w:rPr>
        <w:t>.</w:t>
      </w:r>
    </w:p>
  </w:footnote>
  <w:footnote w:id="29">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hyperlink r:id="rId6" w:history="1">
        <w:r w:rsidRPr="00B43B9F">
          <w:rPr>
            <w:rStyle w:val="Hyperlink"/>
            <w:rFonts w:ascii="Times New Roman" w:hAnsi="Times New Roman"/>
            <w:sz w:val="18"/>
            <w:szCs w:val="18"/>
            <w:lang w:val="sr-Cyrl-RS"/>
          </w:rPr>
          <w:t>https://www.mfin.gov.rs/wp-content/uploads/2019/11/Uputstvo-za-pripremu-programskog-budzeta-30.-septembar-2020.pdf</w:t>
        </w:r>
      </w:hyperlink>
      <w:r w:rsidRPr="00B43B9F">
        <w:rPr>
          <w:rFonts w:ascii="Times New Roman" w:hAnsi="Times New Roman"/>
          <w:sz w:val="18"/>
          <w:szCs w:val="18"/>
          <w:lang w:val="sr-Cyrl-RS"/>
        </w:rPr>
        <w:t xml:space="preserve"> </w:t>
      </w:r>
    </w:p>
  </w:footnote>
  <w:footnote w:id="30">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Ревидирани </w:t>
      </w:r>
      <w:r>
        <w:rPr>
          <w:rFonts w:ascii="Times New Roman" w:hAnsi="Times New Roman"/>
          <w:sz w:val="18"/>
          <w:szCs w:val="18"/>
          <w:lang w:val="sr-Cyrl-RS"/>
        </w:rPr>
        <w:t>ПРУЈФ за ј</w:t>
      </w:r>
      <w:r w:rsidRPr="00B43B9F">
        <w:rPr>
          <w:rFonts w:ascii="Times New Roman" w:hAnsi="Times New Roman"/>
          <w:sz w:val="18"/>
          <w:szCs w:val="18"/>
          <w:lang w:val="sr-Cyrl-RS"/>
        </w:rPr>
        <w:t>ул 2019-</w:t>
      </w:r>
      <w:r>
        <w:rPr>
          <w:rFonts w:ascii="Times New Roman" w:hAnsi="Times New Roman"/>
          <w:sz w:val="18"/>
          <w:szCs w:val="18"/>
          <w:lang w:val="sr-Cyrl-RS"/>
        </w:rPr>
        <w:t>д</w:t>
      </w:r>
      <w:r w:rsidRPr="00B43B9F">
        <w:rPr>
          <w:rFonts w:ascii="Times New Roman" w:hAnsi="Times New Roman"/>
          <w:sz w:val="18"/>
          <w:szCs w:val="18"/>
          <w:lang w:val="sr-Cyrl-RS"/>
        </w:rPr>
        <w:t>ецембар 2020</w:t>
      </w:r>
      <w:r>
        <w:rPr>
          <w:rFonts w:ascii="Times New Roman" w:hAnsi="Times New Roman"/>
          <w:sz w:val="18"/>
          <w:szCs w:val="18"/>
          <w:lang w:val="sr-Cyrl-RS"/>
        </w:rPr>
        <w:t xml:space="preserve"> </w:t>
      </w:r>
      <w:r w:rsidRPr="00B43B9F">
        <w:rPr>
          <w:rFonts w:ascii="Times New Roman" w:hAnsi="Times New Roman"/>
          <w:sz w:val="18"/>
          <w:szCs w:val="18"/>
          <w:lang w:val="sr-Cyrl-RS"/>
        </w:rPr>
        <w:t>https://www.mfin.gov.rs/dokumenti/program-reforme-upravljanja-javnim-finansijama-pfm/</w:t>
      </w:r>
      <w:r w:rsidRPr="00B43B9F">
        <w:rPr>
          <w:rFonts w:ascii="Times New Roman" w:hAnsi="Times New Roman"/>
          <w:sz w:val="18"/>
          <w:szCs w:val="18"/>
          <w:lang w:val="sr-Latn-RS"/>
        </w:rPr>
        <w:t xml:space="preserve"> </w:t>
      </w:r>
      <w:r w:rsidRPr="00B43B9F">
        <w:rPr>
          <w:rFonts w:ascii="Times New Roman" w:hAnsi="Times New Roman"/>
          <w:sz w:val="18"/>
          <w:szCs w:val="18"/>
          <w:lang w:val="sr-Cyrl-RS"/>
        </w:rPr>
        <w:t xml:space="preserve"> </w:t>
      </w:r>
    </w:p>
  </w:footnote>
  <w:footnote w:id="31">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Постојећа верзија Упутства ажурирана је у септембру 2020. године.</w:t>
      </w:r>
    </w:p>
  </w:footnote>
  <w:footnote w:id="32">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w:t>
      </w:r>
      <w:hyperlink r:id="rId7" w:history="1">
        <w:r w:rsidRPr="00B43B9F">
          <w:rPr>
            <w:rStyle w:val="Hyperlink"/>
            <w:rFonts w:ascii="Times New Roman" w:hAnsi="Times New Roman"/>
            <w:sz w:val="18"/>
            <w:szCs w:val="18"/>
            <w:lang w:val="sr-Cyrl-RS"/>
          </w:rPr>
          <w:t>https://www.napa.gov.rs/tekst/49/godisnji-programi-obuka-naju.php</w:t>
        </w:r>
      </w:hyperlink>
      <w:r w:rsidRPr="00B43B9F">
        <w:rPr>
          <w:rFonts w:ascii="Times New Roman" w:hAnsi="Times New Roman"/>
          <w:sz w:val="18"/>
          <w:szCs w:val="18"/>
          <w:lang w:val="sr-Cyrl-RS"/>
        </w:rPr>
        <w:t xml:space="preserve"> </w:t>
      </w:r>
    </w:p>
  </w:footnote>
  <w:footnote w:id="33">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Извештај о спровођењу </w:t>
      </w:r>
      <w:r>
        <w:rPr>
          <w:rFonts w:ascii="Times New Roman" w:hAnsi="Times New Roman"/>
          <w:sz w:val="18"/>
          <w:szCs w:val="18"/>
          <w:lang w:val="sr-Cyrl-RS"/>
        </w:rPr>
        <w:t>ПРУЈФ</w:t>
      </w:r>
      <w:r w:rsidRPr="00B43B9F">
        <w:rPr>
          <w:rFonts w:ascii="Times New Roman" w:hAnsi="Times New Roman"/>
          <w:sz w:val="18"/>
          <w:szCs w:val="18"/>
          <w:lang w:val="sr-Cyrl-RS"/>
        </w:rPr>
        <w:t xml:space="preserve"> за 2019. годину- https://www.mfin.gov.rs/dokumenti/program-reforme-upravljanja-javnim-finansijama-pfm/</w:t>
      </w:r>
    </w:p>
  </w:footnote>
  <w:footnote w:id="34">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w:t>
      </w:r>
      <w:hyperlink r:id="rId8" w:history="1">
        <w:r w:rsidRPr="00B43B9F">
          <w:rPr>
            <w:rStyle w:val="Hyperlink"/>
            <w:rFonts w:ascii="Times New Roman" w:hAnsi="Times New Roman"/>
            <w:sz w:val="18"/>
            <w:szCs w:val="18"/>
            <w:lang w:val="sr-Cyrl-RS"/>
          </w:rPr>
          <w:t>https://www.mfin.gov.rs/tip-dokumenta/gradjanski-budzet/</w:t>
        </w:r>
      </w:hyperlink>
      <w:r w:rsidRPr="00B43B9F">
        <w:rPr>
          <w:rFonts w:ascii="Times New Roman" w:hAnsi="Times New Roman"/>
          <w:sz w:val="18"/>
          <w:szCs w:val="18"/>
          <w:lang w:val="sr-Cyrl-RS"/>
        </w:rPr>
        <w:t xml:space="preserve"> </w:t>
      </w:r>
    </w:p>
  </w:footnote>
  <w:footnote w:id="35">
    <w:p w:rsidR="00BB481C" w:rsidRPr="000A5992" w:rsidRDefault="00BB481C" w:rsidP="00546F41">
      <w:pPr>
        <w:pStyle w:val="FootnoteText"/>
        <w:jc w:val="both"/>
        <w:rPr>
          <w:rFonts w:ascii="Tahoma" w:hAnsi="Tahoma" w:cs="Tahoma"/>
          <w:sz w:val="18"/>
          <w:szCs w:val="18"/>
          <w:lang w:val="sr-Cyrl-RS"/>
        </w:rPr>
      </w:pPr>
      <w:r>
        <w:rPr>
          <w:rStyle w:val="FootnoteReference"/>
        </w:rPr>
        <w:footnoteRef/>
      </w:r>
      <w:r>
        <w:t xml:space="preserve"> </w:t>
      </w:r>
      <w:r w:rsidRPr="00546F41">
        <w:rPr>
          <w:rFonts w:ascii="Times New Roman" w:hAnsi="Times New Roman"/>
          <w:sz w:val="18"/>
          <w:szCs w:val="18"/>
          <w:lang w:val="sr-Cyrl-RS"/>
        </w:rPr>
        <w:t>2018. године</w:t>
      </w:r>
      <w:r>
        <w:rPr>
          <w:rFonts w:ascii="Times New Roman" w:hAnsi="Times New Roman"/>
          <w:sz w:val="18"/>
          <w:szCs w:val="18"/>
          <w:lang w:val="sr-Cyrl-RS"/>
        </w:rPr>
        <w:t xml:space="preserve"> у оквиру Програма Exchange 5 (</w:t>
      </w:r>
      <w:r w:rsidRPr="00546F41">
        <w:rPr>
          <w:rFonts w:ascii="Times New Roman" w:hAnsi="Times New Roman"/>
          <w:sz w:val="18"/>
          <w:szCs w:val="18"/>
          <w:lang w:val="sr-Cyrl-RS"/>
        </w:rPr>
        <w:t>ЕУ, ИПА 2014) у сарадњи Министарства финансија и СКГО припремљен је и промовисан модел грађанског водича кроз буџет намењен градовима и општинама у циљу подстицања ЛС да ове водиче израђују и објављују.</w:t>
      </w:r>
    </w:p>
  </w:footnote>
  <w:footnote w:id="36">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lang w:val="en-GB" w:eastAsia="en-GB"/>
        </w:rPr>
        <w:footnoteRef/>
      </w:r>
      <w:r w:rsidRPr="00B43B9F">
        <w:rPr>
          <w:rFonts w:ascii="Times New Roman" w:hAnsi="Times New Roman"/>
          <w:sz w:val="18"/>
          <w:szCs w:val="18"/>
          <w:lang w:val="sr-Cyrl-RS"/>
        </w:rPr>
        <w:t xml:space="preserve"> </w:t>
      </w:r>
      <w:hyperlink r:id="rId9" w:history="1">
        <w:r w:rsidRPr="00B43B9F">
          <w:rPr>
            <w:rStyle w:val="Hyperlink"/>
            <w:rFonts w:ascii="Times New Roman" w:hAnsi="Times New Roman"/>
            <w:sz w:val="18"/>
            <w:szCs w:val="18"/>
          </w:rPr>
          <w:t>https</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www</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mfin</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gov</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rs</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dokumenti</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plan</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uvodjenja</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rodno</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odgovornog</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budzetiranja</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u</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postupak</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pripreme</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i</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donosenja</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budzeta</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republike</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srbije</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za</w:t>
        </w:r>
        <w:r w:rsidRPr="00B43B9F">
          <w:rPr>
            <w:rStyle w:val="Hyperlink"/>
            <w:rFonts w:ascii="Times New Roman" w:hAnsi="Times New Roman"/>
            <w:sz w:val="18"/>
            <w:szCs w:val="18"/>
            <w:lang w:val="sr-Cyrl-RS"/>
          </w:rPr>
          <w:t>-2020-</w:t>
        </w:r>
        <w:r w:rsidRPr="00B43B9F">
          <w:rPr>
            <w:rStyle w:val="Hyperlink"/>
            <w:rFonts w:ascii="Times New Roman" w:hAnsi="Times New Roman"/>
            <w:sz w:val="18"/>
            <w:szCs w:val="18"/>
          </w:rPr>
          <w:t>godinu</w:t>
        </w:r>
        <w:r w:rsidRPr="00B43B9F">
          <w:rPr>
            <w:rStyle w:val="Hyperlink"/>
            <w:rFonts w:ascii="Times New Roman" w:hAnsi="Times New Roman"/>
            <w:sz w:val="18"/>
            <w:szCs w:val="18"/>
            <w:lang w:val="sr-Cyrl-RS"/>
          </w:rPr>
          <w:t>/</w:t>
        </w:r>
      </w:hyperlink>
      <w:r w:rsidRPr="00B43B9F">
        <w:rPr>
          <w:rFonts w:ascii="Times New Roman" w:hAnsi="Times New Roman"/>
          <w:sz w:val="18"/>
          <w:szCs w:val="18"/>
          <w:lang w:val="sr-Cyrl-RS"/>
        </w:rPr>
        <w:t xml:space="preserve"> </w:t>
      </w:r>
    </w:p>
  </w:footnote>
  <w:footnote w:id="37">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B43B9F">
        <w:rPr>
          <w:rFonts w:ascii="Times New Roman" w:hAnsi="Times New Roman"/>
          <w:sz w:val="18"/>
          <w:szCs w:val="18"/>
          <w:lang w:val="sr-Cyrl-RS"/>
        </w:rPr>
        <w:t>, бр</w:t>
      </w:r>
      <w:r>
        <w:rPr>
          <w:rFonts w:ascii="Times New Roman" w:hAnsi="Times New Roman"/>
          <w:sz w:val="18"/>
          <w:szCs w:val="18"/>
          <w:lang w:val="sr-Cyrl-RS"/>
        </w:rPr>
        <w:t>ој</w:t>
      </w:r>
      <w:r w:rsidRPr="00B43B9F">
        <w:rPr>
          <w:rFonts w:ascii="Times New Roman" w:hAnsi="Times New Roman"/>
          <w:sz w:val="18"/>
          <w:szCs w:val="18"/>
          <w:lang w:val="sr-Cyrl-RS"/>
        </w:rPr>
        <w:t xml:space="preserve"> 30/18</w:t>
      </w:r>
    </w:p>
  </w:footnote>
  <w:footnote w:id="38">
    <w:p w:rsidR="00BB481C" w:rsidRPr="00DE4A7D" w:rsidRDefault="00BB481C" w:rsidP="00DE4A7D">
      <w:pPr>
        <w:pStyle w:val="FootnoteText"/>
        <w:spacing w:before="0"/>
        <w:rPr>
          <w:rFonts w:asciiTheme="majorBidi" w:hAnsiTheme="majorBidi" w:cstheme="majorBidi"/>
          <w:sz w:val="18"/>
          <w:szCs w:val="18"/>
          <w:lang w:val="sr-Cyrl-RS"/>
        </w:rPr>
      </w:pPr>
      <w:r w:rsidRPr="00DE4A7D">
        <w:rPr>
          <w:rStyle w:val="FootnoteReference"/>
          <w:rFonts w:asciiTheme="majorBidi" w:hAnsiTheme="majorBidi" w:cstheme="majorBidi"/>
          <w:sz w:val="18"/>
          <w:szCs w:val="18"/>
        </w:rPr>
        <w:footnoteRef/>
      </w:r>
      <w:r w:rsidRPr="00DE4A7D">
        <w:rPr>
          <w:rFonts w:asciiTheme="majorBidi" w:hAnsiTheme="majorBidi" w:cstheme="majorBidi"/>
          <w:sz w:val="18"/>
          <w:szCs w:val="18"/>
          <w:lang w:val="sr-Cyrl-RS"/>
        </w:rPr>
        <w:t xml:space="preserve"> „Службени гласник РС</w:t>
      </w:r>
      <w:r>
        <w:rPr>
          <w:rFonts w:asciiTheme="majorBidi" w:hAnsiTheme="majorBidi" w:cstheme="majorBidi"/>
          <w:sz w:val="18"/>
          <w:szCs w:val="18"/>
          <w:lang w:val="sr-Cyrl-RS"/>
        </w:rPr>
        <w:t>”</w:t>
      </w:r>
      <w:r w:rsidRPr="00DE4A7D">
        <w:rPr>
          <w:rFonts w:asciiTheme="majorBidi" w:hAnsiTheme="majorBidi" w:cstheme="majorBidi"/>
          <w:sz w:val="18"/>
          <w:szCs w:val="18"/>
          <w:lang w:val="sr-Cyrl-RS"/>
        </w:rPr>
        <w:t>, бр</w:t>
      </w:r>
      <w:r>
        <w:rPr>
          <w:rFonts w:asciiTheme="majorBidi" w:hAnsiTheme="majorBidi" w:cstheme="majorBidi"/>
          <w:sz w:val="18"/>
          <w:szCs w:val="18"/>
          <w:lang w:val="sr-Cyrl-RS"/>
        </w:rPr>
        <w:t>ој</w:t>
      </w:r>
      <w:r w:rsidRPr="00DE4A7D">
        <w:rPr>
          <w:rFonts w:asciiTheme="majorBidi" w:hAnsiTheme="majorBidi" w:cstheme="majorBidi"/>
          <w:sz w:val="18"/>
          <w:szCs w:val="18"/>
          <w:lang w:val="sr-Cyrl-RS"/>
        </w:rPr>
        <w:t xml:space="preserve"> 8/19</w:t>
      </w:r>
    </w:p>
  </w:footnote>
  <w:footnote w:id="39">
    <w:p w:rsidR="00BB481C" w:rsidRPr="00DE4A7D" w:rsidRDefault="00BB481C" w:rsidP="00DE4A7D">
      <w:pPr>
        <w:pStyle w:val="FootnoteText"/>
        <w:spacing w:before="0"/>
        <w:rPr>
          <w:sz w:val="18"/>
          <w:szCs w:val="18"/>
          <w:lang w:val="sr-Cyrl-RS"/>
        </w:rPr>
      </w:pPr>
      <w:r w:rsidRPr="00DE4A7D">
        <w:rPr>
          <w:rStyle w:val="FootnoteReference"/>
          <w:rFonts w:asciiTheme="majorBidi" w:hAnsiTheme="majorBidi" w:cstheme="majorBidi"/>
          <w:sz w:val="18"/>
          <w:szCs w:val="18"/>
        </w:rPr>
        <w:footnoteRef/>
      </w:r>
      <w:r w:rsidRPr="00DE4A7D">
        <w:rPr>
          <w:rFonts w:asciiTheme="majorBidi" w:hAnsiTheme="majorBidi" w:cstheme="majorBidi"/>
          <w:sz w:val="18"/>
          <w:szCs w:val="18"/>
          <w:lang w:val="sr-Cyrl-RS"/>
        </w:rPr>
        <w:t xml:space="preserve"> „Службени гласник РС</w:t>
      </w:r>
      <w:r>
        <w:rPr>
          <w:rFonts w:asciiTheme="majorBidi" w:hAnsiTheme="majorBidi" w:cstheme="majorBidi"/>
          <w:sz w:val="18"/>
          <w:szCs w:val="18"/>
          <w:lang w:val="sr-Cyrl-RS"/>
        </w:rPr>
        <w:t>”</w:t>
      </w:r>
      <w:r w:rsidRPr="00DE4A7D">
        <w:rPr>
          <w:rFonts w:asciiTheme="majorBidi" w:hAnsiTheme="majorBidi" w:cstheme="majorBidi"/>
          <w:sz w:val="18"/>
          <w:szCs w:val="18"/>
          <w:lang w:val="sr-Cyrl-RS"/>
        </w:rPr>
        <w:t>, бр</w:t>
      </w:r>
      <w:r>
        <w:rPr>
          <w:rFonts w:asciiTheme="majorBidi" w:hAnsiTheme="majorBidi" w:cstheme="majorBidi"/>
          <w:sz w:val="18"/>
          <w:szCs w:val="18"/>
          <w:lang w:val="sr-Cyrl-RS"/>
        </w:rPr>
        <w:t>ој</w:t>
      </w:r>
      <w:r w:rsidRPr="00DE4A7D">
        <w:rPr>
          <w:rFonts w:asciiTheme="majorBidi" w:hAnsiTheme="majorBidi" w:cstheme="majorBidi"/>
          <w:sz w:val="18"/>
          <w:szCs w:val="18"/>
          <w:lang w:val="sr-Cyrl-RS"/>
        </w:rPr>
        <w:t xml:space="preserve"> 8/19</w:t>
      </w:r>
    </w:p>
  </w:footnote>
  <w:footnote w:id="40">
    <w:p w:rsidR="00BB481C" w:rsidRPr="00F46113" w:rsidRDefault="00BB481C" w:rsidP="00363042">
      <w:pPr>
        <w:pStyle w:val="FootnoteText"/>
        <w:spacing w:before="0"/>
        <w:jc w:val="both"/>
        <w:rPr>
          <w:rFonts w:asciiTheme="majorBidi" w:hAnsiTheme="majorBidi" w:cstheme="majorBidi"/>
          <w:sz w:val="18"/>
          <w:szCs w:val="18"/>
          <w:lang w:val="sr-Cyrl-RS"/>
        </w:rPr>
      </w:pPr>
      <w:r w:rsidRPr="00F46113">
        <w:rPr>
          <w:rStyle w:val="FootnoteReference"/>
          <w:rFonts w:asciiTheme="majorBidi" w:hAnsiTheme="majorBidi" w:cstheme="majorBidi"/>
          <w:sz w:val="18"/>
          <w:szCs w:val="18"/>
        </w:rPr>
        <w:footnoteRef/>
      </w:r>
      <w:r w:rsidRPr="00F46113">
        <w:rPr>
          <w:rFonts w:asciiTheme="majorBidi" w:hAnsiTheme="majorBidi" w:cstheme="majorBidi"/>
          <w:sz w:val="18"/>
          <w:szCs w:val="18"/>
          <w:lang w:val="sr-Cyrl-RS"/>
        </w:rPr>
        <w:t xml:space="preserve"> </w:t>
      </w:r>
      <w:hyperlink r:id="rId10" w:history="1">
        <w:r w:rsidRPr="00F46113">
          <w:rPr>
            <w:rStyle w:val="Hyperlink"/>
            <w:rFonts w:asciiTheme="majorBidi" w:hAnsiTheme="majorBidi" w:cstheme="majorBidi"/>
            <w:sz w:val="18"/>
            <w:szCs w:val="18"/>
          </w:rPr>
          <w:t>https</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rsjp</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gov</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rs</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wp</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content</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uploads</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Priruc</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CC</w:t>
        </w:r>
        <w:r w:rsidRPr="00F46113">
          <w:rPr>
            <w:rStyle w:val="Hyperlink"/>
            <w:rFonts w:asciiTheme="majorBidi" w:hAnsiTheme="majorBidi" w:cstheme="majorBidi"/>
            <w:sz w:val="18"/>
            <w:szCs w:val="18"/>
            <w:lang w:val="sr-Cyrl-RS"/>
          </w:rPr>
          <w:t>%8</w:t>
        </w:r>
        <w:r w:rsidRPr="00F46113">
          <w:rPr>
            <w:rStyle w:val="Hyperlink"/>
            <w:rFonts w:asciiTheme="majorBidi" w:hAnsiTheme="majorBidi" w:cstheme="majorBidi"/>
            <w:sz w:val="18"/>
            <w:szCs w:val="18"/>
          </w:rPr>
          <w:t>Cnik</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za</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izradu</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srednjoroc</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CC</w:t>
        </w:r>
        <w:r w:rsidRPr="00F46113">
          <w:rPr>
            <w:rStyle w:val="Hyperlink"/>
            <w:rFonts w:asciiTheme="majorBidi" w:hAnsiTheme="majorBidi" w:cstheme="majorBidi"/>
            <w:sz w:val="18"/>
            <w:szCs w:val="18"/>
            <w:lang w:val="sr-Cyrl-RS"/>
          </w:rPr>
          <w:t>%8</w:t>
        </w:r>
        <w:r w:rsidRPr="00F46113">
          <w:rPr>
            <w:rStyle w:val="Hyperlink"/>
            <w:rFonts w:asciiTheme="majorBidi" w:hAnsiTheme="majorBidi" w:cstheme="majorBidi"/>
            <w:sz w:val="18"/>
            <w:szCs w:val="18"/>
          </w:rPr>
          <w:t>Cnih</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planova</w:t>
        </w:r>
        <w:r w:rsidRPr="00F46113">
          <w:rPr>
            <w:rStyle w:val="Hyperlink"/>
            <w:rFonts w:asciiTheme="majorBidi" w:hAnsiTheme="majorBidi" w:cstheme="majorBidi"/>
            <w:sz w:val="18"/>
            <w:szCs w:val="18"/>
            <w:lang w:val="sr-Cyrl-RS"/>
          </w:rPr>
          <w:t>-09032020.</w:t>
        </w:r>
        <w:r w:rsidRPr="00F46113">
          <w:rPr>
            <w:rStyle w:val="Hyperlink"/>
            <w:rFonts w:asciiTheme="majorBidi" w:hAnsiTheme="majorBidi" w:cstheme="majorBidi"/>
            <w:sz w:val="18"/>
            <w:szCs w:val="18"/>
          </w:rPr>
          <w:t>pdf</w:t>
        </w:r>
      </w:hyperlink>
      <w:r w:rsidRPr="00F46113">
        <w:rPr>
          <w:rFonts w:asciiTheme="majorBidi" w:hAnsiTheme="majorBidi" w:cstheme="majorBidi"/>
          <w:sz w:val="18"/>
          <w:szCs w:val="18"/>
          <w:lang w:val="sr-Cyrl-RS"/>
        </w:rPr>
        <w:t xml:space="preserve"> </w:t>
      </w:r>
    </w:p>
  </w:footnote>
  <w:footnote w:id="41">
    <w:p w:rsidR="00BB481C" w:rsidRPr="00F46113" w:rsidRDefault="00BB481C" w:rsidP="00363042">
      <w:pPr>
        <w:pStyle w:val="FootnoteText"/>
        <w:spacing w:before="0"/>
        <w:jc w:val="both"/>
        <w:rPr>
          <w:rFonts w:asciiTheme="majorBidi" w:hAnsiTheme="majorBidi" w:cstheme="majorBidi"/>
          <w:sz w:val="18"/>
          <w:szCs w:val="18"/>
          <w:lang w:val="sr-Cyrl-RS"/>
        </w:rPr>
      </w:pPr>
      <w:r w:rsidRPr="003B0AE7">
        <w:rPr>
          <w:rStyle w:val="FootnoteReference"/>
          <w:rFonts w:asciiTheme="majorBidi" w:hAnsiTheme="majorBidi" w:cstheme="majorBidi"/>
          <w:sz w:val="18"/>
          <w:szCs w:val="18"/>
        </w:rPr>
        <w:footnoteRef/>
      </w:r>
      <w:r w:rsidRPr="003B0AE7">
        <w:rPr>
          <w:rFonts w:asciiTheme="majorBidi" w:hAnsiTheme="majorBidi" w:cstheme="majorBidi"/>
          <w:sz w:val="18"/>
          <w:szCs w:val="18"/>
          <w:lang w:val="sr-Cyrl-RS"/>
        </w:rPr>
        <w:t xml:space="preserve"> </w:t>
      </w:r>
      <w:r w:rsidRPr="00F46113">
        <w:rPr>
          <w:rFonts w:asciiTheme="majorBidi" w:hAnsiTheme="majorBidi" w:cstheme="majorBidi"/>
          <w:sz w:val="18"/>
          <w:szCs w:val="18"/>
          <w:lang w:val="sr-Cyrl-RS"/>
        </w:rPr>
        <w:t xml:space="preserve">Министарство здравља је 30. јануара 2020. године одлуком министра здравља усвојило Средњорочни план и његова објава на сајту очекује се у догледно време, након стабилизације </w:t>
      </w:r>
      <w:r>
        <w:rPr>
          <w:rFonts w:asciiTheme="majorBidi" w:hAnsiTheme="majorBidi" w:cstheme="majorBidi"/>
          <w:sz w:val="18"/>
          <w:szCs w:val="18"/>
          <w:lang w:val="sr-Cyrl-RS"/>
        </w:rPr>
        <w:t>стања у погледу пандемије Ковид</w:t>
      </w:r>
      <w:r w:rsidRPr="00F46113">
        <w:rPr>
          <w:rFonts w:asciiTheme="majorBidi" w:hAnsiTheme="majorBidi" w:cstheme="majorBidi"/>
          <w:sz w:val="18"/>
          <w:szCs w:val="18"/>
          <w:lang w:val="sr-Cyrl-RS"/>
        </w:rPr>
        <w:t>-19.</w:t>
      </w:r>
    </w:p>
  </w:footnote>
  <w:footnote w:id="42">
    <w:p w:rsidR="00BB481C" w:rsidRPr="00F46113" w:rsidRDefault="00BB481C" w:rsidP="00363042">
      <w:pPr>
        <w:pStyle w:val="FootnoteText"/>
        <w:spacing w:before="0"/>
        <w:jc w:val="both"/>
        <w:rPr>
          <w:rFonts w:asciiTheme="majorBidi" w:hAnsiTheme="majorBidi"/>
          <w:sz w:val="18"/>
          <w:szCs w:val="18"/>
          <w:lang w:val="sr-Cyrl-RS"/>
        </w:rPr>
      </w:pPr>
      <w:r w:rsidRPr="00F46113">
        <w:rPr>
          <w:rStyle w:val="FootnoteReference"/>
          <w:rFonts w:asciiTheme="majorBidi" w:hAnsiTheme="majorBidi"/>
          <w:sz w:val="18"/>
          <w:szCs w:val="18"/>
        </w:rPr>
        <w:footnoteRef/>
      </w:r>
      <w:r w:rsidRPr="00F46113">
        <w:rPr>
          <w:rFonts w:asciiTheme="majorBidi" w:hAnsiTheme="majorBidi"/>
          <w:sz w:val="18"/>
          <w:szCs w:val="18"/>
          <w:lang w:val="sr-Cyrl-RS"/>
        </w:rPr>
        <w:t xml:space="preserve"> Средњорочни план Републичког секретаријата за јавне политике од 2020-2022. </w:t>
      </w:r>
      <w:r w:rsidRPr="00F46113">
        <w:rPr>
          <w:rFonts w:asciiTheme="majorBidi" w:hAnsiTheme="majorBidi" w:cstheme="majorBidi"/>
          <w:sz w:val="18"/>
          <w:szCs w:val="18"/>
          <w:lang w:val="sr-Cyrl-RS"/>
        </w:rPr>
        <w:t xml:space="preserve">године: </w:t>
      </w:r>
      <w:hyperlink r:id="rId11" w:history="1">
        <w:r w:rsidRPr="00F46113">
          <w:rPr>
            <w:rStyle w:val="Hyperlink"/>
            <w:rFonts w:asciiTheme="majorBidi" w:hAnsiTheme="majorBidi" w:cstheme="majorBidi"/>
            <w:sz w:val="18"/>
            <w:szCs w:val="18"/>
          </w:rPr>
          <w:t>https</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rsjp</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gov</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rs</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cir</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srednjorocni</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plan</w:t>
        </w:r>
        <w:r w:rsidRPr="00F46113">
          <w:rPr>
            <w:rStyle w:val="Hyperlink"/>
            <w:rFonts w:asciiTheme="majorBidi" w:hAnsiTheme="majorBidi" w:cstheme="majorBidi"/>
            <w:sz w:val="18"/>
            <w:szCs w:val="18"/>
            <w:lang w:val="sr-Cyrl-RS"/>
          </w:rPr>
          <w:t>/</w:t>
        </w:r>
      </w:hyperlink>
      <w:r w:rsidRPr="00F46113">
        <w:rPr>
          <w:rFonts w:asciiTheme="majorBidi" w:hAnsiTheme="majorBidi" w:cstheme="majorBidi"/>
          <w:sz w:val="18"/>
          <w:szCs w:val="18"/>
          <w:lang w:val="sr-Cyrl-RS"/>
        </w:rPr>
        <w:t xml:space="preserve"> </w:t>
      </w:r>
    </w:p>
  </w:footnote>
  <w:footnote w:id="43">
    <w:p w:rsidR="00BB481C" w:rsidRPr="00F46113" w:rsidRDefault="00BB481C" w:rsidP="00363042">
      <w:pPr>
        <w:pStyle w:val="FootnoteText"/>
        <w:spacing w:before="0"/>
        <w:jc w:val="both"/>
        <w:rPr>
          <w:rFonts w:asciiTheme="majorBidi" w:hAnsiTheme="majorBidi"/>
          <w:sz w:val="18"/>
          <w:szCs w:val="18"/>
          <w:lang w:val="sr-Cyrl-RS"/>
        </w:rPr>
      </w:pPr>
      <w:r w:rsidRPr="00F46113">
        <w:rPr>
          <w:rStyle w:val="FootnoteReference"/>
          <w:rFonts w:asciiTheme="majorBidi" w:hAnsiTheme="majorBidi"/>
          <w:sz w:val="18"/>
          <w:szCs w:val="18"/>
        </w:rPr>
        <w:footnoteRef/>
      </w:r>
      <w:r w:rsidRPr="00F46113">
        <w:rPr>
          <w:rFonts w:asciiTheme="majorBidi" w:hAnsiTheme="majorBidi"/>
          <w:sz w:val="18"/>
          <w:szCs w:val="18"/>
          <w:lang w:val="sr-Cyrl-RS"/>
        </w:rPr>
        <w:t xml:space="preserve"> Средњорочни план Министарства државне управе и локалне самоуправе за период од 2020-2022. </w:t>
      </w:r>
      <w:r w:rsidRPr="00F46113">
        <w:rPr>
          <w:rFonts w:asciiTheme="majorBidi" w:hAnsiTheme="majorBidi" w:cstheme="majorBidi"/>
          <w:sz w:val="18"/>
          <w:szCs w:val="18"/>
          <w:lang w:val="sr-Cyrl-RS"/>
        </w:rPr>
        <w:t xml:space="preserve">године: </w:t>
      </w:r>
      <w:hyperlink r:id="rId12" w:history="1">
        <w:r w:rsidRPr="00F46113">
          <w:rPr>
            <w:rStyle w:val="Hyperlink"/>
            <w:rFonts w:asciiTheme="majorBidi" w:hAnsiTheme="majorBidi" w:cstheme="majorBidi"/>
            <w:sz w:val="18"/>
            <w:szCs w:val="18"/>
            <w:lang w:val="sr-Cyrl-RS"/>
          </w:rPr>
          <w:t>http://mduls.gov.rs/wp-content/uploads/SP-MDULS-2020-2022-final.pdf</w:t>
        </w:r>
      </w:hyperlink>
      <w:r w:rsidRPr="00F46113">
        <w:rPr>
          <w:rFonts w:asciiTheme="majorBidi" w:hAnsiTheme="majorBidi" w:cstheme="majorBidi"/>
          <w:sz w:val="18"/>
          <w:szCs w:val="18"/>
          <w:lang w:val="sr-Cyrl-RS"/>
        </w:rPr>
        <w:t xml:space="preserve"> </w:t>
      </w:r>
    </w:p>
  </w:footnote>
  <w:footnote w:id="44">
    <w:p w:rsidR="00BB481C" w:rsidRPr="00F46113" w:rsidRDefault="00BB481C" w:rsidP="00363042">
      <w:pPr>
        <w:pStyle w:val="FootnoteText"/>
        <w:spacing w:before="0"/>
        <w:jc w:val="both"/>
        <w:rPr>
          <w:rFonts w:asciiTheme="majorBidi" w:hAnsiTheme="majorBidi"/>
          <w:sz w:val="18"/>
          <w:szCs w:val="18"/>
          <w:lang w:val="sr-Cyrl-RS"/>
        </w:rPr>
      </w:pPr>
      <w:r w:rsidRPr="00F46113">
        <w:rPr>
          <w:rStyle w:val="FootnoteReference"/>
          <w:rFonts w:asciiTheme="majorBidi" w:hAnsiTheme="majorBidi"/>
          <w:sz w:val="18"/>
          <w:szCs w:val="18"/>
        </w:rPr>
        <w:footnoteRef/>
      </w:r>
      <w:r w:rsidRPr="00F46113">
        <w:rPr>
          <w:rFonts w:asciiTheme="majorBidi" w:hAnsiTheme="majorBidi"/>
          <w:sz w:val="18"/>
          <w:szCs w:val="18"/>
          <w:lang w:val="sr-Cyrl-RS"/>
        </w:rPr>
        <w:t xml:space="preserve"> Средњорочни план Министарства одбране за период од 2020-2022. године</w:t>
      </w:r>
      <w:r w:rsidRPr="00F46113">
        <w:rPr>
          <w:rFonts w:asciiTheme="majorBidi" w:hAnsiTheme="majorBidi" w:cstheme="majorBidi"/>
          <w:sz w:val="18"/>
          <w:szCs w:val="18"/>
          <w:lang w:val="sr-Cyrl-RS"/>
        </w:rPr>
        <w:t xml:space="preserve">: </w:t>
      </w:r>
      <w:hyperlink r:id="rId13" w:history="1">
        <w:r w:rsidRPr="00F46113">
          <w:rPr>
            <w:rStyle w:val="Hyperlink"/>
            <w:rFonts w:asciiTheme="majorBidi" w:hAnsiTheme="majorBidi" w:cstheme="majorBidi"/>
            <w:sz w:val="18"/>
            <w:szCs w:val="18"/>
          </w:rPr>
          <w:t>http</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www</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mod</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gov</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rs</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multimedia</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file</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staticki</w:t>
        </w:r>
        <w:r w:rsidRPr="00F46113">
          <w:rPr>
            <w:rStyle w:val="Hyperlink"/>
            <w:rFonts w:asciiTheme="majorBidi" w:hAnsiTheme="majorBidi" w:cstheme="majorBidi"/>
            <w:sz w:val="18"/>
            <w:szCs w:val="18"/>
            <w:lang w:val="sr-Cyrl-RS"/>
          </w:rPr>
          <w:t>_</w:t>
        </w:r>
        <w:r w:rsidRPr="00F46113">
          <w:rPr>
            <w:rStyle w:val="Hyperlink"/>
            <w:rFonts w:asciiTheme="majorBidi" w:hAnsiTheme="majorBidi" w:cstheme="majorBidi"/>
            <w:sz w:val="18"/>
            <w:szCs w:val="18"/>
          </w:rPr>
          <w:t>sadrzaj</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dokumenta</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Srednjorocni</w:t>
        </w:r>
        <w:r w:rsidRPr="00F46113">
          <w:rPr>
            <w:rStyle w:val="Hyperlink"/>
            <w:rFonts w:asciiTheme="majorBidi" w:hAnsiTheme="majorBidi" w:cstheme="majorBidi"/>
            <w:sz w:val="18"/>
            <w:szCs w:val="18"/>
            <w:lang w:val="sr-Cyrl-RS"/>
          </w:rPr>
          <w:t>%20</w:t>
        </w:r>
        <w:r w:rsidRPr="00F46113">
          <w:rPr>
            <w:rStyle w:val="Hyperlink"/>
            <w:rFonts w:asciiTheme="majorBidi" w:hAnsiTheme="majorBidi" w:cstheme="majorBidi"/>
            <w:sz w:val="18"/>
            <w:szCs w:val="18"/>
          </w:rPr>
          <w:t>plan</w:t>
        </w:r>
        <w:r w:rsidRPr="00F46113">
          <w:rPr>
            <w:rStyle w:val="Hyperlink"/>
            <w:rFonts w:asciiTheme="majorBidi" w:hAnsiTheme="majorBidi" w:cstheme="majorBidi"/>
            <w:sz w:val="18"/>
            <w:szCs w:val="18"/>
            <w:lang w:val="sr-Cyrl-RS"/>
          </w:rPr>
          <w:t>%20</w:t>
        </w:r>
        <w:r w:rsidRPr="00F46113">
          <w:rPr>
            <w:rStyle w:val="Hyperlink"/>
            <w:rFonts w:asciiTheme="majorBidi" w:hAnsiTheme="majorBidi" w:cstheme="majorBidi"/>
            <w:sz w:val="18"/>
            <w:szCs w:val="18"/>
          </w:rPr>
          <w:t>Ministarstva</w:t>
        </w:r>
        <w:r w:rsidRPr="00F46113">
          <w:rPr>
            <w:rStyle w:val="Hyperlink"/>
            <w:rFonts w:asciiTheme="majorBidi" w:hAnsiTheme="majorBidi" w:cstheme="majorBidi"/>
            <w:sz w:val="18"/>
            <w:szCs w:val="18"/>
            <w:lang w:val="sr-Cyrl-RS"/>
          </w:rPr>
          <w:t>%20</w:t>
        </w:r>
        <w:r w:rsidRPr="00F46113">
          <w:rPr>
            <w:rStyle w:val="Hyperlink"/>
            <w:rFonts w:asciiTheme="majorBidi" w:hAnsiTheme="majorBidi" w:cstheme="majorBidi"/>
            <w:sz w:val="18"/>
            <w:szCs w:val="18"/>
          </w:rPr>
          <w:t>odbrane</w:t>
        </w:r>
        <w:r w:rsidRPr="00F46113">
          <w:rPr>
            <w:rStyle w:val="Hyperlink"/>
            <w:rFonts w:asciiTheme="majorBidi" w:hAnsiTheme="majorBidi" w:cstheme="majorBidi"/>
            <w:sz w:val="18"/>
            <w:szCs w:val="18"/>
            <w:lang w:val="sr-Cyrl-RS"/>
          </w:rPr>
          <w:t>%20</w:t>
        </w:r>
        <w:r w:rsidRPr="00F46113">
          <w:rPr>
            <w:rStyle w:val="Hyperlink"/>
            <w:rFonts w:asciiTheme="majorBidi" w:hAnsiTheme="majorBidi" w:cstheme="majorBidi"/>
            <w:sz w:val="18"/>
            <w:szCs w:val="18"/>
          </w:rPr>
          <w:t>za</w:t>
        </w:r>
        <w:r w:rsidRPr="00F46113">
          <w:rPr>
            <w:rStyle w:val="Hyperlink"/>
            <w:rFonts w:asciiTheme="majorBidi" w:hAnsiTheme="majorBidi" w:cstheme="majorBidi"/>
            <w:sz w:val="18"/>
            <w:szCs w:val="18"/>
            <w:lang w:val="sr-Cyrl-RS"/>
          </w:rPr>
          <w:t>%20</w:t>
        </w:r>
        <w:r w:rsidRPr="00F46113">
          <w:rPr>
            <w:rStyle w:val="Hyperlink"/>
            <w:rFonts w:asciiTheme="majorBidi" w:hAnsiTheme="majorBidi" w:cstheme="majorBidi"/>
            <w:sz w:val="18"/>
            <w:szCs w:val="18"/>
          </w:rPr>
          <w:t>period</w:t>
        </w:r>
        <w:r w:rsidRPr="00F46113">
          <w:rPr>
            <w:rStyle w:val="Hyperlink"/>
            <w:rFonts w:asciiTheme="majorBidi" w:hAnsiTheme="majorBidi" w:cstheme="majorBidi"/>
            <w:sz w:val="18"/>
            <w:szCs w:val="18"/>
            <w:lang w:val="sr-Cyrl-RS"/>
          </w:rPr>
          <w:t>%20</w:t>
        </w:r>
        <w:r w:rsidRPr="00F46113">
          <w:rPr>
            <w:rStyle w:val="Hyperlink"/>
            <w:rFonts w:asciiTheme="majorBidi" w:hAnsiTheme="majorBidi" w:cstheme="majorBidi"/>
            <w:sz w:val="18"/>
            <w:szCs w:val="18"/>
          </w:rPr>
          <w:t>od</w:t>
        </w:r>
        <w:r w:rsidRPr="00F46113">
          <w:rPr>
            <w:rStyle w:val="Hyperlink"/>
            <w:rFonts w:asciiTheme="majorBidi" w:hAnsiTheme="majorBidi" w:cstheme="majorBidi"/>
            <w:sz w:val="18"/>
            <w:szCs w:val="18"/>
            <w:lang w:val="sr-Cyrl-RS"/>
          </w:rPr>
          <w:t>%202020_%20</w:t>
        </w:r>
        <w:r w:rsidRPr="00F46113">
          <w:rPr>
            <w:rStyle w:val="Hyperlink"/>
            <w:rFonts w:asciiTheme="majorBidi" w:hAnsiTheme="majorBidi" w:cstheme="majorBidi"/>
            <w:sz w:val="18"/>
            <w:szCs w:val="18"/>
          </w:rPr>
          <w:t>do</w:t>
        </w:r>
        <w:r w:rsidRPr="00F46113">
          <w:rPr>
            <w:rStyle w:val="Hyperlink"/>
            <w:rFonts w:asciiTheme="majorBidi" w:hAnsiTheme="majorBidi" w:cstheme="majorBidi"/>
            <w:sz w:val="18"/>
            <w:szCs w:val="18"/>
            <w:lang w:val="sr-Cyrl-RS"/>
          </w:rPr>
          <w:t>%202022_%20</w:t>
        </w:r>
        <w:r w:rsidRPr="00F46113">
          <w:rPr>
            <w:rStyle w:val="Hyperlink"/>
            <w:rFonts w:asciiTheme="majorBidi" w:hAnsiTheme="majorBidi" w:cstheme="majorBidi"/>
            <w:sz w:val="18"/>
            <w:szCs w:val="18"/>
          </w:rPr>
          <w:t>godine</w:t>
        </w:r>
        <w:r w:rsidRPr="00F46113">
          <w:rPr>
            <w:rStyle w:val="Hyperlink"/>
            <w:rFonts w:asciiTheme="majorBidi" w:hAnsiTheme="majorBidi" w:cstheme="majorBidi"/>
            <w:sz w:val="18"/>
            <w:szCs w:val="18"/>
            <w:lang w:val="sr-Cyrl-RS"/>
          </w:rPr>
          <w:t>.</w:t>
        </w:r>
        <w:r w:rsidRPr="00F46113">
          <w:rPr>
            <w:rStyle w:val="Hyperlink"/>
            <w:rFonts w:asciiTheme="majorBidi" w:hAnsiTheme="majorBidi" w:cstheme="majorBidi"/>
            <w:sz w:val="18"/>
            <w:szCs w:val="18"/>
          </w:rPr>
          <w:t>pdf</w:t>
        </w:r>
      </w:hyperlink>
      <w:r w:rsidRPr="00F46113">
        <w:rPr>
          <w:rFonts w:asciiTheme="majorBidi" w:hAnsiTheme="majorBidi" w:cstheme="majorBidi"/>
          <w:sz w:val="18"/>
          <w:szCs w:val="18"/>
          <w:lang w:val="sr-Cyrl-RS"/>
        </w:rPr>
        <w:t xml:space="preserve">   </w:t>
      </w:r>
    </w:p>
  </w:footnote>
  <w:footnote w:id="45">
    <w:p w:rsidR="00BB481C" w:rsidRPr="003B4E3E" w:rsidRDefault="00BB481C" w:rsidP="002F3834">
      <w:pPr>
        <w:pStyle w:val="FootnoteText"/>
        <w:jc w:val="both"/>
        <w:rPr>
          <w:rFonts w:ascii="Times New Roman" w:hAnsi="Times New Roman"/>
          <w:sz w:val="18"/>
          <w:szCs w:val="18"/>
          <w:lang w:val="sr-Cyrl-RS"/>
        </w:rPr>
      </w:pPr>
      <w:r w:rsidRPr="003B4E3E">
        <w:rPr>
          <w:rStyle w:val="FootnoteReference"/>
          <w:rFonts w:ascii="Times New Roman" w:hAnsi="Times New Roman"/>
        </w:rPr>
        <w:footnoteRef/>
      </w:r>
      <w:r w:rsidRPr="003B4E3E">
        <w:rPr>
          <w:rFonts w:ascii="Times New Roman" w:hAnsi="Times New Roman"/>
        </w:rPr>
        <w:t xml:space="preserve"> </w:t>
      </w:r>
      <w:r w:rsidRPr="003B4E3E">
        <w:rPr>
          <w:rFonts w:ascii="Times New Roman" w:hAnsi="Times New Roman"/>
          <w:sz w:val="18"/>
          <w:szCs w:val="18"/>
          <w:lang w:val="sr-Cyrl-RS"/>
        </w:rPr>
        <w:t>Пројекат: „Јавне и приватне финансије за развој – Обезбеђивање одрживих локалних заједница унапређивањем планирања локалног развоја у Републици Србији</w:t>
      </w:r>
      <w:r>
        <w:rPr>
          <w:rFonts w:ascii="Times New Roman" w:hAnsi="Times New Roman"/>
          <w:sz w:val="18"/>
          <w:szCs w:val="18"/>
          <w:lang w:val="sr-Cyrl-RS"/>
        </w:rPr>
        <w:t>”</w:t>
      </w:r>
      <w:r w:rsidRPr="003B4E3E">
        <w:rPr>
          <w:rFonts w:ascii="Times New Roman" w:hAnsi="Times New Roman"/>
          <w:sz w:val="18"/>
          <w:szCs w:val="18"/>
          <w:lang w:val="sr-Cyrl-RS"/>
        </w:rPr>
        <w:t xml:space="preserve">. ЈЛС којима се пружа подршка у изради средњорочних планова у складу са Претходно усвојеним Плановима развоја у оквиру прве фазе предметног пројекта јесу: Сјеница, Куршумлија, Петровац на Млави, Мали Зворник и Бачки Петровац.  </w:t>
      </w:r>
    </w:p>
  </w:footnote>
  <w:footnote w:id="46">
    <w:p w:rsidR="00BB481C" w:rsidRPr="00DE4A7D" w:rsidRDefault="00BB481C" w:rsidP="00DE4A7D">
      <w:pPr>
        <w:pStyle w:val="FootnoteText"/>
        <w:spacing w:before="0"/>
        <w:jc w:val="both"/>
        <w:rPr>
          <w:rFonts w:ascii="Times New Roman" w:hAnsi="Times New Roman"/>
          <w:sz w:val="18"/>
          <w:szCs w:val="18"/>
          <w:lang w:val="sr-Cyrl-RS"/>
        </w:rPr>
      </w:pPr>
      <w:r w:rsidRPr="00DE4A7D">
        <w:rPr>
          <w:rStyle w:val="FootnoteReference"/>
          <w:rFonts w:ascii="Times New Roman" w:hAnsi="Times New Roman"/>
          <w:sz w:val="18"/>
          <w:szCs w:val="18"/>
        </w:rPr>
        <w:footnoteRef/>
      </w:r>
      <w:r w:rsidRPr="00DE4A7D">
        <w:rPr>
          <w:rFonts w:ascii="Times New Roman" w:hAnsi="Times New Roman"/>
          <w:sz w:val="18"/>
          <w:szCs w:val="18"/>
          <w:lang w:val="sr-Cyrl-RS"/>
        </w:rPr>
        <w:t xml:space="preserve"> Уређена Правилником о начину исказивања и извештавања о процењеним финансијским ефектима закона, другог прописа или другог акта на буџет, односно финансијске планове организација за обавезно социјално осигурање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32/15) и Упутством за попуњавање Обрасца ПФЕ - Образац стандардне методологије за процену финансијских ефеката акта.</w:t>
      </w:r>
    </w:p>
  </w:footnote>
  <w:footnote w:id="47">
    <w:p w:rsidR="00BB481C" w:rsidRPr="00DE4A7D" w:rsidRDefault="00BB481C" w:rsidP="00DE4A7D">
      <w:pPr>
        <w:pStyle w:val="FootnoteText"/>
        <w:spacing w:before="0"/>
        <w:rPr>
          <w:rFonts w:ascii="Times New Roman" w:hAnsi="Times New Roman"/>
          <w:sz w:val="18"/>
          <w:szCs w:val="18"/>
          <w:lang w:val="sr-Cyrl-RS"/>
        </w:rPr>
      </w:pPr>
      <w:r w:rsidRPr="00DE4A7D">
        <w:rPr>
          <w:rStyle w:val="FootnoteReference"/>
          <w:rFonts w:ascii="Times New Roman" w:hAnsi="Times New Roman"/>
          <w:sz w:val="18"/>
          <w:szCs w:val="18"/>
        </w:rPr>
        <w:footnoteRef/>
      </w:r>
      <w:r w:rsidRPr="00DE4A7D">
        <w:rPr>
          <w:rFonts w:ascii="Times New Roman" w:hAnsi="Times New Roman"/>
          <w:sz w:val="18"/>
          <w:szCs w:val="18"/>
          <w:lang w:val="sr-Cyrl-RS"/>
        </w:rPr>
        <w:t xml:space="preserve"> </w:t>
      </w:r>
      <w:hyperlink r:id="rId14" w:history="1">
        <w:r w:rsidRPr="00DE4A7D">
          <w:rPr>
            <w:rStyle w:val="Hyperlink"/>
            <w:rFonts w:ascii="Times New Roman" w:hAnsi="Times New Roman"/>
            <w:sz w:val="18"/>
            <w:szCs w:val="18"/>
          </w:rPr>
          <w:t>https</w:t>
        </w:r>
        <w:r w:rsidRPr="00DE4A7D">
          <w:rPr>
            <w:rStyle w:val="Hyperlink"/>
            <w:rFonts w:ascii="Times New Roman" w:hAnsi="Times New Roman"/>
            <w:sz w:val="18"/>
            <w:szCs w:val="18"/>
            <w:lang w:val="sr-Cyrl-RS"/>
          </w:rPr>
          <w:t>://</w:t>
        </w:r>
        <w:r w:rsidRPr="00DE4A7D">
          <w:rPr>
            <w:rStyle w:val="Hyperlink"/>
            <w:rFonts w:ascii="Times New Roman" w:hAnsi="Times New Roman"/>
            <w:sz w:val="18"/>
            <w:szCs w:val="18"/>
          </w:rPr>
          <w:t>rsjp</w:t>
        </w:r>
        <w:r w:rsidRPr="00DE4A7D">
          <w:rPr>
            <w:rStyle w:val="Hyperlink"/>
            <w:rFonts w:ascii="Times New Roman" w:hAnsi="Times New Roman"/>
            <w:sz w:val="18"/>
            <w:szCs w:val="18"/>
            <w:lang w:val="sr-Cyrl-RS"/>
          </w:rPr>
          <w:t>.</w:t>
        </w:r>
        <w:r w:rsidRPr="00DE4A7D">
          <w:rPr>
            <w:rStyle w:val="Hyperlink"/>
            <w:rFonts w:ascii="Times New Roman" w:hAnsi="Times New Roman"/>
            <w:sz w:val="18"/>
            <w:szCs w:val="18"/>
          </w:rPr>
          <w:t>gov</w:t>
        </w:r>
        <w:r w:rsidRPr="00DE4A7D">
          <w:rPr>
            <w:rStyle w:val="Hyperlink"/>
            <w:rFonts w:ascii="Times New Roman" w:hAnsi="Times New Roman"/>
            <w:sz w:val="18"/>
            <w:szCs w:val="18"/>
            <w:lang w:val="sr-Cyrl-RS"/>
          </w:rPr>
          <w:t>.</w:t>
        </w:r>
        <w:r w:rsidRPr="00DE4A7D">
          <w:rPr>
            <w:rStyle w:val="Hyperlink"/>
            <w:rFonts w:ascii="Times New Roman" w:hAnsi="Times New Roman"/>
            <w:sz w:val="18"/>
            <w:szCs w:val="18"/>
          </w:rPr>
          <w:t>rs</w:t>
        </w:r>
        <w:r w:rsidRPr="00DE4A7D">
          <w:rPr>
            <w:rStyle w:val="Hyperlink"/>
            <w:rFonts w:ascii="Times New Roman" w:hAnsi="Times New Roman"/>
            <w:sz w:val="18"/>
            <w:szCs w:val="18"/>
            <w:lang w:val="sr-Cyrl-RS"/>
          </w:rPr>
          <w:t>/</w:t>
        </w:r>
        <w:r w:rsidRPr="00DE4A7D">
          <w:rPr>
            <w:rStyle w:val="Hyperlink"/>
            <w:rFonts w:ascii="Times New Roman" w:hAnsi="Times New Roman"/>
            <w:sz w:val="18"/>
            <w:szCs w:val="18"/>
          </w:rPr>
          <w:t>cir</w:t>
        </w:r>
        <w:r w:rsidRPr="00DE4A7D">
          <w:rPr>
            <w:rStyle w:val="Hyperlink"/>
            <w:rFonts w:ascii="Times New Roman" w:hAnsi="Times New Roman"/>
            <w:sz w:val="18"/>
            <w:szCs w:val="18"/>
            <w:lang w:val="sr-Cyrl-RS"/>
          </w:rPr>
          <w:t>/</w:t>
        </w:r>
        <w:r w:rsidRPr="00DE4A7D">
          <w:rPr>
            <w:rStyle w:val="Hyperlink"/>
            <w:rFonts w:ascii="Times New Roman" w:hAnsi="Times New Roman"/>
            <w:sz w:val="18"/>
            <w:szCs w:val="18"/>
          </w:rPr>
          <w:t>dokumenti</w:t>
        </w:r>
        <w:r w:rsidRPr="00DE4A7D">
          <w:rPr>
            <w:rStyle w:val="Hyperlink"/>
            <w:rFonts w:ascii="Times New Roman" w:hAnsi="Times New Roman"/>
            <w:sz w:val="18"/>
            <w:szCs w:val="18"/>
            <w:lang w:val="sr-Cyrl-RS"/>
          </w:rPr>
          <w:t>-</w:t>
        </w:r>
        <w:r w:rsidRPr="00DE4A7D">
          <w:rPr>
            <w:rStyle w:val="Hyperlink"/>
            <w:rFonts w:ascii="Times New Roman" w:hAnsi="Times New Roman"/>
            <w:sz w:val="18"/>
            <w:szCs w:val="18"/>
          </w:rPr>
          <w:t>kategorija</w:t>
        </w:r>
        <w:r w:rsidRPr="00DE4A7D">
          <w:rPr>
            <w:rStyle w:val="Hyperlink"/>
            <w:rFonts w:ascii="Times New Roman" w:hAnsi="Times New Roman"/>
            <w:sz w:val="18"/>
            <w:szCs w:val="18"/>
            <w:lang w:val="sr-Cyrl-RS"/>
          </w:rPr>
          <w:t>-</w:t>
        </w:r>
        <w:r w:rsidRPr="00DE4A7D">
          <w:rPr>
            <w:rStyle w:val="Hyperlink"/>
            <w:rFonts w:ascii="Times New Roman" w:hAnsi="Times New Roman"/>
            <w:sz w:val="18"/>
            <w:szCs w:val="18"/>
          </w:rPr>
          <w:t>cir</w:t>
        </w:r>
        <w:r w:rsidRPr="00DE4A7D">
          <w:rPr>
            <w:rStyle w:val="Hyperlink"/>
            <w:rFonts w:ascii="Times New Roman" w:hAnsi="Times New Roman"/>
            <w:sz w:val="18"/>
            <w:szCs w:val="18"/>
            <w:lang w:val="sr-Cyrl-RS"/>
          </w:rPr>
          <w:t>/</w:t>
        </w:r>
        <w:r w:rsidRPr="00DE4A7D">
          <w:rPr>
            <w:rStyle w:val="Hyperlink"/>
            <w:rFonts w:ascii="Times New Roman" w:hAnsi="Times New Roman"/>
            <w:sz w:val="18"/>
            <w:szCs w:val="18"/>
          </w:rPr>
          <w:t>prirucnici</w:t>
        </w:r>
        <w:r w:rsidRPr="00DE4A7D">
          <w:rPr>
            <w:rStyle w:val="Hyperlink"/>
            <w:rFonts w:ascii="Times New Roman" w:hAnsi="Times New Roman"/>
            <w:sz w:val="18"/>
            <w:szCs w:val="18"/>
            <w:lang w:val="sr-Cyrl-RS"/>
          </w:rPr>
          <w:t>-</w:t>
        </w:r>
        <w:r w:rsidRPr="00DE4A7D">
          <w:rPr>
            <w:rStyle w:val="Hyperlink"/>
            <w:rFonts w:ascii="Times New Roman" w:hAnsi="Times New Roman"/>
            <w:sz w:val="18"/>
            <w:szCs w:val="18"/>
          </w:rPr>
          <w:t>cir</w:t>
        </w:r>
        <w:r w:rsidRPr="00DE4A7D">
          <w:rPr>
            <w:rStyle w:val="Hyperlink"/>
            <w:rFonts w:ascii="Times New Roman" w:hAnsi="Times New Roman"/>
            <w:sz w:val="18"/>
            <w:szCs w:val="18"/>
            <w:lang w:val="sr-Cyrl-RS"/>
          </w:rPr>
          <w:t>/</w:t>
        </w:r>
      </w:hyperlink>
      <w:r w:rsidRPr="00DE4A7D">
        <w:rPr>
          <w:rFonts w:ascii="Times New Roman" w:hAnsi="Times New Roman"/>
          <w:sz w:val="18"/>
          <w:szCs w:val="18"/>
          <w:lang w:val="sr-Cyrl-RS"/>
        </w:rPr>
        <w:t xml:space="preserve"> </w:t>
      </w:r>
    </w:p>
  </w:footnote>
  <w:footnote w:id="48">
    <w:p w:rsidR="00BB481C" w:rsidRPr="00DE4A7D" w:rsidRDefault="00BB481C" w:rsidP="00DE4A7D">
      <w:pPr>
        <w:pStyle w:val="FootnoteText"/>
        <w:spacing w:before="0"/>
        <w:rPr>
          <w:rFonts w:ascii="Times New Roman" w:hAnsi="Times New Roman"/>
          <w:sz w:val="18"/>
          <w:szCs w:val="18"/>
          <w:lang w:val="sr-Cyrl-RS"/>
        </w:rPr>
      </w:pPr>
      <w:r w:rsidRPr="00DE4A7D">
        <w:rPr>
          <w:rStyle w:val="FootnoteReference"/>
          <w:rFonts w:ascii="Times New Roman" w:hAnsi="Times New Roman"/>
          <w:sz w:val="18"/>
          <w:szCs w:val="18"/>
        </w:rPr>
        <w:footnoteRef/>
      </w:r>
      <w:r w:rsidRPr="00DE4A7D">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63/17</w:t>
      </w:r>
    </w:p>
  </w:footnote>
  <w:footnote w:id="49">
    <w:p w:rsidR="00BB481C" w:rsidRPr="00DE4A7D" w:rsidRDefault="00BB481C" w:rsidP="00DE4A7D">
      <w:pPr>
        <w:pStyle w:val="FootnoteText"/>
        <w:spacing w:before="0"/>
        <w:rPr>
          <w:rFonts w:ascii="Times New Roman" w:hAnsi="Times New Roman"/>
          <w:sz w:val="18"/>
          <w:szCs w:val="18"/>
          <w:lang w:val="sr-Cyrl-RS"/>
        </w:rPr>
      </w:pPr>
      <w:r w:rsidRPr="00DE4A7D">
        <w:rPr>
          <w:rStyle w:val="FootnoteReference"/>
          <w:rFonts w:ascii="Times New Roman" w:hAnsi="Times New Roman"/>
          <w:sz w:val="18"/>
          <w:szCs w:val="18"/>
        </w:rPr>
        <w:footnoteRef/>
      </w:r>
      <w:r w:rsidRPr="00DE4A7D">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18/18</w:t>
      </w:r>
    </w:p>
  </w:footnote>
  <w:footnote w:id="50">
    <w:p w:rsidR="00BB481C" w:rsidRPr="00DE4A7D" w:rsidRDefault="00BB481C" w:rsidP="000D3735">
      <w:pPr>
        <w:pStyle w:val="FootnoteText"/>
        <w:spacing w:before="0"/>
        <w:rPr>
          <w:rFonts w:ascii="Times New Roman" w:hAnsi="Times New Roman"/>
          <w:sz w:val="18"/>
          <w:szCs w:val="18"/>
          <w:lang w:val="sr-Cyrl-RS"/>
        </w:rPr>
      </w:pPr>
      <w:r w:rsidRPr="00DE4A7D">
        <w:rPr>
          <w:rStyle w:val="FootnoteReference"/>
          <w:rFonts w:ascii="Times New Roman" w:hAnsi="Times New Roman"/>
          <w:sz w:val="18"/>
          <w:szCs w:val="18"/>
        </w:rPr>
        <w:footnoteRef/>
      </w:r>
      <w:r w:rsidRPr="00DE4A7D">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51/19</w:t>
      </w:r>
    </w:p>
  </w:footnote>
  <w:footnote w:id="51">
    <w:p w:rsidR="00BB481C" w:rsidRPr="00DE4A7D" w:rsidRDefault="00BB481C" w:rsidP="000D3735">
      <w:pPr>
        <w:pStyle w:val="FootnoteText"/>
        <w:spacing w:before="0"/>
        <w:jc w:val="both"/>
        <w:rPr>
          <w:rFonts w:ascii="Times New Roman" w:hAnsi="Times New Roman"/>
          <w:sz w:val="18"/>
          <w:szCs w:val="18"/>
          <w:lang w:val="sr-Cyrl-RS"/>
        </w:rPr>
      </w:pPr>
      <w:r w:rsidRPr="00DE4A7D">
        <w:rPr>
          <w:rStyle w:val="FootnoteReference"/>
          <w:rFonts w:ascii="Times New Roman" w:hAnsi="Times New Roman"/>
          <w:sz w:val="18"/>
          <w:szCs w:val="18"/>
        </w:rPr>
        <w:footnoteRef/>
      </w:r>
      <w:r w:rsidRPr="00DE4A7D">
        <w:rPr>
          <w:rFonts w:ascii="Times New Roman" w:hAnsi="Times New Roman"/>
          <w:sz w:val="18"/>
          <w:szCs w:val="18"/>
          <w:lang w:val="sr-Cyrl-RS"/>
        </w:rPr>
        <w:t xml:space="preserve"> Усвојени су следећи правилници у складу са Уредбом о капиталним пројектима: Правилник о инвестиционој документацији („Службени гласник РС</w:t>
      </w:r>
      <w:r>
        <w:rPr>
          <w:rFonts w:ascii="Times New Roman" w:hAnsi="Times New Roman"/>
          <w:sz w:val="18"/>
          <w:szCs w:val="18"/>
          <w:lang w:val="sr-Cyrl-RS"/>
        </w:rPr>
        <w:t>”, број</w:t>
      </w:r>
      <w:r w:rsidRPr="00DE4A7D">
        <w:rPr>
          <w:rFonts w:ascii="Times New Roman" w:hAnsi="Times New Roman"/>
          <w:sz w:val="18"/>
          <w:szCs w:val="18"/>
          <w:lang w:val="sr-Cyrl-RS"/>
        </w:rPr>
        <w:t xml:space="preserve"> 87/19), Правилник о начину израде параметара финансијске и економске анализе у оквиру студије изводљивости и претходне студије изводљивости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87/19), Правилник о садржају базе капиталних пројекта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87/19), Правилник о поступку укључивања капиталних пројекта у буџет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87/19), Правилник о поступку рационализације капиталних пројеката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87/19), Правилник о студији изводљивости и претходној студији изводљивости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87/19), Правилник о праћењу имплементације капиталних пројеката („Службени гласник РС</w:t>
      </w:r>
      <w:r>
        <w:rPr>
          <w:rFonts w:ascii="Times New Roman" w:hAnsi="Times New Roman"/>
          <w:sz w:val="18"/>
          <w:szCs w:val="18"/>
          <w:lang w:val="sr-Cyrl-RS"/>
        </w:rPr>
        <w:t>”</w:t>
      </w:r>
      <w:r w:rsidRPr="00DE4A7D">
        <w:rPr>
          <w:rFonts w:ascii="Times New Roman" w:hAnsi="Times New Roman"/>
          <w:sz w:val="18"/>
          <w:szCs w:val="18"/>
          <w:lang w:val="sr-Cyrl-RS"/>
        </w:rPr>
        <w:t>, бр</w:t>
      </w:r>
      <w:r>
        <w:rPr>
          <w:rFonts w:ascii="Times New Roman" w:hAnsi="Times New Roman"/>
          <w:sz w:val="18"/>
          <w:szCs w:val="18"/>
          <w:lang w:val="sr-Cyrl-RS"/>
        </w:rPr>
        <w:t>ој</w:t>
      </w:r>
      <w:r w:rsidRPr="00DE4A7D">
        <w:rPr>
          <w:rFonts w:ascii="Times New Roman" w:hAnsi="Times New Roman"/>
          <w:sz w:val="18"/>
          <w:szCs w:val="18"/>
          <w:lang w:val="sr-Cyrl-RS"/>
        </w:rPr>
        <w:t xml:space="preserve"> 87/19).</w:t>
      </w:r>
    </w:p>
  </w:footnote>
  <w:footnote w:id="52">
    <w:p w:rsidR="00BB481C" w:rsidRPr="00DE1559" w:rsidRDefault="00BB481C" w:rsidP="00DE1559">
      <w:pPr>
        <w:pStyle w:val="FootnoteText"/>
        <w:spacing w:before="0"/>
        <w:jc w:val="both"/>
        <w:rPr>
          <w:rFonts w:ascii="Times New Roman" w:hAnsi="Times New Roman"/>
          <w:sz w:val="18"/>
          <w:szCs w:val="18"/>
          <w:lang w:val="sr-Cyrl-RS"/>
        </w:rPr>
      </w:pPr>
      <w:r w:rsidRPr="00DE1559">
        <w:rPr>
          <w:rStyle w:val="FootnoteReference"/>
          <w:rFonts w:ascii="Times New Roman" w:hAnsi="Times New Roman"/>
          <w:sz w:val="18"/>
          <w:szCs w:val="18"/>
        </w:rPr>
        <w:footnoteRef/>
      </w:r>
      <w:r w:rsidRPr="00DE1559">
        <w:rPr>
          <w:rFonts w:ascii="Times New Roman" w:hAnsi="Times New Roman"/>
          <w:sz w:val="18"/>
          <w:szCs w:val="18"/>
          <w:lang w:val="sr-Cyrl-RS"/>
        </w:rPr>
        <w:t xml:space="preserve"> У зависности од развоја ситуације изазване пандемијом К</w:t>
      </w:r>
      <w:r>
        <w:rPr>
          <w:rFonts w:ascii="Times New Roman" w:hAnsi="Times New Roman"/>
          <w:sz w:val="18"/>
          <w:szCs w:val="18"/>
          <w:lang w:val="sr-Cyrl-RS"/>
        </w:rPr>
        <w:t>овид</w:t>
      </w:r>
      <w:r w:rsidRPr="00DE1559">
        <w:rPr>
          <w:rFonts w:ascii="Times New Roman" w:hAnsi="Times New Roman"/>
          <w:sz w:val="18"/>
          <w:szCs w:val="18"/>
          <w:lang w:val="sr-Cyrl-RS"/>
        </w:rPr>
        <w:t xml:space="preserve">-19, обуке ће могу одржавати и онлајн. </w:t>
      </w:r>
    </w:p>
  </w:footnote>
  <w:footnote w:id="53">
    <w:p w:rsidR="00BB481C" w:rsidRPr="00DE1559" w:rsidRDefault="00BB481C" w:rsidP="00DE1559">
      <w:pPr>
        <w:pStyle w:val="FootnoteText"/>
        <w:spacing w:before="0"/>
        <w:jc w:val="both"/>
        <w:rPr>
          <w:rFonts w:ascii="Times New Roman" w:hAnsi="Times New Roman"/>
          <w:sz w:val="18"/>
          <w:szCs w:val="18"/>
          <w:lang w:val="sr-Cyrl-RS"/>
        </w:rPr>
      </w:pPr>
      <w:r w:rsidRPr="00DE1559">
        <w:rPr>
          <w:rStyle w:val="FootnoteReference"/>
          <w:rFonts w:ascii="Times New Roman" w:hAnsi="Times New Roman"/>
          <w:sz w:val="18"/>
          <w:szCs w:val="18"/>
        </w:rPr>
        <w:footnoteRef/>
      </w:r>
      <w:r w:rsidRPr="00DE1559">
        <w:rPr>
          <w:rFonts w:ascii="Times New Roman" w:hAnsi="Times New Roman"/>
          <w:sz w:val="18"/>
          <w:szCs w:val="18"/>
          <w:lang w:val="sr-Cyrl-RS"/>
        </w:rPr>
        <w:t xml:space="preserve"> Поглавље 17 – Економска и мон</w:t>
      </w:r>
      <w:r>
        <w:rPr>
          <w:rFonts w:ascii="Times New Roman" w:hAnsi="Times New Roman"/>
          <w:sz w:val="18"/>
          <w:szCs w:val="18"/>
          <w:lang w:val="sr-Cyrl-RS"/>
        </w:rPr>
        <w:t>е</w:t>
      </w:r>
      <w:r w:rsidRPr="00DE1559">
        <w:rPr>
          <w:rFonts w:ascii="Times New Roman" w:hAnsi="Times New Roman"/>
          <w:sz w:val="18"/>
          <w:szCs w:val="18"/>
          <w:lang w:val="sr-Cyrl-RS"/>
        </w:rPr>
        <w:t>т</w:t>
      </w:r>
      <w:r>
        <w:rPr>
          <w:rFonts w:ascii="Times New Roman" w:hAnsi="Times New Roman"/>
          <w:sz w:val="18"/>
          <w:szCs w:val="18"/>
          <w:lang w:val="sr-Cyrl-RS"/>
        </w:rPr>
        <w:t>а</w:t>
      </w:r>
      <w:r w:rsidRPr="00DE1559">
        <w:rPr>
          <w:rFonts w:ascii="Times New Roman" w:hAnsi="Times New Roman"/>
          <w:sz w:val="18"/>
          <w:szCs w:val="18"/>
          <w:lang w:val="sr-Cyrl-RS"/>
        </w:rPr>
        <w:t xml:space="preserve">рна политика: </w:t>
      </w:r>
      <w:hyperlink r:id="rId15" w:history="1">
        <w:r w:rsidRPr="00DE1559">
          <w:rPr>
            <w:rStyle w:val="Hyperlink"/>
            <w:rFonts w:ascii="Times New Roman" w:hAnsi="Times New Roman"/>
            <w:sz w:val="18"/>
            <w:szCs w:val="18"/>
            <w:lang w:val="sr-Cyrl-RS"/>
          </w:rPr>
          <w:t>https://ec.europa.eu/neighbourhood-enlargement/sites/near/files/serbia_report_2020.pdf</w:t>
        </w:r>
      </w:hyperlink>
      <w:r w:rsidRPr="00DE1559">
        <w:rPr>
          <w:rFonts w:ascii="Times New Roman" w:hAnsi="Times New Roman"/>
          <w:sz w:val="18"/>
          <w:szCs w:val="18"/>
          <w:lang w:val="sr-Cyrl-RS"/>
        </w:rPr>
        <w:t xml:space="preserve"> </w:t>
      </w:r>
    </w:p>
  </w:footnote>
  <w:footnote w:id="54">
    <w:p w:rsidR="00BB481C" w:rsidRPr="00DE1559" w:rsidRDefault="00BB481C" w:rsidP="00DE1559">
      <w:pPr>
        <w:pStyle w:val="FootnoteText"/>
        <w:spacing w:before="0"/>
        <w:jc w:val="both"/>
        <w:rPr>
          <w:rFonts w:ascii="Times New Roman" w:hAnsi="Times New Roman"/>
          <w:sz w:val="18"/>
          <w:szCs w:val="18"/>
          <w:lang w:val="sr-Cyrl-RS"/>
        </w:rPr>
      </w:pPr>
      <w:r w:rsidRPr="00DE1559">
        <w:rPr>
          <w:rStyle w:val="FootnoteReference"/>
          <w:rFonts w:ascii="Times New Roman" w:hAnsi="Times New Roman"/>
          <w:sz w:val="18"/>
          <w:szCs w:val="18"/>
        </w:rPr>
        <w:footnoteRef/>
      </w:r>
      <w:r w:rsidRPr="00DE1559">
        <w:rPr>
          <w:rFonts w:ascii="Times New Roman" w:hAnsi="Times New Roman"/>
          <w:sz w:val="18"/>
          <w:szCs w:val="18"/>
          <w:lang w:val="sr-Cyrl-RS"/>
        </w:rPr>
        <w:t xml:space="preserve"> </w:t>
      </w:r>
      <w:hyperlink r:id="rId16" w:history="1">
        <w:r w:rsidRPr="00DE1559">
          <w:rPr>
            <w:rStyle w:val="Hyperlink"/>
            <w:rFonts w:ascii="Times New Roman" w:hAnsi="Times New Roman"/>
            <w:sz w:val="18"/>
            <w:szCs w:val="18"/>
          </w:rPr>
          <w:t>https</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www</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mfin</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gov</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rs</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dokumenti</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pravilnik</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o</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nacinu</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iskazivanja</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i</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izvestavanja</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o</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procenjenim</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finansijskim</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efektima</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zakona</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drugog</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propisa</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ili</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drugog</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akta</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na</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budzet</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odnosno</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finansijske</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planove</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organizacija</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za</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obavezno</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socijalno</w:t>
        </w:r>
        <w:r w:rsidRPr="00DE1559">
          <w:rPr>
            <w:rStyle w:val="Hyperlink"/>
            <w:rFonts w:ascii="Times New Roman" w:hAnsi="Times New Roman"/>
            <w:sz w:val="18"/>
            <w:szCs w:val="18"/>
            <w:lang w:val="sr-Cyrl-RS"/>
          </w:rPr>
          <w:t>-</w:t>
        </w:r>
        <w:r w:rsidRPr="00DE1559">
          <w:rPr>
            <w:rStyle w:val="Hyperlink"/>
            <w:rFonts w:ascii="Times New Roman" w:hAnsi="Times New Roman"/>
            <w:sz w:val="18"/>
            <w:szCs w:val="18"/>
          </w:rPr>
          <w:t>osigu</w:t>
        </w:r>
        <w:r w:rsidRPr="00DE1559">
          <w:rPr>
            <w:rStyle w:val="Hyperlink"/>
            <w:rFonts w:ascii="Times New Roman" w:hAnsi="Times New Roman"/>
            <w:sz w:val="18"/>
            <w:szCs w:val="18"/>
            <w:lang w:val="sr-Cyrl-RS"/>
          </w:rPr>
          <w:t>/</w:t>
        </w:r>
      </w:hyperlink>
      <w:r w:rsidRPr="00DE1559">
        <w:rPr>
          <w:rFonts w:ascii="Times New Roman" w:hAnsi="Times New Roman"/>
          <w:sz w:val="18"/>
          <w:szCs w:val="18"/>
          <w:lang w:val="sr-Cyrl-RS"/>
        </w:rPr>
        <w:t xml:space="preserve"> </w:t>
      </w:r>
    </w:p>
  </w:footnote>
  <w:footnote w:id="55">
    <w:p w:rsidR="00BB481C" w:rsidRPr="00470120" w:rsidRDefault="00BB481C" w:rsidP="00470120">
      <w:pPr>
        <w:pStyle w:val="FootnoteText"/>
        <w:spacing w:before="0"/>
        <w:rPr>
          <w:rFonts w:asciiTheme="majorBidi" w:hAnsiTheme="majorBidi" w:cstheme="majorBidi"/>
          <w:sz w:val="18"/>
          <w:szCs w:val="18"/>
          <w:lang w:val="sr-Cyrl-RS"/>
        </w:rPr>
      </w:pPr>
      <w:r w:rsidRPr="00470120">
        <w:rPr>
          <w:rStyle w:val="FootnoteReference"/>
          <w:rFonts w:asciiTheme="majorBidi" w:hAnsiTheme="majorBidi" w:cstheme="majorBidi"/>
          <w:sz w:val="18"/>
          <w:szCs w:val="18"/>
        </w:rPr>
        <w:footnoteRef/>
      </w:r>
      <w:r w:rsidRPr="00470120">
        <w:rPr>
          <w:rFonts w:asciiTheme="majorBidi" w:hAnsiTheme="majorBidi" w:cstheme="majorBidi"/>
          <w:sz w:val="18"/>
          <w:szCs w:val="18"/>
          <w:lang w:val="sr-Cyrl-RS"/>
        </w:rPr>
        <w:t xml:space="preserve"> Извештај о спровођењу ПРУЈФ за 2019. годину- </w:t>
      </w:r>
      <w:hyperlink r:id="rId17" w:history="1">
        <w:r w:rsidRPr="00470120">
          <w:rPr>
            <w:rStyle w:val="Hyperlink"/>
            <w:rFonts w:asciiTheme="majorBidi" w:hAnsiTheme="majorBidi" w:cstheme="majorBidi"/>
            <w:sz w:val="18"/>
            <w:szCs w:val="18"/>
          </w:rPr>
          <w:t>https</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www</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mfin</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gov</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rs</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dokumenti</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program</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reforme</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upravljanja</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javnim</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finansijama</w:t>
        </w:r>
        <w:r w:rsidRPr="00470120">
          <w:rPr>
            <w:rStyle w:val="Hyperlink"/>
            <w:rFonts w:asciiTheme="majorBidi" w:hAnsiTheme="majorBidi" w:cstheme="majorBidi"/>
            <w:sz w:val="18"/>
            <w:szCs w:val="18"/>
            <w:lang w:val="sr-Cyrl-RS"/>
          </w:rPr>
          <w:t>-</w:t>
        </w:r>
        <w:r w:rsidRPr="00470120">
          <w:rPr>
            <w:rStyle w:val="Hyperlink"/>
            <w:rFonts w:asciiTheme="majorBidi" w:hAnsiTheme="majorBidi" w:cstheme="majorBidi"/>
            <w:sz w:val="18"/>
            <w:szCs w:val="18"/>
          </w:rPr>
          <w:t>pfm</w:t>
        </w:r>
        <w:r w:rsidRPr="00470120">
          <w:rPr>
            <w:rStyle w:val="Hyperlink"/>
            <w:rFonts w:asciiTheme="majorBidi" w:hAnsiTheme="majorBidi" w:cstheme="majorBidi"/>
            <w:sz w:val="18"/>
            <w:szCs w:val="18"/>
            <w:lang w:val="sr-Cyrl-RS"/>
          </w:rPr>
          <w:t>/</w:t>
        </w:r>
      </w:hyperlink>
      <w:r w:rsidRPr="00470120">
        <w:rPr>
          <w:rFonts w:asciiTheme="majorBidi" w:hAnsiTheme="majorBidi" w:cstheme="majorBidi"/>
          <w:sz w:val="18"/>
          <w:szCs w:val="18"/>
          <w:lang w:val="sr-Cyrl-RS"/>
        </w:rPr>
        <w:t xml:space="preserve"> </w:t>
      </w:r>
    </w:p>
  </w:footnote>
  <w:footnote w:id="56">
    <w:p w:rsidR="00BB481C" w:rsidRPr="00B43B9F" w:rsidRDefault="00BB481C" w:rsidP="00B43B9F">
      <w:pPr>
        <w:spacing w:before="0" w:after="0" w:line="240" w:lineRule="auto"/>
        <w:jc w:val="both"/>
        <w:rPr>
          <w:rFonts w:asciiTheme="majorBidi" w:hAnsiTheme="majorBidi" w:cstheme="majorBidi"/>
          <w:sz w:val="18"/>
          <w:szCs w:val="18"/>
          <w:lang w:val="sr-Cyrl-RS"/>
        </w:rPr>
      </w:pPr>
      <w:r w:rsidRPr="00B43B9F">
        <w:rPr>
          <w:rStyle w:val="FootnoteReference"/>
          <w:rFonts w:asciiTheme="majorBidi" w:hAnsiTheme="majorBidi" w:cstheme="majorBidi"/>
          <w:sz w:val="18"/>
          <w:szCs w:val="18"/>
        </w:rPr>
        <w:footnoteRef/>
      </w:r>
      <w:r w:rsidRPr="00B43B9F">
        <w:rPr>
          <w:rFonts w:asciiTheme="majorBidi" w:hAnsiTheme="majorBidi" w:cstheme="majorBidi"/>
          <w:sz w:val="18"/>
          <w:szCs w:val="18"/>
          <w:lang w:val="sr-Cyrl-RS"/>
        </w:rPr>
        <w:t xml:space="preserve"> </w:t>
      </w:r>
      <w:r w:rsidRPr="00B43B9F">
        <w:rPr>
          <w:rFonts w:asciiTheme="majorBidi" w:hAnsiTheme="majorBidi" w:cstheme="majorBidi"/>
          <w:i/>
          <w:sz w:val="18"/>
          <w:szCs w:val="18"/>
        </w:rPr>
        <w:t>TADAT</w:t>
      </w:r>
      <w:r w:rsidRPr="00B43B9F">
        <w:rPr>
          <w:rFonts w:asciiTheme="majorBidi" w:hAnsiTheme="majorBidi" w:cstheme="majorBidi"/>
          <w:sz w:val="18"/>
          <w:szCs w:val="18"/>
          <w:lang w:val="sr-Cyrl-RS"/>
        </w:rPr>
        <w:t xml:space="preserve"> – </w:t>
      </w:r>
      <w:r w:rsidRPr="00B43B9F">
        <w:rPr>
          <w:rFonts w:asciiTheme="majorBidi" w:hAnsiTheme="majorBidi" w:cstheme="majorBidi"/>
          <w:i/>
          <w:iCs/>
          <w:sz w:val="18"/>
          <w:szCs w:val="18"/>
          <w:lang w:val="sr-Cyrl-RS"/>
        </w:rPr>
        <w:t>Tax Administration Diagnostic Assessment Tool</w:t>
      </w:r>
    </w:p>
  </w:footnote>
  <w:footnote w:id="57">
    <w:p w:rsidR="00BB481C" w:rsidRPr="00B43B9F" w:rsidRDefault="00BB481C" w:rsidP="00B43B9F">
      <w:pPr>
        <w:pStyle w:val="FootnoteText"/>
        <w:spacing w:before="0"/>
        <w:jc w:val="both"/>
        <w:rPr>
          <w:sz w:val="18"/>
          <w:szCs w:val="18"/>
          <w:lang w:val="sr-Cyrl-RS"/>
        </w:rPr>
      </w:pPr>
      <w:r w:rsidRPr="00B43B9F">
        <w:rPr>
          <w:rStyle w:val="FootnoteReference"/>
          <w:rFonts w:asciiTheme="majorBidi" w:hAnsiTheme="majorBidi" w:cstheme="majorBidi"/>
          <w:sz w:val="18"/>
          <w:szCs w:val="18"/>
        </w:rPr>
        <w:footnoteRef/>
      </w:r>
      <w:r w:rsidRPr="00B43B9F">
        <w:rPr>
          <w:rFonts w:asciiTheme="majorBidi" w:hAnsiTheme="majorBidi" w:cstheme="majorBidi"/>
          <w:sz w:val="18"/>
          <w:szCs w:val="18"/>
          <w:lang w:val="sr-Cyrl-RS"/>
        </w:rPr>
        <w:t xml:space="preserve"> Уложени напори Владе у модернизацију ПУРС потпомогнути су  пројектима међународних организација, превасходно Светске банке. Између осталог, ратификована је кредитна линија Светске банке доношењем Закона о потврђивању споразума о зајму (Пројекат модернизације Пореске администрације) између Републике Србије и Међународне банке за обнову и развој („Сл</w:t>
      </w:r>
      <w:r>
        <w:rPr>
          <w:rFonts w:asciiTheme="majorBidi" w:hAnsiTheme="majorBidi" w:cstheme="majorBidi"/>
          <w:sz w:val="18"/>
          <w:szCs w:val="18"/>
          <w:lang w:val="sr-Cyrl-RS"/>
        </w:rPr>
        <w:t>ужбени</w:t>
      </w:r>
      <w:r w:rsidRPr="00B43B9F">
        <w:rPr>
          <w:rFonts w:asciiTheme="majorBidi" w:hAnsiTheme="majorBidi" w:cstheme="majorBidi"/>
          <w:sz w:val="18"/>
          <w:szCs w:val="18"/>
          <w:lang w:val="sr-Cyrl-RS"/>
        </w:rPr>
        <w:t xml:space="preserve"> гласник РС - Међународни уговори</w:t>
      </w:r>
      <w:r>
        <w:rPr>
          <w:rFonts w:asciiTheme="majorBidi" w:hAnsiTheme="majorBidi" w:cstheme="majorBidi"/>
          <w:sz w:val="18"/>
          <w:szCs w:val="18"/>
          <w:lang w:val="sr-Cyrl-RS"/>
        </w:rPr>
        <w:t>”</w:t>
      </w:r>
      <w:r w:rsidRPr="00B43B9F">
        <w:rPr>
          <w:rFonts w:asciiTheme="majorBidi" w:hAnsiTheme="majorBidi" w:cstheme="majorBidi"/>
          <w:sz w:val="18"/>
          <w:szCs w:val="18"/>
          <w:lang w:val="sr-Cyrl-RS"/>
        </w:rPr>
        <w:t>, бр</w:t>
      </w:r>
      <w:r>
        <w:rPr>
          <w:rFonts w:asciiTheme="majorBidi" w:hAnsiTheme="majorBidi" w:cstheme="majorBidi"/>
          <w:sz w:val="18"/>
          <w:szCs w:val="18"/>
          <w:lang w:val="sr-Cyrl-RS"/>
        </w:rPr>
        <w:t>ој</w:t>
      </w:r>
      <w:r w:rsidRPr="00B43B9F">
        <w:rPr>
          <w:rFonts w:asciiTheme="majorBidi" w:hAnsiTheme="majorBidi" w:cstheme="majorBidi"/>
          <w:sz w:val="18"/>
          <w:szCs w:val="18"/>
          <w:lang w:val="sr-Cyrl-RS"/>
        </w:rPr>
        <w:t xml:space="preserve"> 6/19).</w:t>
      </w:r>
    </w:p>
  </w:footnote>
  <w:footnote w:id="58">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Извештај о спровођењу </w:t>
      </w:r>
      <w:r>
        <w:rPr>
          <w:rFonts w:ascii="Times New Roman" w:hAnsi="Times New Roman"/>
          <w:sz w:val="18"/>
          <w:szCs w:val="18"/>
          <w:lang w:val="sr-Cyrl-RS"/>
        </w:rPr>
        <w:t>ПРУЈФ</w:t>
      </w:r>
      <w:r w:rsidRPr="00B43B9F">
        <w:rPr>
          <w:rFonts w:ascii="Times New Roman" w:hAnsi="Times New Roman"/>
          <w:sz w:val="18"/>
          <w:szCs w:val="18"/>
          <w:lang w:val="sr-Cyrl-RS"/>
        </w:rPr>
        <w:t xml:space="preserve"> за 2019. годину- </w:t>
      </w:r>
      <w:hyperlink r:id="rId18" w:history="1">
        <w:r w:rsidRPr="00B43B9F">
          <w:rPr>
            <w:rStyle w:val="Hyperlink"/>
            <w:rFonts w:ascii="Times New Roman" w:hAnsi="Times New Roman"/>
            <w:sz w:val="18"/>
            <w:szCs w:val="18"/>
          </w:rPr>
          <w:t>https</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www</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mfin</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gov</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rs</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dokumenti</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program</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reforme</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upravljanja</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javnim</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finansijama</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pfm</w:t>
        </w:r>
        <w:r w:rsidRPr="00B43B9F">
          <w:rPr>
            <w:rStyle w:val="Hyperlink"/>
            <w:rFonts w:ascii="Times New Roman" w:hAnsi="Times New Roman"/>
            <w:sz w:val="18"/>
            <w:szCs w:val="18"/>
            <w:lang w:val="sr-Cyrl-RS"/>
          </w:rPr>
          <w:t>/</w:t>
        </w:r>
      </w:hyperlink>
      <w:r w:rsidRPr="00B43B9F">
        <w:rPr>
          <w:rFonts w:ascii="Times New Roman" w:hAnsi="Times New Roman"/>
          <w:sz w:val="18"/>
          <w:szCs w:val="18"/>
          <w:lang w:val="sr-Cyrl-RS"/>
        </w:rPr>
        <w:t xml:space="preserve"> </w:t>
      </w:r>
    </w:p>
  </w:footnote>
  <w:footnote w:id="59">
    <w:p w:rsidR="00BB481C" w:rsidRPr="00B43B9F" w:rsidRDefault="00BB481C" w:rsidP="00B43B9F">
      <w:pPr>
        <w:pStyle w:val="FootnoteText"/>
        <w:spacing w:before="0"/>
        <w:jc w:val="both"/>
        <w:rPr>
          <w:rFonts w:asciiTheme="majorBidi" w:hAnsiTheme="majorBidi" w:cstheme="majorBidi"/>
          <w:sz w:val="18"/>
          <w:szCs w:val="18"/>
          <w:lang w:val="sr-Cyrl-RS"/>
        </w:rPr>
      </w:pPr>
      <w:r w:rsidRPr="00B43B9F">
        <w:rPr>
          <w:rStyle w:val="FootnoteReference"/>
          <w:rFonts w:asciiTheme="majorBidi" w:hAnsiTheme="majorBidi" w:cstheme="majorBidi"/>
          <w:sz w:val="18"/>
          <w:szCs w:val="18"/>
        </w:rPr>
        <w:footnoteRef/>
      </w:r>
      <w:r w:rsidRPr="00B43B9F">
        <w:rPr>
          <w:rFonts w:asciiTheme="majorBidi" w:hAnsiTheme="majorBidi" w:cstheme="majorBidi"/>
          <w:sz w:val="18"/>
          <w:szCs w:val="18"/>
          <w:lang w:val="sr-Cyrl-RS"/>
        </w:rPr>
        <w:t xml:space="preserve"> „Служб</w:t>
      </w:r>
      <w:r>
        <w:rPr>
          <w:rFonts w:asciiTheme="majorBidi" w:hAnsiTheme="majorBidi" w:cstheme="majorBidi"/>
          <w:sz w:val="18"/>
          <w:szCs w:val="18"/>
          <w:lang w:val="sr-Cyrl-RS"/>
        </w:rPr>
        <w:t>е</w:t>
      </w:r>
      <w:r w:rsidRPr="00B43B9F">
        <w:rPr>
          <w:rFonts w:asciiTheme="majorBidi" w:hAnsiTheme="majorBidi" w:cstheme="majorBidi"/>
          <w:sz w:val="18"/>
          <w:szCs w:val="18"/>
          <w:lang w:val="sr-Cyrl-RS"/>
        </w:rPr>
        <w:t>ни гласник РС</w:t>
      </w:r>
      <w:r>
        <w:rPr>
          <w:rFonts w:asciiTheme="majorBidi" w:hAnsiTheme="majorBidi" w:cstheme="majorBidi"/>
          <w:sz w:val="18"/>
          <w:szCs w:val="18"/>
          <w:lang w:val="sr-Cyrl-RS"/>
        </w:rPr>
        <w:t>”</w:t>
      </w:r>
      <w:r w:rsidRPr="00B43B9F">
        <w:rPr>
          <w:rFonts w:asciiTheme="majorBidi" w:hAnsiTheme="majorBidi" w:cstheme="majorBidi"/>
          <w:sz w:val="18"/>
          <w:szCs w:val="18"/>
          <w:lang w:val="sr-Cyrl-RS"/>
        </w:rPr>
        <w:t>, бр. 95/18, 91/19-др. закон и 144/20</w:t>
      </w:r>
    </w:p>
  </w:footnote>
  <w:footnote w:id="60">
    <w:p w:rsidR="00BB481C" w:rsidRPr="00B43B9F" w:rsidRDefault="00BB481C" w:rsidP="00B43B9F">
      <w:pPr>
        <w:pStyle w:val="FootnoteText"/>
        <w:spacing w:before="0"/>
        <w:jc w:val="both"/>
        <w:rPr>
          <w:rFonts w:asciiTheme="majorBidi" w:hAnsiTheme="majorBidi" w:cstheme="majorBidi"/>
          <w:sz w:val="18"/>
          <w:szCs w:val="18"/>
          <w:lang w:val="sr-Cyrl-RS"/>
        </w:rPr>
      </w:pPr>
      <w:r w:rsidRPr="00B43B9F">
        <w:rPr>
          <w:rStyle w:val="FootnoteReference"/>
          <w:rFonts w:asciiTheme="majorBidi" w:hAnsiTheme="majorBidi" w:cstheme="majorBidi"/>
          <w:sz w:val="18"/>
          <w:szCs w:val="18"/>
        </w:rPr>
        <w:footnoteRef/>
      </w:r>
      <w:r w:rsidRPr="00B43B9F">
        <w:rPr>
          <w:rFonts w:asciiTheme="majorBidi" w:hAnsiTheme="majorBidi" w:cstheme="majorBidi"/>
          <w:sz w:val="18"/>
          <w:szCs w:val="18"/>
          <w:lang w:val="sr-Cyrl-RS"/>
        </w:rPr>
        <w:t xml:space="preserve"> „Службени гласник РС</w:t>
      </w:r>
      <w:r>
        <w:rPr>
          <w:rFonts w:asciiTheme="majorBidi" w:hAnsiTheme="majorBidi" w:cstheme="majorBidi"/>
          <w:sz w:val="18"/>
          <w:szCs w:val="18"/>
          <w:lang w:val="sr-Cyrl-RS"/>
        </w:rPr>
        <w:t>”</w:t>
      </w:r>
      <w:r w:rsidRPr="00B43B9F">
        <w:rPr>
          <w:rFonts w:asciiTheme="majorBidi" w:hAnsiTheme="majorBidi" w:cstheme="majorBidi"/>
          <w:sz w:val="18"/>
          <w:szCs w:val="18"/>
          <w:lang w:val="sr-Cyrl-RS"/>
        </w:rPr>
        <w:t>, бр. 95/18</w:t>
      </w:r>
      <w:r>
        <w:rPr>
          <w:rFonts w:asciiTheme="majorBidi" w:hAnsiTheme="majorBidi" w:cstheme="majorBidi"/>
          <w:sz w:val="18"/>
          <w:szCs w:val="18"/>
          <w:lang w:val="sr-Cyrl-RS"/>
        </w:rPr>
        <w:t xml:space="preserve"> и 144/20</w:t>
      </w:r>
    </w:p>
  </w:footnote>
  <w:footnote w:id="61">
    <w:p w:rsidR="00BB481C" w:rsidRPr="00B43B9F" w:rsidRDefault="00BB481C" w:rsidP="00B43B9F">
      <w:pPr>
        <w:spacing w:before="0" w:after="0" w:line="240" w:lineRule="auto"/>
        <w:jc w:val="both"/>
        <w:rPr>
          <w:rFonts w:asciiTheme="majorBidi" w:hAnsiTheme="majorBidi"/>
          <w:sz w:val="18"/>
          <w:szCs w:val="18"/>
          <w:highlight w:val="yellow"/>
          <w:lang w:val="sr-Cyrl-RS"/>
        </w:rPr>
      </w:pPr>
      <w:r w:rsidRPr="00B43B9F">
        <w:rPr>
          <w:rStyle w:val="FootnoteReference"/>
          <w:rFonts w:asciiTheme="majorBidi" w:hAnsiTheme="majorBidi"/>
          <w:sz w:val="18"/>
          <w:szCs w:val="18"/>
        </w:rPr>
        <w:footnoteRef/>
      </w:r>
      <w:r w:rsidRPr="00B43B9F">
        <w:rPr>
          <w:rFonts w:asciiTheme="majorBidi" w:hAnsiTheme="majorBidi"/>
          <w:sz w:val="18"/>
          <w:szCs w:val="18"/>
          <w:lang w:val="sr-Cyrl-RS"/>
        </w:rPr>
        <w:t xml:space="preserve"> </w:t>
      </w:r>
      <w:r w:rsidRPr="00B43B9F">
        <w:rPr>
          <w:rFonts w:asciiTheme="majorBidi" w:hAnsiTheme="majorBidi"/>
          <w:i/>
          <w:sz w:val="18"/>
          <w:szCs w:val="18"/>
        </w:rPr>
        <w:t>ERIAN</w:t>
      </w:r>
      <w:r w:rsidRPr="00B43B9F">
        <w:rPr>
          <w:rFonts w:asciiTheme="majorBidi" w:hAnsiTheme="majorBidi"/>
          <w:sz w:val="18"/>
          <w:szCs w:val="18"/>
          <w:lang w:val="sr-Cyrl-RS"/>
        </w:rPr>
        <w:t xml:space="preserve"> је експертски систем–модул чији је основни циљ да обезбеди </w:t>
      </w:r>
      <w:r w:rsidRPr="00B43B9F">
        <w:rPr>
          <w:rFonts w:asciiTheme="majorBidi" w:hAnsiTheme="majorBidi"/>
          <w:i/>
          <w:sz w:val="18"/>
          <w:szCs w:val="18"/>
        </w:rPr>
        <w:t>on</w:t>
      </w:r>
      <w:r w:rsidRPr="00B43B9F">
        <w:rPr>
          <w:rFonts w:asciiTheme="majorBidi" w:hAnsiTheme="majorBidi"/>
          <w:i/>
          <w:sz w:val="18"/>
          <w:szCs w:val="18"/>
          <w:lang w:val="sr-Cyrl-RS"/>
        </w:rPr>
        <w:t>-</w:t>
      </w:r>
      <w:r w:rsidRPr="00B43B9F">
        <w:rPr>
          <w:rFonts w:asciiTheme="majorBidi" w:hAnsiTheme="majorBidi"/>
          <w:i/>
          <w:sz w:val="18"/>
          <w:szCs w:val="18"/>
        </w:rPr>
        <w:t>line</w:t>
      </w:r>
      <w:r w:rsidRPr="00B43B9F">
        <w:rPr>
          <w:rFonts w:asciiTheme="majorBidi" w:hAnsiTheme="majorBidi"/>
          <w:sz w:val="18"/>
          <w:szCs w:val="18"/>
          <w:lang w:val="sr-Cyrl-RS"/>
        </w:rPr>
        <w:t xml:space="preserve"> евалуацију декларација које се обрађују у систему процеса декларисања у складу са спецификацијама модела (профила) ризика, сачињеног од стране аналитичара ризика у</w:t>
      </w:r>
      <w:r w:rsidRPr="00B43B9F">
        <w:rPr>
          <w:rFonts w:asciiTheme="majorBidi" w:hAnsiTheme="majorBidi"/>
          <w:i/>
          <w:sz w:val="18"/>
          <w:szCs w:val="18"/>
          <w:lang w:val="sr-Cyrl-RS"/>
        </w:rPr>
        <w:t xml:space="preserve"> </w:t>
      </w:r>
      <w:r w:rsidRPr="00B43B9F">
        <w:rPr>
          <w:rFonts w:asciiTheme="majorBidi" w:hAnsiTheme="majorBidi"/>
          <w:i/>
          <w:sz w:val="18"/>
          <w:szCs w:val="18"/>
        </w:rPr>
        <w:t>ERIAN</w:t>
      </w:r>
      <w:r w:rsidRPr="00B43B9F">
        <w:rPr>
          <w:rFonts w:asciiTheme="majorBidi" w:hAnsiTheme="majorBidi"/>
          <w:sz w:val="18"/>
          <w:szCs w:val="18"/>
          <w:lang w:val="sr-Cyrl-RS"/>
        </w:rPr>
        <w:t xml:space="preserve"> централној архиви профила ризика</w:t>
      </w:r>
      <w:r w:rsidRPr="00B43B9F">
        <w:rPr>
          <w:rFonts w:asciiTheme="majorBidi" w:hAnsiTheme="majorBidi" w:cstheme="majorBidi"/>
          <w:sz w:val="18"/>
          <w:szCs w:val="18"/>
          <w:lang w:val="sr-Cyrl-RS"/>
        </w:rPr>
        <w:t>.</w:t>
      </w:r>
    </w:p>
  </w:footnote>
  <w:footnote w:id="62">
    <w:p w:rsidR="00BB481C" w:rsidRPr="00B43B9F" w:rsidRDefault="00BB481C" w:rsidP="00B43B9F">
      <w:pPr>
        <w:pStyle w:val="FootnoteText"/>
        <w:spacing w:before="0"/>
        <w:jc w:val="both"/>
        <w:rPr>
          <w:rFonts w:asciiTheme="majorBidi" w:hAnsiTheme="majorBidi" w:cstheme="majorBidi"/>
          <w:sz w:val="18"/>
          <w:szCs w:val="18"/>
          <w:lang w:val="sr-Cyrl-RS"/>
        </w:rPr>
      </w:pPr>
      <w:r w:rsidRPr="00B43B9F">
        <w:rPr>
          <w:rStyle w:val="FootnoteReference"/>
          <w:rFonts w:asciiTheme="majorBidi" w:hAnsiTheme="majorBidi" w:cstheme="majorBidi"/>
          <w:sz w:val="18"/>
          <w:szCs w:val="18"/>
        </w:rPr>
        <w:footnoteRef/>
      </w:r>
      <w:r w:rsidRPr="00B43B9F">
        <w:rPr>
          <w:rFonts w:asciiTheme="majorBidi" w:hAnsiTheme="majorBidi" w:cstheme="majorBidi"/>
          <w:sz w:val="18"/>
          <w:szCs w:val="18"/>
          <w:lang w:val="sr-Cyrl-RS"/>
        </w:rPr>
        <w:t xml:space="preserve"> Систем </w:t>
      </w:r>
      <w:r w:rsidRPr="00B43B9F">
        <w:rPr>
          <w:rFonts w:asciiTheme="majorBidi" w:hAnsiTheme="majorBidi" w:cstheme="majorBidi"/>
          <w:i/>
          <w:iCs/>
          <w:sz w:val="18"/>
          <w:szCs w:val="18"/>
          <w:lang w:val="sr-Cyrl-RS"/>
        </w:rPr>
        <w:t>ERIAN</w:t>
      </w:r>
      <w:r w:rsidRPr="00B43B9F">
        <w:rPr>
          <w:rFonts w:asciiTheme="majorBidi" w:hAnsiTheme="majorBidi" w:cstheme="majorBidi"/>
          <w:sz w:val="18"/>
          <w:szCs w:val="18"/>
          <w:lang w:val="sr-Cyrl-RS"/>
        </w:rPr>
        <w:t xml:space="preserve"> за контролу транзитних процедура националног (</w:t>
      </w:r>
      <w:r w:rsidRPr="00B43B9F">
        <w:rPr>
          <w:rFonts w:asciiTheme="majorBidi" w:hAnsiTheme="majorBidi" w:cstheme="majorBidi"/>
          <w:sz w:val="18"/>
          <w:szCs w:val="18"/>
        </w:rPr>
        <w:t>NT</w:t>
      </w:r>
      <w:r w:rsidRPr="00B43B9F">
        <w:rPr>
          <w:rFonts w:asciiTheme="majorBidi" w:hAnsiTheme="majorBidi" w:cstheme="majorBidi"/>
          <w:sz w:val="18"/>
          <w:szCs w:val="18"/>
          <w:lang w:val="sr-Cyrl-RS"/>
        </w:rPr>
        <w:t>) и заједничког транзита (Т1, Т2, Т-), успостављен је од фебруара 2016. године и спроведен кроз нови компјутеризовани транзитни систем (</w:t>
      </w:r>
      <w:r w:rsidRPr="00B43B9F">
        <w:rPr>
          <w:rFonts w:asciiTheme="majorBidi" w:hAnsiTheme="majorBidi" w:cstheme="majorBidi"/>
          <w:i/>
          <w:iCs/>
          <w:sz w:val="18"/>
          <w:szCs w:val="18"/>
        </w:rPr>
        <w:t>NCTS</w:t>
      </w:r>
      <w:r w:rsidRPr="00B43B9F">
        <w:rPr>
          <w:rFonts w:asciiTheme="majorBidi" w:hAnsiTheme="majorBidi" w:cstheme="majorBidi"/>
          <w:sz w:val="18"/>
          <w:szCs w:val="18"/>
          <w:lang w:val="sr-Cyrl-RS"/>
        </w:rPr>
        <w:t>).</w:t>
      </w:r>
    </w:p>
  </w:footnote>
  <w:footnote w:id="63">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Стандард СРПС ИСО/ИЕЦ 17025:2006</w:t>
      </w:r>
    </w:p>
  </w:footnote>
  <w:footnote w:id="64">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Извештај о С</w:t>
      </w:r>
      <w:r>
        <w:rPr>
          <w:rFonts w:ascii="Times New Roman" w:hAnsi="Times New Roman"/>
          <w:sz w:val="18"/>
          <w:szCs w:val="18"/>
          <w:lang w:val="sr-Cyrl-RS"/>
        </w:rPr>
        <w:t>рбији</w:t>
      </w:r>
      <w:r w:rsidRPr="00B43B9F">
        <w:rPr>
          <w:rFonts w:ascii="Times New Roman" w:hAnsi="Times New Roman"/>
          <w:sz w:val="18"/>
          <w:szCs w:val="18"/>
          <w:lang w:val="sr-Cyrl-RS"/>
        </w:rPr>
        <w:t xml:space="preserve"> за 2020. годину, стр 112:  </w:t>
      </w:r>
      <w:hyperlink r:id="rId19" w:history="1">
        <w:r w:rsidRPr="00B43B9F">
          <w:rPr>
            <w:rStyle w:val="Hyperlink"/>
            <w:rFonts w:ascii="Times New Roman" w:hAnsi="Times New Roman"/>
            <w:sz w:val="18"/>
            <w:szCs w:val="18"/>
          </w:rPr>
          <w:t>https</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ec</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europa</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eu</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neighbourhood</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enlargement</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sites</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near</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files</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serbia</w:t>
        </w:r>
        <w:r w:rsidRPr="00B43B9F">
          <w:rPr>
            <w:rStyle w:val="Hyperlink"/>
            <w:rFonts w:ascii="Times New Roman" w:hAnsi="Times New Roman"/>
            <w:sz w:val="18"/>
            <w:szCs w:val="18"/>
            <w:lang w:val="sr-Cyrl-RS"/>
          </w:rPr>
          <w:t>_</w:t>
        </w:r>
        <w:r w:rsidRPr="00B43B9F">
          <w:rPr>
            <w:rStyle w:val="Hyperlink"/>
            <w:rFonts w:ascii="Times New Roman" w:hAnsi="Times New Roman"/>
            <w:sz w:val="18"/>
            <w:szCs w:val="18"/>
          </w:rPr>
          <w:t>report</w:t>
        </w:r>
        <w:r w:rsidRPr="00B43B9F">
          <w:rPr>
            <w:rStyle w:val="Hyperlink"/>
            <w:rFonts w:ascii="Times New Roman" w:hAnsi="Times New Roman"/>
            <w:sz w:val="18"/>
            <w:szCs w:val="18"/>
            <w:lang w:val="sr-Cyrl-RS"/>
          </w:rPr>
          <w:t>_2020.</w:t>
        </w:r>
        <w:r w:rsidRPr="00B43B9F">
          <w:rPr>
            <w:rStyle w:val="Hyperlink"/>
            <w:rFonts w:ascii="Times New Roman" w:hAnsi="Times New Roman"/>
            <w:sz w:val="18"/>
            <w:szCs w:val="18"/>
          </w:rPr>
          <w:t>pdf</w:t>
        </w:r>
      </w:hyperlink>
      <w:r w:rsidRPr="00B43B9F">
        <w:rPr>
          <w:rFonts w:ascii="Times New Roman" w:hAnsi="Times New Roman"/>
          <w:sz w:val="18"/>
          <w:szCs w:val="18"/>
          <w:lang w:val="sr-Cyrl-RS"/>
        </w:rPr>
        <w:t xml:space="preserve"> </w:t>
      </w:r>
    </w:p>
  </w:footnote>
  <w:footnote w:id="65">
    <w:p w:rsidR="00BB481C" w:rsidRPr="00B43B9F" w:rsidRDefault="00BB481C" w:rsidP="00B43B9F">
      <w:pPr>
        <w:pStyle w:val="FootnoteText"/>
        <w:spacing w:before="0"/>
        <w:jc w:val="both"/>
        <w:rPr>
          <w:rFonts w:ascii="Times New Roman" w:hAnsi="Times New Roman"/>
          <w:sz w:val="18"/>
          <w:szCs w:val="18"/>
          <w:lang w:val="sr-Cyrl-RS"/>
        </w:rPr>
      </w:pPr>
      <w:r w:rsidRPr="00B43B9F">
        <w:rPr>
          <w:rStyle w:val="FootnoteReference"/>
          <w:rFonts w:ascii="Times New Roman" w:hAnsi="Times New Roman"/>
          <w:sz w:val="18"/>
          <w:szCs w:val="18"/>
        </w:rPr>
        <w:footnoteRef/>
      </w:r>
      <w:r w:rsidRPr="00B43B9F">
        <w:rPr>
          <w:rFonts w:ascii="Times New Roman" w:hAnsi="Times New Roman"/>
          <w:sz w:val="18"/>
          <w:szCs w:val="18"/>
          <w:lang w:val="sr-Cyrl-RS"/>
        </w:rPr>
        <w:t xml:space="preserve"> Месечни извештај - Анализа јавног дуга и дуга опште државе - децембар 2019. године- </w:t>
      </w:r>
      <w:hyperlink r:id="rId20" w:history="1">
        <w:r w:rsidRPr="00B43B9F">
          <w:rPr>
            <w:rStyle w:val="Hyperlink"/>
            <w:rFonts w:ascii="Times New Roman" w:hAnsi="Times New Roman"/>
            <w:sz w:val="18"/>
            <w:szCs w:val="18"/>
          </w:rPr>
          <w:t>http</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www</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ujd</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gov</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rs</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upload</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Bilteni</w:t>
        </w:r>
        <w:r w:rsidRPr="00B43B9F">
          <w:rPr>
            <w:rStyle w:val="Hyperlink"/>
            <w:rFonts w:ascii="Times New Roman" w:hAnsi="Times New Roman"/>
            <w:sz w:val="18"/>
            <w:szCs w:val="18"/>
            <w:lang w:val="sr-Cyrl-RS"/>
          </w:rPr>
          <w:t>/2019%20</w:t>
        </w:r>
        <w:r w:rsidRPr="00B43B9F">
          <w:rPr>
            <w:rStyle w:val="Hyperlink"/>
            <w:rFonts w:ascii="Times New Roman" w:hAnsi="Times New Roman"/>
            <w:sz w:val="18"/>
            <w:szCs w:val="18"/>
          </w:rPr>
          <w:t>Mesecni</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Decembar</w:t>
        </w:r>
        <w:r w:rsidRPr="00B43B9F">
          <w:rPr>
            <w:rStyle w:val="Hyperlink"/>
            <w:rFonts w:ascii="Times New Roman" w:hAnsi="Times New Roman"/>
            <w:sz w:val="18"/>
            <w:szCs w:val="18"/>
            <w:lang w:val="sr-Cyrl-RS"/>
          </w:rPr>
          <w:t>%20</w:t>
        </w:r>
        <w:r w:rsidRPr="00B43B9F">
          <w:rPr>
            <w:rStyle w:val="Hyperlink"/>
            <w:rFonts w:ascii="Times New Roman" w:hAnsi="Times New Roman"/>
            <w:sz w:val="18"/>
            <w:szCs w:val="18"/>
          </w:rPr>
          <w:t>final</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Mesecni</w:t>
        </w:r>
        <w:r w:rsidRPr="00B43B9F">
          <w:rPr>
            <w:rStyle w:val="Hyperlink"/>
            <w:rFonts w:ascii="Times New Roman" w:hAnsi="Times New Roman"/>
            <w:sz w:val="18"/>
            <w:szCs w:val="18"/>
            <w:lang w:val="sr-Cyrl-RS"/>
          </w:rPr>
          <w:t>%20</w:t>
        </w:r>
        <w:r w:rsidRPr="00B43B9F">
          <w:rPr>
            <w:rStyle w:val="Hyperlink"/>
            <w:rFonts w:ascii="Times New Roman" w:hAnsi="Times New Roman"/>
            <w:sz w:val="18"/>
            <w:szCs w:val="18"/>
          </w:rPr>
          <w:t>izvestaj</w:t>
        </w:r>
        <w:r w:rsidRPr="00B43B9F">
          <w:rPr>
            <w:rStyle w:val="Hyperlink"/>
            <w:rFonts w:ascii="Times New Roman" w:hAnsi="Times New Roman"/>
            <w:sz w:val="18"/>
            <w:szCs w:val="18"/>
            <w:lang w:val="sr-Cyrl-RS"/>
          </w:rPr>
          <w:t>%20</w:t>
        </w:r>
        <w:r w:rsidRPr="00B43B9F">
          <w:rPr>
            <w:rStyle w:val="Hyperlink"/>
            <w:rFonts w:ascii="Times New Roman" w:hAnsi="Times New Roman"/>
            <w:sz w:val="18"/>
            <w:szCs w:val="18"/>
          </w:rPr>
          <w:t>Uprave</w:t>
        </w:r>
        <w:r w:rsidRPr="00B43B9F">
          <w:rPr>
            <w:rStyle w:val="Hyperlink"/>
            <w:rFonts w:ascii="Times New Roman" w:hAnsi="Times New Roman"/>
            <w:sz w:val="18"/>
            <w:szCs w:val="18"/>
            <w:lang w:val="sr-Cyrl-RS"/>
          </w:rPr>
          <w:t>%20</w:t>
        </w:r>
        <w:r w:rsidRPr="00B43B9F">
          <w:rPr>
            <w:rStyle w:val="Hyperlink"/>
            <w:rFonts w:ascii="Times New Roman" w:hAnsi="Times New Roman"/>
            <w:sz w:val="18"/>
            <w:szCs w:val="18"/>
          </w:rPr>
          <w:t>za</w:t>
        </w:r>
        <w:r w:rsidRPr="00B43B9F">
          <w:rPr>
            <w:rStyle w:val="Hyperlink"/>
            <w:rFonts w:ascii="Times New Roman" w:hAnsi="Times New Roman"/>
            <w:sz w:val="18"/>
            <w:szCs w:val="18"/>
            <w:lang w:val="sr-Cyrl-RS"/>
          </w:rPr>
          <w:t>%20</w:t>
        </w:r>
        <w:r w:rsidRPr="00B43B9F">
          <w:rPr>
            <w:rStyle w:val="Hyperlink"/>
            <w:rFonts w:ascii="Times New Roman" w:hAnsi="Times New Roman"/>
            <w:sz w:val="18"/>
            <w:szCs w:val="18"/>
          </w:rPr>
          <w:t>javni</w:t>
        </w:r>
        <w:r w:rsidRPr="00B43B9F">
          <w:rPr>
            <w:rStyle w:val="Hyperlink"/>
            <w:rFonts w:ascii="Times New Roman" w:hAnsi="Times New Roman"/>
            <w:sz w:val="18"/>
            <w:szCs w:val="18"/>
            <w:lang w:val="sr-Cyrl-RS"/>
          </w:rPr>
          <w:t>%20</w:t>
        </w:r>
        <w:r w:rsidRPr="00B43B9F">
          <w:rPr>
            <w:rStyle w:val="Hyperlink"/>
            <w:rFonts w:ascii="Times New Roman" w:hAnsi="Times New Roman"/>
            <w:sz w:val="18"/>
            <w:szCs w:val="18"/>
          </w:rPr>
          <w:t>dug</w:t>
        </w:r>
        <w:r w:rsidRPr="00B43B9F">
          <w:rPr>
            <w:rStyle w:val="Hyperlink"/>
            <w:rFonts w:ascii="Times New Roman" w:hAnsi="Times New Roman"/>
            <w:sz w:val="18"/>
            <w:szCs w:val="18"/>
            <w:lang w:val="sr-Cyrl-RS"/>
          </w:rPr>
          <w:t>%20-%20</w:t>
        </w:r>
        <w:r w:rsidRPr="00B43B9F">
          <w:rPr>
            <w:rStyle w:val="Hyperlink"/>
            <w:rFonts w:ascii="Times New Roman" w:hAnsi="Times New Roman"/>
            <w:sz w:val="18"/>
            <w:szCs w:val="18"/>
          </w:rPr>
          <w:t>CIR</w:t>
        </w:r>
        <w:r w:rsidRPr="00B43B9F">
          <w:rPr>
            <w:rStyle w:val="Hyperlink"/>
            <w:rFonts w:ascii="Times New Roman" w:hAnsi="Times New Roman"/>
            <w:sz w:val="18"/>
            <w:szCs w:val="18"/>
            <w:lang w:val="sr-Cyrl-RS"/>
          </w:rPr>
          <w:t>%20</w:t>
        </w:r>
        <w:r w:rsidRPr="00B43B9F">
          <w:rPr>
            <w:rStyle w:val="Hyperlink"/>
            <w:rFonts w:ascii="Times New Roman" w:hAnsi="Times New Roman"/>
            <w:sz w:val="18"/>
            <w:szCs w:val="18"/>
          </w:rPr>
          <w:t>Decembar</w:t>
        </w:r>
        <w:r w:rsidRPr="00B43B9F">
          <w:rPr>
            <w:rStyle w:val="Hyperlink"/>
            <w:rFonts w:ascii="Times New Roman" w:hAnsi="Times New Roman"/>
            <w:sz w:val="18"/>
            <w:szCs w:val="18"/>
            <w:lang w:val="sr-Cyrl-RS"/>
          </w:rPr>
          <w:t>%202019%20-%20</w:t>
        </w:r>
        <w:r w:rsidRPr="00B43B9F">
          <w:rPr>
            <w:rStyle w:val="Hyperlink"/>
            <w:rFonts w:ascii="Times New Roman" w:hAnsi="Times New Roman"/>
            <w:sz w:val="18"/>
            <w:szCs w:val="18"/>
          </w:rPr>
          <w:t>finalni</w:t>
        </w:r>
        <w:r w:rsidRPr="00B43B9F">
          <w:rPr>
            <w:rStyle w:val="Hyperlink"/>
            <w:rFonts w:ascii="Times New Roman" w:hAnsi="Times New Roman"/>
            <w:sz w:val="18"/>
            <w:szCs w:val="18"/>
            <w:lang w:val="sr-Cyrl-RS"/>
          </w:rPr>
          <w:t>%20</w:t>
        </w:r>
        <w:r w:rsidRPr="00B43B9F">
          <w:rPr>
            <w:rStyle w:val="Hyperlink"/>
            <w:rFonts w:ascii="Times New Roman" w:hAnsi="Times New Roman"/>
            <w:sz w:val="18"/>
            <w:szCs w:val="18"/>
          </w:rPr>
          <w:t>podaci</w:t>
        </w:r>
        <w:r w:rsidRPr="00B43B9F">
          <w:rPr>
            <w:rStyle w:val="Hyperlink"/>
            <w:rFonts w:ascii="Times New Roman" w:hAnsi="Times New Roman"/>
            <w:sz w:val="18"/>
            <w:szCs w:val="18"/>
            <w:lang w:val="sr-Cyrl-RS"/>
          </w:rPr>
          <w:t>.</w:t>
        </w:r>
        <w:r w:rsidRPr="00B43B9F">
          <w:rPr>
            <w:rStyle w:val="Hyperlink"/>
            <w:rFonts w:ascii="Times New Roman" w:hAnsi="Times New Roman"/>
            <w:sz w:val="18"/>
            <w:szCs w:val="18"/>
          </w:rPr>
          <w:t>pdf</w:t>
        </w:r>
      </w:hyperlink>
      <w:r w:rsidRPr="00B43B9F">
        <w:rPr>
          <w:rFonts w:ascii="Times New Roman" w:hAnsi="Times New Roman"/>
          <w:sz w:val="18"/>
          <w:szCs w:val="18"/>
          <w:lang w:val="sr-Cyrl-RS"/>
        </w:rPr>
        <w:t xml:space="preserve"> </w:t>
      </w:r>
    </w:p>
  </w:footnote>
  <w:footnote w:id="66">
    <w:p w:rsidR="00BB481C" w:rsidRPr="004B736E" w:rsidRDefault="00BB481C" w:rsidP="004B736E">
      <w:pPr>
        <w:pStyle w:val="FootnoteText"/>
        <w:spacing w:before="0"/>
        <w:jc w:val="both"/>
        <w:rPr>
          <w:rFonts w:ascii="Times New Roman" w:hAnsi="Times New Roman"/>
          <w:sz w:val="18"/>
          <w:szCs w:val="18"/>
          <w:lang w:val="sr-Cyrl-RS"/>
        </w:rPr>
      </w:pPr>
      <w:r w:rsidRPr="004B736E">
        <w:rPr>
          <w:rStyle w:val="FootnoteReference"/>
          <w:rFonts w:ascii="Times New Roman" w:hAnsi="Times New Roman"/>
          <w:sz w:val="18"/>
          <w:szCs w:val="18"/>
        </w:rPr>
        <w:footnoteRef/>
      </w:r>
      <w:r w:rsidRPr="004B736E">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4B736E">
        <w:rPr>
          <w:rFonts w:ascii="Times New Roman" w:hAnsi="Times New Roman"/>
          <w:sz w:val="18"/>
          <w:szCs w:val="18"/>
          <w:lang w:val="sr-Cyrl-RS"/>
        </w:rPr>
        <w:t>, бр</w:t>
      </w:r>
      <w:r>
        <w:rPr>
          <w:rFonts w:ascii="Times New Roman" w:hAnsi="Times New Roman"/>
          <w:sz w:val="18"/>
          <w:szCs w:val="18"/>
          <w:lang w:val="sr-Cyrl-RS"/>
        </w:rPr>
        <w:t>ој</w:t>
      </w:r>
      <w:r w:rsidRPr="004B736E">
        <w:rPr>
          <w:rFonts w:ascii="Times New Roman" w:hAnsi="Times New Roman"/>
          <w:sz w:val="18"/>
          <w:szCs w:val="18"/>
          <w:lang w:val="sr-Cyrl-RS"/>
        </w:rPr>
        <w:t xml:space="preserve"> 91/19 </w:t>
      </w:r>
    </w:p>
  </w:footnote>
  <w:footnote w:id="67">
    <w:p w:rsidR="00BB481C" w:rsidRPr="004B736E" w:rsidRDefault="00BB481C" w:rsidP="004B736E">
      <w:pPr>
        <w:pStyle w:val="FootnoteText"/>
        <w:spacing w:before="0"/>
        <w:jc w:val="both"/>
        <w:rPr>
          <w:rFonts w:ascii="Times New Roman" w:hAnsi="Times New Roman"/>
          <w:sz w:val="18"/>
          <w:szCs w:val="18"/>
          <w:lang w:val="sr-Cyrl-RS"/>
        </w:rPr>
      </w:pPr>
      <w:r w:rsidRPr="004B736E">
        <w:rPr>
          <w:rStyle w:val="FootnoteReference"/>
          <w:rFonts w:ascii="Times New Roman" w:hAnsi="Times New Roman"/>
          <w:sz w:val="18"/>
          <w:szCs w:val="18"/>
        </w:rPr>
        <w:footnoteRef/>
      </w:r>
      <w:r w:rsidRPr="004B736E">
        <w:rPr>
          <w:rFonts w:ascii="Times New Roman" w:hAnsi="Times New Roman"/>
          <w:sz w:val="18"/>
          <w:szCs w:val="18"/>
          <w:lang w:val="sr-Cyrl-RS"/>
        </w:rPr>
        <w:t xml:space="preserve"> Нови Портал јавних набавки: </w:t>
      </w:r>
      <w:hyperlink r:id="rId21" w:history="1">
        <w:r w:rsidRPr="004B736E">
          <w:rPr>
            <w:rStyle w:val="Hyperlink"/>
            <w:rFonts w:ascii="Times New Roman" w:hAnsi="Times New Roman"/>
            <w:sz w:val="18"/>
            <w:szCs w:val="18"/>
            <w:lang w:val="sr-Cyrl-RS"/>
          </w:rPr>
          <w:t>https://jnportal.ujn.gov.rs/</w:t>
        </w:r>
      </w:hyperlink>
      <w:r w:rsidRPr="004B736E">
        <w:rPr>
          <w:rFonts w:ascii="Times New Roman" w:hAnsi="Times New Roman"/>
          <w:sz w:val="18"/>
          <w:szCs w:val="18"/>
          <w:lang w:val="sr-Cyrl-RS"/>
        </w:rPr>
        <w:t xml:space="preserve"> </w:t>
      </w:r>
    </w:p>
  </w:footnote>
  <w:footnote w:id="68">
    <w:p w:rsidR="00BB481C" w:rsidRPr="004B736E" w:rsidRDefault="00BB481C" w:rsidP="004B736E">
      <w:pPr>
        <w:pStyle w:val="FootnoteText"/>
        <w:spacing w:before="0"/>
        <w:jc w:val="both"/>
        <w:rPr>
          <w:rFonts w:ascii="Times New Roman" w:hAnsi="Times New Roman"/>
          <w:sz w:val="18"/>
          <w:szCs w:val="18"/>
          <w:lang w:val="sr-Cyrl-RS"/>
        </w:rPr>
      </w:pPr>
      <w:r w:rsidRPr="004B736E">
        <w:rPr>
          <w:rStyle w:val="FootnoteReference"/>
          <w:rFonts w:ascii="Times New Roman" w:hAnsi="Times New Roman"/>
          <w:sz w:val="18"/>
          <w:szCs w:val="18"/>
        </w:rPr>
        <w:footnoteRef/>
      </w:r>
      <w:r w:rsidRPr="004B736E">
        <w:rPr>
          <w:rFonts w:ascii="Times New Roman" w:hAnsi="Times New Roman"/>
          <w:sz w:val="18"/>
          <w:szCs w:val="18"/>
          <w:lang w:val="sr-Cyrl-RS"/>
        </w:rPr>
        <w:t xml:space="preserve"> Врсте и садржине обавештења о јавним набавкама, као и начин објављивања, прописани су у неколико директива ЕУ (2014/23, 2014/24, 2014/25, 2009/81 и директиве о правним лековима) и у Уредби (ЕУ) 2015/1986 од 11. новембра 2015. године.</w:t>
      </w:r>
    </w:p>
  </w:footnote>
  <w:footnote w:id="69">
    <w:p w:rsidR="00BB481C" w:rsidRPr="004B736E" w:rsidRDefault="00BB481C" w:rsidP="004B736E">
      <w:pPr>
        <w:pStyle w:val="FootnoteText"/>
        <w:spacing w:before="0"/>
        <w:jc w:val="both"/>
        <w:rPr>
          <w:rFonts w:ascii="Times New Roman" w:hAnsi="Times New Roman"/>
          <w:sz w:val="18"/>
          <w:szCs w:val="18"/>
          <w:lang w:val="sr-Cyrl-RS"/>
        </w:rPr>
      </w:pPr>
      <w:r w:rsidRPr="004B736E">
        <w:rPr>
          <w:rStyle w:val="FootnoteReference"/>
          <w:rFonts w:ascii="Times New Roman" w:hAnsi="Times New Roman"/>
          <w:sz w:val="18"/>
          <w:szCs w:val="18"/>
        </w:rPr>
        <w:footnoteRef/>
      </w:r>
      <w:r w:rsidRPr="004B736E">
        <w:rPr>
          <w:rFonts w:ascii="Times New Roman" w:hAnsi="Times New Roman"/>
          <w:sz w:val="18"/>
          <w:szCs w:val="18"/>
        </w:rPr>
        <w:t xml:space="preserve"> http://eupodrska.ujn.gov.rs/dokumenta/</w:t>
      </w:r>
    </w:p>
  </w:footnote>
  <w:footnote w:id="70">
    <w:p w:rsidR="00BB481C" w:rsidRPr="00E968B7" w:rsidRDefault="00BB481C" w:rsidP="00E968B7">
      <w:pPr>
        <w:pStyle w:val="FootnoteText"/>
        <w:spacing w:before="0"/>
        <w:jc w:val="both"/>
        <w:rPr>
          <w:rFonts w:ascii="Times New Roman" w:hAnsi="Times New Roman"/>
          <w:sz w:val="18"/>
          <w:szCs w:val="18"/>
          <w:lang w:val="sr-Cyrl-RS"/>
        </w:rPr>
      </w:pPr>
      <w:r w:rsidRPr="00E968B7">
        <w:rPr>
          <w:rStyle w:val="FootnoteReference"/>
          <w:rFonts w:ascii="Times New Roman" w:hAnsi="Times New Roman"/>
          <w:sz w:val="18"/>
          <w:szCs w:val="18"/>
        </w:rPr>
        <w:footnoteRef/>
      </w:r>
      <w:r w:rsidRPr="00E968B7">
        <w:rPr>
          <w:rFonts w:ascii="Times New Roman" w:hAnsi="Times New Roman"/>
          <w:sz w:val="18"/>
          <w:szCs w:val="18"/>
          <w:lang w:val="sr-Cyrl-RS"/>
        </w:rPr>
        <w:t xml:space="preserve"> Оквирни споразум представља споразум између једног или више наручилаца и једног или више економских оператера у циљу утврђивања услова који регулишу уговоре који ће бити додељени током одређеног периода, и омогућава да се дође до уштеде у трошковима и времену проведеном у процесу набавке за коју се очекује да ће се понављати сваке године.</w:t>
      </w:r>
    </w:p>
  </w:footnote>
  <w:footnote w:id="71">
    <w:p w:rsidR="00BB481C" w:rsidRPr="00E968B7" w:rsidRDefault="00BB481C" w:rsidP="00E968B7">
      <w:pPr>
        <w:spacing w:before="0" w:after="0" w:line="240" w:lineRule="auto"/>
        <w:jc w:val="both"/>
        <w:rPr>
          <w:rFonts w:ascii="Times New Roman" w:hAnsi="Times New Roman" w:cs="Times New Roman"/>
          <w:sz w:val="18"/>
          <w:szCs w:val="18"/>
          <w:lang w:val="sr-Cyrl-RS"/>
        </w:rPr>
      </w:pPr>
      <w:r w:rsidRPr="00E968B7">
        <w:rPr>
          <w:rStyle w:val="FootnoteReference"/>
          <w:rFonts w:ascii="Times New Roman" w:hAnsi="Times New Roman" w:cs="Times New Roman"/>
          <w:sz w:val="18"/>
          <w:szCs w:val="18"/>
        </w:rPr>
        <w:footnoteRef/>
      </w:r>
      <w:r w:rsidRPr="00E968B7">
        <w:rPr>
          <w:rFonts w:ascii="Times New Roman" w:hAnsi="Times New Roman" w:cs="Times New Roman"/>
          <w:sz w:val="18"/>
          <w:szCs w:val="18"/>
          <w:lang w:val="sr-Cyrl-RS"/>
        </w:rPr>
        <w:t xml:space="preserve"> </w:t>
      </w:r>
      <w:r w:rsidRPr="00E968B7">
        <w:rPr>
          <w:rFonts w:ascii="Times New Roman" w:hAnsi="Times New Roman" w:cs="Times New Roman"/>
          <w:sz w:val="18"/>
          <w:szCs w:val="18"/>
          <w:shd w:val="clear" w:color="auto" w:fill="FFFFFF"/>
          <w:lang w:val="ru-RU"/>
        </w:rPr>
        <w:t>Главне теме обука</w:t>
      </w:r>
      <w:r w:rsidRPr="00E968B7">
        <w:rPr>
          <w:rFonts w:ascii="Times New Roman" w:hAnsi="Times New Roman" w:cs="Times New Roman"/>
          <w:sz w:val="18"/>
          <w:szCs w:val="18"/>
          <w:shd w:val="clear" w:color="auto" w:fill="FFFFFF"/>
          <w:lang w:val="sr-Cyrl-RS"/>
        </w:rPr>
        <w:t xml:space="preserve"> намењене </w:t>
      </w:r>
      <w:r w:rsidRPr="00E968B7">
        <w:rPr>
          <w:rFonts w:ascii="Times New Roman" w:hAnsi="Times New Roman" w:cs="Times New Roman"/>
          <w:sz w:val="18"/>
          <w:szCs w:val="18"/>
          <w:shd w:val="clear" w:color="auto" w:fill="FFFFFF"/>
          <w:lang w:val="ru-RU"/>
        </w:rPr>
        <w:t>одређеним лицима и доносиоцима одлука обухватале су централизоване јавне набавке и примену оквирних споразума, зелене набавке, форме и методе преговарања у преговарачком поступку, техничку евалуацију понуда, кориш</w:t>
      </w:r>
      <w:r w:rsidRPr="00E968B7">
        <w:rPr>
          <w:rFonts w:ascii="Times New Roman" w:hAnsi="Times New Roman" w:cs="Times New Roman"/>
          <w:sz w:val="18"/>
          <w:szCs w:val="18"/>
          <w:shd w:val="clear" w:color="auto" w:fill="FFFFFF"/>
          <w:lang w:val="sr-Cyrl-RS"/>
        </w:rPr>
        <w:t>ћ</w:t>
      </w:r>
      <w:r w:rsidRPr="00E968B7">
        <w:rPr>
          <w:rFonts w:ascii="Times New Roman" w:hAnsi="Times New Roman" w:cs="Times New Roman"/>
          <w:sz w:val="18"/>
          <w:szCs w:val="18"/>
          <w:shd w:val="clear" w:color="auto" w:fill="FFFFFF"/>
          <w:lang w:val="ru-RU"/>
        </w:rPr>
        <w:t xml:space="preserve">ење критеријума економски најповољније понуде, заштиту права у поступцима </w:t>
      </w:r>
      <w:r w:rsidRPr="00E968B7">
        <w:rPr>
          <w:rFonts w:ascii="Times New Roman" w:hAnsi="Times New Roman" w:cs="Times New Roman"/>
          <w:sz w:val="18"/>
          <w:szCs w:val="18"/>
          <w:shd w:val="clear" w:color="auto" w:fill="FFFFFF"/>
          <w:lang w:val="sr-Cyrl-RS"/>
        </w:rPr>
        <w:t xml:space="preserve">јавне </w:t>
      </w:r>
      <w:r w:rsidRPr="00E968B7">
        <w:rPr>
          <w:rFonts w:ascii="Times New Roman" w:hAnsi="Times New Roman" w:cs="Times New Roman"/>
          <w:sz w:val="18"/>
          <w:szCs w:val="18"/>
          <w:shd w:val="clear" w:color="auto" w:fill="FFFFFF"/>
          <w:lang w:val="ru-RU"/>
        </w:rPr>
        <w:t>набавке, као и питања која се односе на кориш</w:t>
      </w:r>
      <w:r w:rsidRPr="00E968B7">
        <w:rPr>
          <w:rFonts w:ascii="Times New Roman" w:hAnsi="Times New Roman" w:cs="Times New Roman"/>
          <w:sz w:val="18"/>
          <w:szCs w:val="18"/>
          <w:shd w:val="clear" w:color="auto" w:fill="FFFFFF"/>
          <w:lang w:val="sr-Cyrl-RS"/>
        </w:rPr>
        <w:t>ћ</w:t>
      </w:r>
      <w:r w:rsidRPr="00E968B7">
        <w:rPr>
          <w:rFonts w:ascii="Times New Roman" w:hAnsi="Times New Roman" w:cs="Times New Roman"/>
          <w:sz w:val="18"/>
          <w:szCs w:val="18"/>
          <w:shd w:val="clear" w:color="auto" w:fill="FFFFFF"/>
          <w:lang w:val="ru-RU"/>
        </w:rPr>
        <w:t xml:space="preserve">ење </w:t>
      </w:r>
      <w:r w:rsidRPr="00E968B7">
        <w:rPr>
          <w:rFonts w:ascii="Times New Roman" w:hAnsi="Times New Roman" w:cs="Times New Roman"/>
          <w:sz w:val="18"/>
          <w:szCs w:val="18"/>
          <w:shd w:val="clear" w:color="auto" w:fill="FFFFFF"/>
          <w:lang w:val="sr-Cyrl-RS"/>
        </w:rPr>
        <w:t>П</w:t>
      </w:r>
      <w:r w:rsidRPr="00E968B7">
        <w:rPr>
          <w:rFonts w:ascii="Times New Roman" w:hAnsi="Times New Roman" w:cs="Times New Roman"/>
          <w:sz w:val="18"/>
          <w:szCs w:val="18"/>
          <w:shd w:val="clear" w:color="auto" w:fill="FFFFFF"/>
          <w:lang w:val="ru-RU"/>
        </w:rPr>
        <w:t>ортала јавних набавки</w:t>
      </w:r>
      <w:r w:rsidRPr="00E968B7">
        <w:rPr>
          <w:rFonts w:ascii="Times New Roman" w:hAnsi="Times New Roman" w:cs="Times New Roman"/>
          <w:sz w:val="18"/>
          <w:szCs w:val="18"/>
          <w:shd w:val="clear" w:color="auto" w:fill="FFFFFF"/>
          <w:lang w:val="sr-Cyrl-RS"/>
        </w:rPr>
        <w:t>.</w:t>
      </w:r>
    </w:p>
  </w:footnote>
  <w:footnote w:id="72">
    <w:p w:rsidR="00BB481C" w:rsidRPr="00E968B7" w:rsidRDefault="00BB481C" w:rsidP="00E968B7">
      <w:pPr>
        <w:pStyle w:val="FootnoteText"/>
        <w:spacing w:before="0"/>
        <w:jc w:val="both"/>
        <w:rPr>
          <w:rFonts w:asciiTheme="majorBidi" w:hAnsiTheme="majorBidi" w:cstheme="majorBidi"/>
          <w:sz w:val="18"/>
          <w:szCs w:val="18"/>
          <w:lang w:val="sr-Cyrl-RS"/>
        </w:rPr>
      </w:pPr>
      <w:r w:rsidRPr="00E968B7">
        <w:rPr>
          <w:rStyle w:val="FootnoteReference"/>
          <w:rFonts w:asciiTheme="majorBidi" w:hAnsiTheme="majorBidi" w:cstheme="majorBidi"/>
          <w:sz w:val="18"/>
          <w:szCs w:val="18"/>
        </w:rPr>
        <w:footnoteRef/>
      </w:r>
      <w:r w:rsidRPr="00E968B7">
        <w:rPr>
          <w:rFonts w:asciiTheme="majorBidi" w:hAnsiTheme="majorBidi" w:cstheme="majorBidi"/>
          <w:sz w:val="18"/>
          <w:szCs w:val="18"/>
          <w:lang w:val="sr-Cyrl-RS"/>
        </w:rPr>
        <w:t xml:space="preserve"> Из Извештаја о Србији за 2020. годину Европске комисије, стр. 91: </w:t>
      </w:r>
      <w:hyperlink r:id="rId22" w:history="1">
        <w:r w:rsidRPr="00E968B7">
          <w:rPr>
            <w:rStyle w:val="Hyperlink"/>
            <w:rFonts w:asciiTheme="majorBidi" w:hAnsiTheme="majorBidi" w:cstheme="majorBidi"/>
            <w:sz w:val="18"/>
            <w:szCs w:val="18"/>
          </w:rPr>
          <w:t>https</w:t>
        </w:r>
        <w:r w:rsidRPr="00E968B7">
          <w:rPr>
            <w:rStyle w:val="Hyperlink"/>
            <w:rFonts w:asciiTheme="majorBidi" w:hAnsiTheme="majorBidi" w:cstheme="majorBidi"/>
            <w:sz w:val="18"/>
            <w:szCs w:val="18"/>
            <w:lang w:val="sr-Cyrl-RS"/>
          </w:rPr>
          <w:t>://</w:t>
        </w:r>
        <w:r w:rsidRPr="00E968B7">
          <w:rPr>
            <w:rStyle w:val="Hyperlink"/>
            <w:rFonts w:asciiTheme="majorBidi" w:hAnsiTheme="majorBidi" w:cstheme="majorBidi"/>
            <w:sz w:val="18"/>
            <w:szCs w:val="18"/>
          </w:rPr>
          <w:t>ec</w:t>
        </w:r>
        <w:r w:rsidRPr="00E968B7">
          <w:rPr>
            <w:rStyle w:val="Hyperlink"/>
            <w:rFonts w:asciiTheme="majorBidi" w:hAnsiTheme="majorBidi" w:cstheme="majorBidi"/>
            <w:sz w:val="18"/>
            <w:szCs w:val="18"/>
            <w:lang w:val="sr-Cyrl-RS"/>
          </w:rPr>
          <w:t>.</w:t>
        </w:r>
        <w:r w:rsidRPr="00E968B7">
          <w:rPr>
            <w:rStyle w:val="Hyperlink"/>
            <w:rFonts w:asciiTheme="majorBidi" w:hAnsiTheme="majorBidi" w:cstheme="majorBidi"/>
            <w:sz w:val="18"/>
            <w:szCs w:val="18"/>
          </w:rPr>
          <w:t>europa</w:t>
        </w:r>
        <w:r w:rsidRPr="00E968B7">
          <w:rPr>
            <w:rStyle w:val="Hyperlink"/>
            <w:rFonts w:asciiTheme="majorBidi" w:hAnsiTheme="majorBidi" w:cstheme="majorBidi"/>
            <w:sz w:val="18"/>
            <w:szCs w:val="18"/>
            <w:lang w:val="sr-Cyrl-RS"/>
          </w:rPr>
          <w:t>.</w:t>
        </w:r>
        <w:r w:rsidRPr="00E968B7">
          <w:rPr>
            <w:rStyle w:val="Hyperlink"/>
            <w:rFonts w:asciiTheme="majorBidi" w:hAnsiTheme="majorBidi" w:cstheme="majorBidi"/>
            <w:sz w:val="18"/>
            <w:szCs w:val="18"/>
          </w:rPr>
          <w:t>eu</w:t>
        </w:r>
        <w:r w:rsidRPr="00E968B7">
          <w:rPr>
            <w:rStyle w:val="Hyperlink"/>
            <w:rFonts w:asciiTheme="majorBidi" w:hAnsiTheme="majorBidi" w:cstheme="majorBidi"/>
            <w:sz w:val="18"/>
            <w:szCs w:val="18"/>
            <w:lang w:val="sr-Cyrl-RS"/>
          </w:rPr>
          <w:t>/</w:t>
        </w:r>
        <w:r w:rsidRPr="00E968B7">
          <w:rPr>
            <w:rStyle w:val="Hyperlink"/>
            <w:rFonts w:asciiTheme="majorBidi" w:hAnsiTheme="majorBidi" w:cstheme="majorBidi"/>
            <w:sz w:val="18"/>
            <w:szCs w:val="18"/>
          </w:rPr>
          <w:t>neighbourhood</w:t>
        </w:r>
        <w:r w:rsidRPr="00E968B7">
          <w:rPr>
            <w:rStyle w:val="Hyperlink"/>
            <w:rFonts w:asciiTheme="majorBidi" w:hAnsiTheme="majorBidi" w:cstheme="majorBidi"/>
            <w:sz w:val="18"/>
            <w:szCs w:val="18"/>
            <w:lang w:val="sr-Cyrl-RS"/>
          </w:rPr>
          <w:t>-</w:t>
        </w:r>
        <w:r w:rsidRPr="00E968B7">
          <w:rPr>
            <w:rStyle w:val="Hyperlink"/>
            <w:rFonts w:asciiTheme="majorBidi" w:hAnsiTheme="majorBidi" w:cstheme="majorBidi"/>
            <w:sz w:val="18"/>
            <w:szCs w:val="18"/>
          </w:rPr>
          <w:t>enlargement</w:t>
        </w:r>
        <w:r w:rsidRPr="00E968B7">
          <w:rPr>
            <w:rStyle w:val="Hyperlink"/>
            <w:rFonts w:asciiTheme="majorBidi" w:hAnsiTheme="majorBidi" w:cstheme="majorBidi"/>
            <w:sz w:val="18"/>
            <w:szCs w:val="18"/>
            <w:lang w:val="sr-Cyrl-RS"/>
          </w:rPr>
          <w:t>/</w:t>
        </w:r>
        <w:r w:rsidRPr="00E968B7">
          <w:rPr>
            <w:rStyle w:val="Hyperlink"/>
            <w:rFonts w:asciiTheme="majorBidi" w:hAnsiTheme="majorBidi" w:cstheme="majorBidi"/>
            <w:sz w:val="18"/>
            <w:szCs w:val="18"/>
          </w:rPr>
          <w:t>sites</w:t>
        </w:r>
        <w:r w:rsidRPr="00E968B7">
          <w:rPr>
            <w:rStyle w:val="Hyperlink"/>
            <w:rFonts w:asciiTheme="majorBidi" w:hAnsiTheme="majorBidi" w:cstheme="majorBidi"/>
            <w:sz w:val="18"/>
            <w:szCs w:val="18"/>
            <w:lang w:val="sr-Cyrl-RS"/>
          </w:rPr>
          <w:t>/</w:t>
        </w:r>
        <w:r w:rsidRPr="00E968B7">
          <w:rPr>
            <w:rStyle w:val="Hyperlink"/>
            <w:rFonts w:asciiTheme="majorBidi" w:hAnsiTheme="majorBidi" w:cstheme="majorBidi"/>
            <w:sz w:val="18"/>
            <w:szCs w:val="18"/>
          </w:rPr>
          <w:t>near</w:t>
        </w:r>
        <w:r w:rsidRPr="00E968B7">
          <w:rPr>
            <w:rStyle w:val="Hyperlink"/>
            <w:rFonts w:asciiTheme="majorBidi" w:hAnsiTheme="majorBidi" w:cstheme="majorBidi"/>
            <w:sz w:val="18"/>
            <w:szCs w:val="18"/>
            <w:lang w:val="sr-Cyrl-RS"/>
          </w:rPr>
          <w:t>/</w:t>
        </w:r>
        <w:r w:rsidRPr="00E968B7">
          <w:rPr>
            <w:rStyle w:val="Hyperlink"/>
            <w:rFonts w:asciiTheme="majorBidi" w:hAnsiTheme="majorBidi" w:cstheme="majorBidi"/>
            <w:sz w:val="18"/>
            <w:szCs w:val="18"/>
          </w:rPr>
          <w:t>files</w:t>
        </w:r>
        <w:r w:rsidRPr="00E968B7">
          <w:rPr>
            <w:rStyle w:val="Hyperlink"/>
            <w:rFonts w:asciiTheme="majorBidi" w:hAnsiTheme="majorBidi" w:cstheme="majorBidi"/>
            <w:sz w:val="18"/>
            <w:szCs w:val="18"/>
            <w:lang w:val="sr-Cyrl-RS"/>
          </w:rPr>
          <w:t>/</w:t>
        </w:r>
        <w:r w:rsidRPr="00E968B7">
          <w:rPr>
            <w:rStyle w:val="Hyperlink"/>
            <w:rFonts w:asciiTheme="majorBidi" w:hAnsiTheme="majorBidi" w:cstheme="majorBidi"/>
            <w:sz w:val="18"/>
            <w:szCs w:val="18"/>
          </w:rPr>
          <w:t>serbia</w:t>
        </w:r>
        <w:r w:rsidRPr="00E968B7">
          <w:rPr>
            <w:rStyle w:val="Hyperlink"/>
            <w:rFonts w:asciiTheme="majorBidi" w:hAnsiTheme="majorBidi" w:cstheme="majorBidi"/>
            <w:sz w:val="18"/>
            <w:szCs w:val="18"/>
            <w:lang w:val="sr-Cyrl-RS"/>
          </w:rPr>
          <w:t>_</w:t>
        </w:r>
        <w:r w:rsidRPr="00E968B7">
          <w:rPr>
            <w:rStyle w:val="Hyperlink"/>
            <w:rFonts w:asciiTheme="majorBidi" w:hAnsiTheme="majorBidi" w:cstheme="majorBidi"/>
            <w:sz w:val="18"/>
            <w:szCs w:val="18"/>
          </w:rPr>
          <w:t>report</w:t>
        </w:r>
        <w:r w:rsidRPr="00E968B7">
          <w:rPr>
            <w:rStyle w:val="Hyperlink"/>
            <w:rFonts w:asciiTheme="majorBidi" w:hAnsiTheme="majorBidi" w:cstheme="majorBidi"/>
            <w:sz w:val="18"/>
            <w:szCs w:val="18"/>
            <w:lang w:val="sr-Cyrl-RS"/>
          </w:rPr>
          <w:t>_2020.</w:t>
        </w:r>
        <w:r w:rsidRPr="00E968B7">
          <w:rPr>
            <w:rStyle w:val="Hyperlink"/>
            <w:rFonts w:asciiTheme="majorBidi" w:hAnsiTheme="majorBidi" w:cstheme="majorBidi"/>
            <w:sz w:val="18"/>
            <w:szCs w:val="18"/>
          </w:rPr>
          <w:t>pdf</w:t>
        </w:r>
      </w:hyperlink>
    </w:p>
  </w:footnote>
  <w:footnote w:id="73">
    <w:p w:rsidR="00BB481C" w:rsidRPr="00662FB9" w:rsidRDefault="00BB481C" w:rsidP="00F12C93">
      <w:pPr>
        <w:pStyle w:val="NormalWeb"/>
        <w:spacing w:before="0" w:after="0"/>
        <w:jc w:val="both"/>
        <w:rPr>
          <w:rFonts w:asciiTheme="majorBidi" w:hAnsiTheme="majorBidi" w:cstheme="majorBidi"/>
          <w:sz w:val="18"/>
          <w:szCs w:val="18"/>
          <w:lang w:val="sr-Cyrl-RS"/>
        </w:rPr>
      </w:pPr>
      <w:r w:rsidRPr="00662FB9">
        <w:rPr>
          <w:rStyle w:val="FootnoteReference"/>
          <w:rFonts w:asciiTheme="majorBidi" w:hAnsiTheme="majorBidi" w:cstheme="majorBidi"/>
          <w:sz w:val="18"/>
          <w:szCs w:val="18"/>
        </w:rPr>
        <w:footnoteRef/>
      </w:r>
      <w:r w:rsidRPr="00662FB9">
        <w:rPr>
          <w:rFonts w:asciiTheme="majorBidi" w:hAnsiTheme="majorBidi" w:cstheme="majorBidi"/>
          <w:sz w:val="18"/>
          <w:szCs w:val="18"/>
          <w:lang w:val="sr-Cyrl-RS"/>
        </w:rPr>
        <w:t xml:space="preserve"> Функционалну анализу Канцеларије за ревизију система управљања средствима ЕУ спровели су почетком 2016. го</w:t>
      </w:r>
      <w:r>
        <w:rPr>
          <w:rFonts w:asciiTheme="majorBidi" w:hAnsiTheme="majorBidi" w:cstheme="majorBidi"/>
          <w:sz w:val="18"/>
          <w:szCs w:val="18"/>
          <w:lang w:val="sr-Cyrl-RS"/>
        </w:rPr>
        <w:t>д</w:t>
      </w:r>
      <w:r w:rsidRPr="00662FB9">
        <w:rPr>
          <w:rFonts w:asciiTheme="majorBidi" w:hAnsiTheme="majorBidi" w:cstheme="majorBidi"/>
          <w:sz w:val="18"/>
          <w:szCs w:val="18"/>
          <w:lang w:val="sr-Cyrl-RS"/>
        </w:rPr>
        <w:t>ине национални органи у оквиру ИПА структуре (Национални службеник за одобравање (</w:t>
      </w:r>
      <w:r w:rsidRPr="00662FB9">
        <w:rPr>
          <w:rFonts w:asciiTheme="majorBidi" w:hAnsiTheme="majorBidi" w:cstheme="majorBidi" w:hint="eastAsia"/>
          <w:sz w:val="18"/>
          <w:szCs w:val="18"/>
          <w:lang w:val="sr-Cyrl-RS"/>
        </w:rPr>
        <w:t>НАО</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директор</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Канцеларије</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за</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ревизију</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система</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управљања</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средствима</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ЕУ</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и</w:t>
      </w:r>
      <w:r w:rsidRPr="00662FB9">
        <w:rPr>
          <w:rFonts w:asciiTheme="majorBidi" w:hAnsiTheme="majorBidi" w:cstheme="majorBidi"/>
          <w:sz w:val="18"/>
          <w:szCs w:val="18"/>
          <w:lang w:val="sr-Cyrl-RS"/>
        </w:rPr>
        <w:t xml:space="preserve"> </w:t>
      </w:r>
      <w:r w:rsidRPr="00662FB9">
        <w:rPr>
          <w:rFonts w:asciiTheme="majorBidi" w:hAnsiTheme="majorBidi" w:cstheme="majorBidi" w:hint="eastAsia"/>
          <w:sz w:val="18"/>
          <w:szCs w:val="18"/>
          <w:lang w:val="sr-Cyrl-RS"/>
        </w:rPr>
        <w:t>НИПАК</w:t>
      </w:r>
      <w:r w:rsidRPr="00662FB9">
        <w:rPr>
          <w:rFonts w:asciiTheme="majorBidi" w:hAnsiTheme="majorBidi" w:cstheme="majorBidi"/>
          <w:sz w:val="18"/>
          <w:szCs w:val="18"/>
          <w:lang w:val="sr-Cyrl-RS"/>
        </w:rPr>
        <w:t>, у складу са Оквирним споразумом за ИПА II и у складу са анализом обима посла, и окончана је пре истека рока утврђеног претходним ПРУЈФ.</w:t>
      </w:r>
    </w:p>
  </w:footnote>
  <w:footnote w:id="74">
    <w:p w:rsidR="00BB481C" w:rsidRPr="00662FB9" w:rsidRDefault="00BB481C" w:rsidP="00F12C93">
      <w:pPr>
        <w:pStyle w:val="FootnoteText"/>
        <w:spacing w:before="0"/>
        <w:rPr>
          <w:rFonts w:asciiTheme="majorBidi" w:hAnsiTheme="majorBidi" w:cstheme="majorBidi"/>
          <w:sz w:val="18"/>
          <w:szCs w:val="18"/>
          <w:lang w:val="sr-Cyrl-RS"/>
        </w:rPr>
      </w:pPr>
      <w:r w:rsidRPr="00662FB9">
        <w:rPr>
          <w:rStyle w:val="FootnoteReference"/>
          <w:rFonts w:asciiTheme="majorBidi" w:hAnsiTheme="majorBidi" w:cstheme="majorBidi"/>
          <w:sz w:val="18"/>
          <w:szCs w:val="18"/>
        </w:rPr>
        <w:footnoteRef/>
      </w:r>
      <w:r w:rsidRPr="00662FB9">
        <w:rPr>
          <w:rFonts w:asciiTheme="majorBidi" w:hAnsiTheme="majorBidi" w:cstheme="majorBidi"/>
          <w:sz w:val="18"/>
          <w:szCs w:val="18"/>
          <w:lang w:val="sr-Cyrl-RS"/>
        </w:rPr>
        <w:t xml:space="preserve"> Предлагач закона првенствено је било МДУЛС, након чега је предлагачку функцију преузело МЕИ.</w:t>
      </w:r>
    </w:p>
  </w:footnote>
  <w:footnote w:id="75">
    <w:p w:rsidR="00BB481C" w:rsidRPr="00662FB9" w:rsidRDefault="00BB481C" w:rsidP="00F12C93">
      <w:pPr>
        <w:pStyle w:val="FootnoteText"/>
        <w:spacing w:before="0"/>
        <w:jc w:val="both"/>
        <w:rPr>
          <w:rFonts w:ascii="Times New Roman" w:hAnsi="Times New Roman"/>
          <w:sz w:val="18"/>
          <w:szCs w:val="18"/>
          <w:lang w:val="sr-Cyrl-RS"/>
        </w:rPr>
      </w:pPr>
      <w:r w:rsidRPr="00662FB9">
        <w:rPr>
          <w:rStyle w:val="FootnoteReference"/>
          <w:rFonts w:ascii="Times New Roman" w:hAnsi="Times New Roman"/>
          <w:sz w:val="18"/>
          <w:szCs w:val="18"/>
        </w:rPr>
        <w:footnoteRef/>
      </w:r>
      <w:r w:rsidRPr="00662FB9">
        <w:rPr>
          <w:rFonts w:ascii="Times New Roman" w:hAnsi="Times New Roman"/>
          <w:sz w:val="18"/>
          <w:szCs w:val="18"/>
          <w:lang w:val="sr-Cyrl-RS"/>
        </w:rPr>
        <w:t xml:space="preserve"> Извештај</w:t>
      </w:r>
      <w:r>
        <w:rPr>
          <w:rFonts w:ascii="Times New Roman" w:hAnsi="Times New Roman"/>
          <w:sz w:val="18"/>
          <w:szCs w:val="18"/>
          <w:lang w:val="sr-Cyrl-RS"/>
        </w:rPr>
        <w:t xml:space="preserve"> Европске комисије</w:t>
      </w:r>
      <w:r w:rsidRPr="00662FB9">
        <w:rPr>
          <w:rFonts w:ascii="Times New Roman" w:hAnsi="Times New Roman"/>
          <w:sz w:val="18"/>
          <w:szCs w:val="18"/>
          <w:lang w:val="sr-Cyrl-RS"/>
        </w:rPr>
        <w:t xml:space="preserve"> о С</w:t>
      </w:r>
      <w:r>
        <w:rPr>
          <w:rFonts w:ascii="Times New Roman" w:hAnsi="Times New Roman"/>
          <w:sz w:val="18"/>
          <w:szCs w:val="18"/>
          <w:lang w:val="sr-Cyrl-RS"/>
        </w:rPr>
        <w:t>рбији</w:t>
      </w:r>
      <w:r w:rsidRPr="00662FB9">
        <w:rPr>
          <w:rFonts w:ascii="Times New Roman" w:hAnsi="Times New Roman"/>
          <w:sz w:val="18"/>
          <w:szCs w:val="18"/>
          <w:lang w:val="sr-Cyrl-RS"/>
        </w:rPr>
        <w:t xml:space="preserve"> за 2020. годину, стр. 101:  </w:t>
      </w:r>
      <w:hyperlink r:id="rId23" w:history="1">
        <w:r w:rsidRPr="00662FB9">
          <w:rPr>
            <w:rStyle w:val="Hyperlink"/>
            <w:rFonts w:ascii="Times New Roman" w:hAnsi="Times New Roman"/>
            <w:sz w:val="18"/>
            <w:szCs w:val="18"/>
          </w:rPr>
          <w:t>https</w:t>
        </w:r>
        <w:r w:rsidRPr="00662FB9">
          <w:rPr>
            <w:rStyle w:val="Hyperlink"/>
            <w:rFonts w:ascii="Times New Roman" w:hAnsi="Times New Roman"/>
            <w:sz w:val="18"/>
            <w:szCs w:val="18"/>
            <w:lang w:val="sr-Cyrl-RS"/>
          </w:rPr>
          <w:t>://</w:t>
        </w:r>
        <w:r w:rsidRPr="00662FB9">
          <w:rPr>
            <w:rStyle w:val="Hyperlink"/>
            <w:rFonts w:ascii="Times New Roman" w:hAnsi="Times New Roman"/>
            <w:sz w:val="18"/>
            <w:szCs w:val="18"/>
          </w:rPr>
          <w:t>ec</w:t>
        </w:r>
        <w:r w:rsidRPr="00662FB9">
          <w:rPr>
            <w:rStyle w:val="Hyperlink"/>
            <w:rFonts w:ascii="Times New Roman" w:hAnsi="Times New Roman"/>
            <w:sz w:val="18"/>
            <w:szCs w:val="18"/>
            <w:lang w:val="sr-Cyrl-RS"/>
          </w:rPr>
          <w:t>.</w:t>
        </w:r>
        <w:r w:rsidRPr="00662FB9">
          <w:rPr>
            <w:rStyle w:val="Hyperlink"/>
            <w:rFonts w:ascii="Times New Roman" w:hAnsi="Times New Roman"/>
            <w:sz w:val="18"/>
            <w:szCs w:val="18"/>
          </w:rPr>
          <w:t>europa</w:t>
        </w:r>
        <w:r w:rsidRPr="00662FB9">
          <w:rPr>
            <w:rStyle w:val="Hyperlink"/>
            <w:rFonts w:ascii="Times New Roman" w:hAnsi="Times New Roman"/>
            <w:sz w:val="18"/>
            <w:szCs w:val="18"/>
            <w:lang w:val="sr-Cyrl-RS"/>
          </w:rPr>
          <w:t>.</w:t>
        </w:r>
        <w:r w:rsidRPr="00662FB9">
          <w:rPr>
            <w:rStyle w:val="Hyperlink"/>
            <w:rFonts w:ascii="Times New Roman" w:hAnsi="Times New Roman"/>
            <w:sz w:val="18"/>
            <w:szCs w:val="18"/>
          </w:rPr>
          <w:t>eu</w:t>
        </w:r>
        <w:r w:rsidRPr="00662FB9">
          <w:rPr>
            <w:rStyle w:val="Hyperlink"/>
            <w:rFonts w:ascii="Times New Roman" w:hAnsi="Times New Roman"/>
            <w:sz w:val="18"/>
            <w:szCs w:val="18"/>
            <w:lang w:val="sr-Cyrl-RS"/>
          </w:rPr>
          <w:t>/</w:t>
        </w:r>
        <w:r w:rsidRPr="00662FB9">
          <w:rPr>
            <w:rStyle w:val="Hyperlink"/>
            <w:rFonts w:ascii="Times New Roman" w:hAnsi="Times New Roman"/>
            <w:sz w:val="18"/>
            <w:szCs w:val="18"/>
          </w:rPr>
          <w:t>neighbourhood</w:t>
        </w:r>
        <w:r w:rsidRPr="00662FB9">
          <w:rPr>
            <w:rStyle w:val="Hyperlink"/>
            <w:rFonts w:ascii="Times New Roman" w:hAnsi="Times New Roman"/>
            <w:sz w:val="18"/>
            <w:szCs w:val="18"/>
            <w:lang w:val="sr-Cyrl-RS"/>
          </w:rPr>
          <w:t>-</w:t>
        </w:r>
        <w:r w:rsidRPr="00662FB9">
          <w:rPr>
            <w:rStyle w:val="Hyperlink"/>
            <w:rFonts w:ascii="Times New Roman" w:hAnsi="Times New Roman"/>
            <w:sz w:val="18"/>
            <w:szCs w:val="18"/>
          </w:rPr>
          <w:t>enlargement</w:t>
        </w:r>
        <w:r w:rsidRPr="00662FB9">
          <w:rPr>
            <w:rStyle w:val="Hyperlink"/>
            <w:rFonts w:ascii="Times New Roman" w:hAnsi="Times New Roman"/>
            <w:sz w:val="18"/>
            <w:szCs w:val="18"/>
            <w:lang w:val="sr-Cyrl-RS"/>
          </w:rPr>
          <w:t>/</w:t>
        </w:r>
        <w:r w:rsidRPr="00662FB9">
          <w:rPr>
            <w:rStyle w:val="Hyperlink"/>
            <w:rFonts w:ascii="Times New Roman" w:hAnsi="Times New Roman"/>
            <w:sz w:val="18"/>
            <w:szCs w:val="18"/>
          </w:rPr>
          <w:t>sites</w:t>
        </w:r>
        <w:r w:rsidRPr="00662FB9">
          <w:rPr>
            <w:rStyle w:val="Hyperlink"/>
            <w:rFonts w:ascii="Times New Roman" w:hAnsi="Times New Roman"/>
            <w:sz w:val="18"/>
            <w:szCs w:val="18"/>
            <w:lang w:val="sr-Cyrl-RS"/>
          </w:rPr>
          <w:t>/</w:t>
        </w:r>
        <w:r w:rsidRPr="00662FB9">
          <w:rPr>
            <w:rStyle w:val="Hyperlink"/>
            <w:rFonts w:ascii="Times New Roman" w:hAnsi="Times New Roman"/>
            <w:sz w:val="18"/>
            <w:szCs w:val="18"/>
          </w:rPr>
          <w:t>near</w:t>
        </w:r>
        <w:r w:rsidRPr="00662FB9">
          <w:rPr>
            <w:rStyle w:val="Hyperlink"/>
            <w:rFonts w:ascii="Times New Roman" w:hAnsi="Times New Roman"/>
            <w:sz w:val="18"/>
            <w:szCs w:val="18"/>
            <w:lang w:val="sr-Cyrl-RS"/>
          </w:rPr>
          <w:t>/</w:t>
        </w:r>
        <w:r w:rsidRPr="00662FB9">
          <w:rPr>
            <w:rStyle w:val="Hyperlink"/>
            <w:rFonts w:ascii="Times New Roman" w:hAnsi="Times New Roman"/>
            <w:sz w:val="18"/>
            <w:szCs w:val="18"/>
          </w:rPr>
          <w:t>files</w:t>
        </w:r>
        <w:r w:rsidRPr="00662FB9">
          <w:rPr>
            <w:rStyle w:val="Hyperlink"/>
            <w:rFonts w:ascii="Times New Roman" w:hAnsi="Times New Roman"/>
            <w:sz w:val="18"/>
            <w:szCs w:val="18"/>
            <w:lang w:val="sr-Cyrl-RS"/>
          </w:rPr>
          <w:t>/</w:t>
        </w:r>
        <w:r w:rsidRPr="00662FB9">
          <w:rPr>
            <w:rStyle w:val="Hyperlink"/>
            <w:rFonts w:ascii="Times New Roman" w:hAnsi="Times New Roman"/>
            <w:sz w:val="18"/>
            <w:szCs w:val="18"/>
          </w:rPr>
          <w:t>serbia</w:t>
        </w:r>
        <w:r w:rsidRPr="00662FB9">
          <w:rPr>
            <w:rStyle w:val="Hyperlink"/>
            <w:rFonts w:ascii="Times New Roman" w:hAnsi="Times New Roman"/>
            <w:sz w:val="18"/>
            <w:szCs w:val="18"/>
            <w:lang w:val="sr-Cyrl-RS"/>
          </w:rPr>
          <w:t>_</w:t>
        </w:r>
        <w:r w:rsidRPr="00662FB9">
          <w:rPr>
            <w:rStyle w:val="Hyperlink"/>
            <w:rFonts w:ascii="Times New Roman" w:hAnsi="Times New Roman"/>
            <w:sz w:val="18"/>
            <w:szCs w:val="18"/>
          </w:rPr>
          <w:t>report</w:t>
        </w:r>
        <w:r w:rsidRPr="00662FB9">
          <w:rPr>
            <w:rStyle w:val="Hyperlink"/>
            <w:rFonts w:ascii="Times New Roman" w:hAnsi="Times New Roman"/>
            <w:sz w:val="18"/>
            <w:szCs w:val="18"/>
            <w:lang w:val="sr-Cyrl-RS"/>
          </w:rPr>
          <w:t>_2020.</w:t>
        </w:r>
        <w:r w:rsidRPr="00662FB9">
          <w:rPr>
            <w:rStyle w:val="Hyperlink"/>
            <w:rFonts w:ascii="Times New Roman" w:hAnsi="Times New Roman"/>
            <w:sz w:val="18"/>
            <w:szCs w:val="18"/>
          </w:rPr>
          <w:t>pdf</w:t>
        </w:r>
      </w:hyperlink>
      <w:r w:rsidRPr="00662FB9">
        <w:rPr>
          <w:rFonts w:ascii="Times New Roman" w:hAnsi="Times New Roman"/>
          <w:sz w:val="18"/>
          <w:szCs w:val="18"/>
          <w:lang w:val="sr-Cyrl-RS"/>
        </w:rPr>
        <w:t xml:space="preserve"> </w:t>
      </w:r>
    </w:p>
  </w:footnote>
  <w:footnote w:id="76">
    <w:p w:rsidR="00BB481C" w:rsidRPr="00BD67DB" w:rsidRDefault="00BB481C" w:rsidP="00F12C93">
      <w:pPr>
        <w:pStyle w:val="FootnoteText"/>
        <w:spacing w:before="0"/>
        <w:jc w:val="both"/>
        <w:rPr>
          <w:rFonts w:asciiTheme="majorBidi" w:hAnsiTheme="majorBidi" w:cstheme="majorBidi"/>
          <w:sz w:val="18"/>
          <w:szCs w:val="18"/>
          <w:lang w:val="sr-Cyrl-RS"/>
        </w:rPr>
      </w:pPr>
      <w:r w:rsidRPr="00662FB9">
        <w:rPr>
          <w:rStyle w:val="FootnoteReference"/>
          <w:rFonts w:ascii="Times New Roman" w:hAnsi="Times New Roman"/>
          <w:sz w:val="18"/>
          <w:szCs w:val="18"/>
        </w:rPr>
        <w:footnoteRef/>
      </w:r>
      <w:r w:rsidRPr="00662FB9">
        <w:rPr>
          <w:rFonts w:ascii="Times New Roman" w:hAnsi="Times New Roman"/>
          <w:sz w:val="18"/>
          <w:szCs w:val="18"/>
          <w:lang w:val="sr-Cyrl-RS"/>
        </w:rPr>
        <w:t xml:space="preserve"> Пријаве сумњи на неправилности или превару коришћењу ЕУ средстава и поступању са финансијским средствима РС: </w:t>
      </w:r>
      <w:hyperlink r:id="rId24" w:history="1">
        <w:r w:rsidRPr="00662FB9">
          <w:rPr>
            <w:rStyle w:val="Hyperlink"/>
            <w:rFonts w:ascii="Times New Roman" w:hAnsi="Times New Roman"/>
            <w:sz w:val="18"/>
            <w:szCs w:val="18"/>
            <w:lang w:val="sr-Cyrl-RS"/>
          </w:rPr>
          <w:t>https://www.mfin.gov.rs/kontrola-javnih-sredstava/prijave-nepravilnosti/</w:t>
        </w:r>
      </w:hyperlink>
      <w:r w:rsidRPr="00BD67DB">
        <w:rPr>
          <w:rFonts w:asciiTheme="majorBidi" w:hAnsiTheme="majorBidi" w:cstheme="majorBidi"/>
          <w:sz w:val="18"/>
          <w:szCs w:val="18"/>
          <w:lang w:val="sr-Cyrl-RS"/>
        </w:rPr>
        <w:t xml:space="preserve"> </w:t>
      </w:r>
    </w:p>
  </w:footnote>
  <w:footnote w:id="77">
    <w:p w:rsidR="00BB481C" w:rsidRPr="00BD67DB" w:rsidRDefault="00BB481C" w:rsidP="00F12C93">
      <w:pPr>
        <w:pStyle w:val="FootnoteText"/>
        <w:spacing w:before="0"/>
        <w:jc w:val="both"/>
        <w:rPr>
          <w:rFonts w:asciiTheme="majorBidi" w:hAnsiTheme="majorBidi" w:cstheme="majorBidi"/>
          <w:sz w:val="18"/>
          <w:szCs w:val="18"/>
          <w:lang w:val="sr-Cyrl-RS"/>
        </w:rPr>
      </w:pPr>
      <w:r w:rsidRPr="00BD67DB">
        <w:rPr>
          <w:rStyle w:val="FootnoteReference"/>
          <w:rFonts w:asciiTheme="majorBidi" w:hAnsiTheme="majorBidi" w:cstheme="majorBidi"/>
          <w:sz w:val="18"/>
          <w:szCs w:val="18"/>
        </w:rPr>
        <w:footnoteRef/>
      </w:r>
      <w:r w:rsidRPr="00BD67DB">
        <w:rPr>
          <w:rFonts w:asciiTheme="majorBidi" w:hAnsiTheme="majorBidi" w:cstheme="majorBidi"/>
          <w:sz w:val="18"/>
          <w:szCs w:val="18"/>
          <w:vertAlign w:val="superscript"/>
          <w:lang w:val="sr-Cyrl-RS"/>
        </w:rPr>
        <w:t xml:space="preserve"> </w:t>
      </w:r>
      <w:r w:rsidRPr="00BD67DB">
        <w:rPr>
          <w:rFonts w:asciiTheme="majorBidi" w:hAnsiTheme="majorBidi" w:cstheme="majorBidi"/>
          <w:sz w:val="18"/>
          <w:szCs w:val="18"/>
          <w:lang w:val="sr-Cyrl-RS"/>
        </w:rPr>
        <w:t>Мрежа је основана Одлуком Владе о образовању Мреже за сузбијање неправилности и превара у поступању са финансијским средствима Е</w:t>
      </w:r>
      <w:r>
        <w:rPr>
          <w:rFonts w:asciiTheme="majorBidi" w:hAnsiTheme="majorBidi" w:cstheme="majorBidi"/>
          <w:sz w:val="18"/>
          <w:szCs w:val="18"/>
          <w:lang w:val="sr-Cyrl-RS"/>
        </w:rPr>
        <w:t>вропске уније</w:t>
      </w:r>
      <w:r w:rsidRPr="00BD67DB">
        <w:rPr>
          <w:rFonts w:asciiTheme="majorBidi" w:hAnsiTheme="majorBidi" w:cstheme="majorBidi"/>
          <w:sz w:val="18"/>
          <w:szCs w:val="18"/>
          <w:lang w:val="sr-Cyrl-RS"/>
        </w:rPr>
        <w:t xml:space="preserve"> („Службени гласник РС</w:t>
      </w:r>
      <w:r>
        <w:rPr>
          <w:rFonts w:asciiTheme="majorBidi" w:hAnsiTheme="majorBidi" w:cstheme="majorBidi"/>
          <w:sz w:val="18"/>
          <w:szCs w:val="18"/>
          <w:lang w:val="sr-Cyrl-RS"/>
        </w:rPr>
        <w:t>”</w:t>
      </w:r>
      <w:r w:rsidRPr="00BD67DB">
        <w:rPr>
          <w:rFonts w:asciiTheme="majorBidi" w:hAnsiTheme="majorBidi" w:cstheme="majorBidi"/>
          <w:sz w:val="18"/>
          <w:szCs w:val="18"/>
          <w:lang w:val="sr-Cyrl-RS"/>
        </w:rPr>
        <w:t>, бр. 78/15, 43/17, 74/18, 15/19 и 63/20), као повремено радно тело Владе које се састаје по потреби, а најмање једном у два месеца. АФКОС Мрежу чине чланови из следећих институција: Министарства финансија (Сектора за управљање средствима Европске уније, Сектора за уговарање и финансирање програма из средстава Европске уније, Сектора за буџетску инспекцију, Пореске управе, Управе за трезор, Управе за спречавање прања новца и Управе царина), Министарства унутрашњих послова, Министарства за европске интеграције, Министарства пољопривреде,</w:t>
      </w:r>
      <w:r>
        <w:rPr>
          <w:rFonts w:asciiTheme="majorBidi" w:hAnsiTheme="majorBidi" w:cstheme="majorBidi"/>
          <w:sz w:val="18"/>
          <w:szCs w:val="18"/>
          <w:lang w:val="sr-Cyrl-RS"/>
        </w:rPr>
        <w:t xml:space="preserve"> </w:t>
      </w:r>
      <w:r w:rsidRPr="00BD67DB">
        <w:rPr>
          <w:rFonts w:asciiTheme="majorBidi" w:hAnsiTheme="majorBidi" w:cstheme="majorBidi"/>
          <w:sz w:val="18"/>
          <w:szCs w:val="18"/>
          <w:lang w:val="sr-Cyrl-RS"/>
        </w:rPr>
        <w:t>шумарства и водопривреде, Републичког јавног тужилаштва, Државне ревизорске институције, Агенције за борбу против корупције и Канцеларије за ревизију система управљања средствима Европске уније</w:t>
      </w:r>
      <w:r w:rsidRPr="00BD67DB" w:rsidDel="00AF14C5">
        <w:rPr>
          <w:rFonts w:asciiTheme="majorBidi" w:hAnsiTheme="majorBidi" w:cstheme="majorBidi"/>
          <w:sz w:val="18"/>
          <w:szCs w:val="18"/>
          <w:lang w:val="sr-Cyrl-RS"/>
        </w:rPr>
        <w:t xml:space="preserve"> </w:t>
      </w:r>
    </w:p>
  </w:footnote>
  <w:footnote w:id="78">
    <w:p w:rsidR="00BB481C" w:rsidRPr="00BD67DB" w:rsidRDefault="00BB481C" w:rsidP="00F12C93">
      <w:pPr>
        <w:pStyle w:val="FootnoteText"/>
        <w:spacing w:before="0"/>
        <w:jc w:val="both"/>
        <w:rPr>
          <w:rFonts w:ascii="Times New Roman" w:hAnsi="Times New Roman"/>
          <w:sz w:val="18"/>
          <w:szCs w:val="18"/>
          <w:lang w:val="sr-Cyrl-RS"/>
        </w:rPr>
      </w:pPr>
      <w:r w:rsidRPr="00BD67DB">
        <w:rPr>
          <w:rStyle w:val="FootnoteReference"/>
          <w:rFonts w:ascii="Times New Roman" w:hAnsi="Times New Roman"/>
          <w:sz w:val="18"/>
          <w:szCs w:val="18"/>
        </w:rPr>
        <w:footnoteRef/>
      </w:r>
      <w:r w:rsidRPr="00BD67DB">
        <w:rPr>
          <w:rFonts w:ascii="Times New Roman" w:hAnsi="Times New Roman"/>
          <w:sz w:val="18"/>
          <w:szCs w:val="18"/>
          <w:lang w:val="sr-Cyrl-RS"/>
        </w:rPr>
        <w:t xml:space="preserve"> У сарадњи са експертима ангажованим од стране Немачке организације за међународну сарадњу (ГИЗ), кроз пројекат „Реформа јавних финансија-финансирање Агенде 2030</w:t>
      </w:r>
      <w:r>
        <w:rPr>
          <w:rFonts w:ascii="Times New Roman" w:hAnsi="Times New Roman"/>
          <w:sz w:val="18"/>
          <w:szCs w:val="18"/>
          <w:lang w:val="sr-Cyrl-RS"/>
        </w:rPr>
        <w:t>”</w:t>
      </w:r>
      <w:r w:rsidRPr="00BD67DB">
        <w:rPr>
          <w:rFonts w:ascii="Times New Roman" w:hAnsi="Times New Roman"/>
          <w:sz w:val="18"/>
          <w:szCs w:val="18"/>
          <w:lang w:val="sr-Cyrl-RS"/>
        </w:rPr>
        <w:t xml:space="preserve">. Министар финансија је у новембру 2019. године, донео Решење о Методолошком упутству: </w:t>
      </w:r>
      <w:hyperlink r:id="rId25" w:history="1">
        <w:r w:rsidRPr="00BD67DB">
          <w:rPr>
            <w:rStyle w:val="Hyperlink"/>
            <w:rFonts w:ascii="Times New Roman" w:hAnsi="Times New Roman"/>
            <w:sz w:val="18"/>
            <w:szCs w:val="18"/>
            <w:lang w:val="sr-Cyrl-RS"/>
          </w:rPr>
          <w:t>https://www.mfin.gov.rs/UserFiles/File/afcos/Metodolosko%20uputstvo.pdf</w:t>
        </w:r>
      </w:hyperlink>
      <w:r w:rsidRPr="00BD67DB">
        <w:rPr>
          <w:rFonts w:ascii="Times New Roman" w:hAnsi="Times New Roman"/>
          <w:sz w:val="18"/>
          <w:szCs w:val="18"/>
          <w:lang w:val="sr-Cyrl-RS"/>
        </w:rPr>
        <w:t xml:space="preserve">  </w:t>
      </w:r>
    </w:p>
  </w:footnote>
  <w:footnote w:id="79">
    <w:p w:rsidR="00BB481C" w:rsidRPr="00BD67DB" w:rsidRDefault="00BB481C" w:rsidP="00F12C93">
      <w:pPr>
        <w:pStyle w:val="FootnoteText"/>
        <w:spacing w:before="0"/>
        <w:jc w:val="both"/>
        <w:rPr>
          <w:rFonts w:ascii="Times New Roman" w:hAnsi="Times New Roman"/>
          <w:sz w:val="18"/>
          <w:szCs w:val="18"/>
          <w:lang w:val="sr-Cyrl-RS"/>
        </w:rPr>
      </w:pPr>
      <w:r w:rsidRPr="00BD67DB">
        <w:rPr>
          <w:rStyle w:val="FootnoteReference"/>
          <w:rFonts w:ascii="Times New Roman" w:hAnsi="Times New Roman"/>
          <w:sz w:val="18"/>
          <w:szCs w:val="18"/>
        </w:rPr>
        <w:footnoteRef/>
      </w:r>
      <w:r w:rsidRPr="00BD67DB">
        <w:rPr>
          <w:rFonts w:ascii="Times New Roman" w:hAnsi="Times New Roman"/>
          <w:sz w:val="18"/>
          <w:szCs w:val="18"/>
          <w:lang w:val="sr-Cyrl-RS"/>
        </w:rPr>
        <w:t xml:space="preserve"> Члан 41. Закона о потврђивању Оквирних споразума, како за период 2007-2013. тако и за период 2014-2020.</w:t>
      </w:r>
    </w:p>
  </w:footnote>
  <w:footnote w:id="80">
    <w:p w:rsidR="00BB481C" w:rsidRPr="0075479B" w:rsidRDefault="00BB481C" w:rsidP="00F12C93">
      <w:pPr>
        <w:pStyle w:val="FootnoteText"/>
        <w:spacing w:before="0"/>
        <w:jc w:val="both"/>
        <w:rPr>
          <w:rFonts w:asciiTheme="majorBidi" w:hAnsiTheme="majorBidi" w:cstheme="majorBidi"/>
          <w:lang w:val="sr-Cyrl-RS"/>
        </w:rPr>
      </w:pPr>
      <w:r w:rsidRPr="00BD67DB">
        <w:rPr>
          <w:rStyle w:val="FootnoteReference"/>
          <w:rFonts w:ascii="Times New Roman" w:hAnsi="Times New Roman"/>
          <w:sz w:val="18"/>
          <w:szCs w:val="18"/>
        </w:rPr>
        <w:footnoteRef/>
      </w:r>
      <w:r w:rsidRPr="00BD67DB">
        <w:rPr>
          <w:rFonts w:ascii="Times New Roman" w:hAnsi="Times New Roman"/>
          <w:sz w:val="18"/>
          <w:szCs w:val="18"/>
          <w:lang w:val="sr-Cyrl-RS"/>
        </w:rPr>
        <w:t xml:space="preserve"> Уређено Законом о буџетском систему и Уредбом о управљању програмима претприступне помоћи ЕУ који детаљније регулишу правила за повраћај непрописно утрошених средстава.</w:t>
      </w:r>
    </w:p>
  </w:footnote>
  <w:footnote w:id="81">
    <w:p w:rsidR="00BB481C" w:rsidRPr="00C336A1" w:rsidRDefault="00BB481C" w:rsidP="00CD4772">
      <w:pPr>
        <w:pStyle w:val="FootnoteText"/>
        <w:spacing w:before="0"/>
        <w:jc w:val="both"/>
        <w:rPr>
          <w:rFonts w:asciiTheme="majorBidi" w:hAnsiTheme="majorBidi" w:cstheme="majorBidi"/>
          <w:sz w:val="18"/>
          <w:szCs w:val="18"/>
          <w:lang w:val="sr-Cyrl-RS"/>
        </w:rPr>
      </w:pPr>
      <w:r w:rsidRPr="00C336A1">
        <w:rPr>
          <w:rStyle w:val="FootnoteReference"/>
          <w:rFonts w:asciiTheme="majorBidi" w:hAnsiTheme="majorBidi" w:cstheme="majorBidi"/>
          <w:sz w:val="18"/>
          <w:szCs w:val="18"/>
        </w:rPr>
        <w:footnoteRef/>
      </w:r>
      <w:r w:rsidRPr="00C336A1">
        <w:rPr>
          <w:rFonts w:asciiTheme="majorBidi" w:hAnsiTheme="majorBidi" w:cstheme="majorBidi"/>
          <w:sz w:val="18"/>
          <w:szCs w:val="18"/>
          <w:lang w:val="sr-Cyrl-RS"/>
        </w:rPr>
        <w:t xml:space="preserve"> У току 2019. године, буџетски инспектори су прошли обуке у организацији НАЈУ, НАЛЕД-a, РСЈП, ГИЗ-а, ОЕБС-а, Управе за трезор и фирме „Gi Group HR Solutions</w:t>
      </w:r>
      <w:r>
        <w:rPr>
          <w:rFonts w:asciiTheme="majorBidi" w:hAnsiTheme="majorBidi" w:cstheme="majorBidi"/>
          <w:sz w:val="18"/>
          <w:szCs w:val="18"/>
          <w:lang w:val="sr-Cyrl-RS"/>
        </w:rPr>
        <w:t>”</w:t>
      </w:r>
      <w:r w:rsidRPr="00C336A1">
        <w:rPr>
          <w:rFonts w:asciiTheme="majorBidi" w:hAnsiTheme="majorBidi" w:cstheme="majorBidi"/>
          <w:sz w:val="18"/>
          <w:szCs w:val="18"/>
          <w:lang w:val="sr-Cyrl-RS"/>
        </w:rPr>
        <w:t>.</w:t>
      </w:r>
    </w:p>
  </w:footnote>
  <w:footnote w:id="82">
    <w:p w:rsidR="00BB481C" w:rsidRPr="00CF4D55" w:rsidRDefault="00BB481C" w:rsidP="00CD4772">
      <w:pPr>
        <w:pStyle w:val="FootnoteText"/>
        <w:spacing w:before="0"/>
        <w:jc w:val="both"/>
        <w:rPr>
          <w:rFonts w:asciiTheme="majorBidi" w:hAnsiTheme="majorBidi"/>
          <w:color w:val="FF0000"/>
          <w:sz w:val="18"/>
          <w:szCs w:val="18"/>
          <w:lang w:val="sr-Cyrl-RS"/>
        </w:rPr>
      </w:pPr>
      <w:r w:rsidRPr="00C336A1">
        <w:rPr>
          <w:rStyle w:val="FootnoteReference"/>
          <w:rFonts w:asciiTheme="majorBidi" w:hAnsiTheme="majorBidi"/>
          <w:sz w:val="18"/>
          <w:szCs w:val="18"/>
        </w:rPr>
        <w:footnoteRef/>
      </w:r>
      <w:r w:rsidRPr="00C336A1">
        <w:rPr>
          <w:rFonts w:asciiTheme="majorBidi" w:hAnsiTheme="majorBidi" w:cstheme="majorBidi"/>
          <w:sz w:val="18"/>
          <w:szCs w:val="18"/>
          <w:lang w:val="sr-Cyrl-RS"/>
        </w:rPr>
        <w:t xml:space="preserve"> Усвојени су Уредба о раду, овлашћењима и обележјима буџетске инспекције („Службени гласник РС</w:t>
      </w:r>
      <w:r>
        <w:rPr>
          <w:rFonts w:asciiTheme="majorBidi" w:hAnsiTheme="majorBidi" w:cstheme="majorBidi"/>
          <w:sz w:val="18"/>
          <w:szCs w:val="18"/>
          <w:lang w:val="sr-Cyrl-RS"/>
        </w:rPr>
        <w:t>”</w:t>
      </w:r>
      <w:r w:rsidRPr="00C336A1">
        <w:rPr>
          <w:rFonts w:asciiTheme="majorBidi" w:hAnsiTheme="majorBidi" w:cstheme="majorBidi"/>
          <w:sz w:val="18"/>
          <w:szCs w:val="18"/>
          <w:lang w:val="sr-Cyrl-RS"/>
        </w:rPr>
        <w:t>, бр</w:t>
      </w:r>
      <w:r>
        <w:rPr>
          <w:rFonts w:asciiTheme="majorBidi" w:hAnsiTheme="majorBidi" w:cstheme="majorBidi"/>
          <w:sz w:val="18"/>
          <w:szCs w:val="18"/>
          <w:lang w:val="sr-Cyrl-RS"/>
        </w:rPr>
        <w:t>ој</w:t>
      </w:r>
      <w:r w:rsidRPr="00C336A1">
        <w:rPr>
          <w:rFonts w:asciiTheme="majorBidi" w:hAnsiTheme="majorBidi" w:cstheme="majorBidi"/>
          <w:sz w:val="18"/>
          <w:szCs w:val="18"/>
          <w:lang w:val="sr-Cyrl-RS"/>
        </w:rPr>
        <w:t xml:space="preserve"> 93/17) и Правилник о посебним елементима процене ризика, учесталости вршења инспекцијског надзора, односно контроле на основу процене ризика и посебним елементима програма инспекцијског надзора, односно контроле из делокруга Сектора за буџетску инспекцију („Службени гласник РСˮ, бр</w:t>
      </w:r>
      <w:r>
        <w:rPr>
          <w:rFonts w:asciiTheme="majorBidi" w:hAnsiTheme="majorBidi" w:cstheme="majorBidi"/>
          <w:sz w:val="18"/>
          <w:szCs w:val="18"/>
          <w:lang w:val="sr-Cyrl-RS"/>
        </w:rPr>
        <w:t>ој</w:t>
      </w:r>
      <w:r w:rsidRPr="00C336A1">
        <w:rPr>
          <w:rFonts w:asciiTheme="majorBidi" w:hAnsiTheme="majorBidi" w:cstheme="majorBidi"/>
          <w:sz w:val="18"/>
          <w:szCs w:val="18"/>
          <w:lang w:val="sr-Cyrl-RS"/>
        </w:rPr>
        <w:t xml:space="preserve"> 90/18). Такође, донет је и Правилник о начину и поступању буџетске инспекције у вршењу надзора над спровођењем Закона о роковима измирења новчаних обавеза у комерцијалним трансакцијама („Службени гласник РСˮ, бр</w:t>
      </w:r>
      <w:r>
        <w:rPr>
          <w:rFonts w:asciiTheme="majorBidi" w:hAnsiTheme="majorBidi" w:cstheme="majorBidi"/>
          <w:sz w:val="18"/>
          <w:szCs w:val="18"/>
          <w:lang w:val="sr-Cyrl-RS"/>
        </w:rPr>
        <w:t>ој</w:t>
      </w:r>
      <w:r w:rsidRPr="00C336A1">
        <w:rPr>
          <w:rFonts w:asciiTheme="majorBidi" w:hAnsiTheme="majorBidi" w:cstheme="majorBidi"/>
          <w:sz w:val="18"/>
          <w:szCs w:val="18"/>
          <w:lang w:val="sr-Cyrl-RS"/>
        </w:rPr>
        <w:t xml:space="preserve"> 78/19), којим се прописују начин и поступак вршења надзора над</w:t>
      </w:r>
      <w:r w:rsidRPr="00C336A1">
        <w:rPr>
          <w:rFonts w:ascii="Times New Roman" w:hAnsi="Times New Roman"/>
          <w:sz w:val="18"/>
          <w:szCs w:val="18"/>
          <w:lang w:val="sr-Cyrl-RS"/>
        </w:rPr>
        <w:t xml:space="preserve"> спровођењем наведеног закона у случајевима када се трансакције обављају између јавног сектора и привредних субјеката у којима </w:t>
      </w:r>
      <w:r w:rsidRPr="00C336A1">
        <w:rPr>
          <w:rFonts w:asciiTheme="majorBidi" w:hAnsiTheme="majorBidi" w:cstheme="majorBidi"/>
          <w:sz w:val="18"/>
          <w:szCs w:val="18"/>
          <w:lang w:val="sr-Cyrl-RS"/>
        </w:rPr>
        <w:t>су субјекти јавног сектора дужници, као и између субјеката јавног сектора, као и начин и поступак преузимања података о неизмиреним обавезама јавних предузећа из информационог система Управе за трезор.</w:t>
      </w:r>
    </w:p>
  </w:footnote>
  <w:footnote w:id="83">
    <w:p w:rsidR="00BB481C" w:rsidRPr="00BD67DB" w:rsidRDefault="00BB481C" w:rsidP="00F12C93">
      <w:pPr>
        <w:pStyle w:val="FootnoteText"/>
        <w:spacing w:before="0"/>
        <w:jc w:val="both"/>
        <w:rPr>
          <w:rFonts w:asciiTheme="majorBidi" w:hAnsiTheme="majorBidi" w:cstheme="majorBidi"/>
          <w:sz w:val="18"/>
          <w:szCs w:val="18"/>
          <w:lang w:val="sr-Cyrl-RS"/>
        </w:rPr>
      </w:pPr>
      <w:r w:rsidRPr="00BD67DB">
        <w:rPr>
          <w:rStyle w:val="FootnoteReference"/>
          <w:rFonts w:asciiTheme="majorBidi" w:hAnsiTheme="majorBidi" w:cstheme="majorBidi"/>
          <w:sz w:val="18"/>
          <w:szCs w:val="18"/>
        </w:rPr>
        <w:footnoteRef/>
      </w:r>
      <w:r w:rsidRPr="00BD67DB">
        <w:rPr>
          <w:rFonts w:asciiTheme="majorBidi" w:hAnsiTheme="majorBidi" w:cstheme="majorBidi"/>
          <w:sz w:val="18"/>
          <w:szCs w:val="18"/>
          <w:lang w:val="sr-Cyrl-RS"/>
        </w:rPr>
        <w:t xml:space="preserve"> У складу са новим законским оквиром - Уредбом о </w:t>
      </w:r>
      <w:r>
        <w:rPr>
          <w:rFonts w:asciiTheme="majorBidi" w:hAnsiTheme="majorBidi" w:cstheme="majorBidi"/>
          <w:sz w:val="18"/>
          <w:szCs w:val="18"/>
          <w:lang w:val="sr-Cyrl-RS"/>
        </w:rPr>
        <w:t>одређивању</w:t>
      </w:r>
      <w:r w:rsidRPr="00BD67DB">
        <w:rPr>
          <w:rFonts w:asciiTheme="majorBidi" w:hAnsiTheme="majorBidi" w:cstheme="majorBidi"/>
          <w:sz w:val="18"/>
          <w:szCs w:val="18"/>
          <w:lang w:val="sr-Cyrl-RS"/>
        </w:rPr>
        <w:t xml:space="preserve"> </w:t>
      </w:r>
      <w:r>
        <w:rPr>
          <w:rFonts w:asciiTheme="majorBidi" w:hAnsiTheme="majorBidi" w:cstheme="majorBidi"/>
          <w:sz w:val="18"/>
          <w:szCs w:val="18"/>
          <w:lang w:val="sr-Cyrl-RS"/>
        </w:rPr>
        <w:t>компетенција</w:t>
      </w:r>
      <w:r w:rsidRPr="00BD67DB">
        <w:rPr>
          <w:rFonts w:asciiTheme="majorBidi" w:hAnsiTheme="majorBidi" w:cstheme="majorBidi"/>
          <w:sz w:val="18"/>
          <w:szCs w:val="18"/>
          <w:lang w:val="sr-Cyrl-RS"/>
        </w:rPr>
        <w:t xml:space="preserve"> за рад државних службеника („Службени гласник РС</w:t>
      </w:r>
      <w:r>
        <w:rPr>
          <w:rFonts w:asciiTheme="majorBidi" w:hAnsiTheme="majorBidi" w:cstheme="majorBidi"/>
          <w:sz w:val="18"/>
          <w:szCs w:val="18"/>
          <w:lang w:val="sr-Cyrl-RS"/>
        </w:rPr>
        <w:t>”</w:t>
      </w:r>
      <w:r w:rsidRPr="00BD67DB">
        <w:rPr>
          <w:rFonts w:asciiTheme="majorBidi" w:hAnsiTheme="majorBidi" w:cstheme="majorBidi"/>
          <w:sz w:val="18"/>
          <w:szCs w:val="18"/>
          <w:lang w:val="sr-Cyrl-RS"/>
        </w:rPr>
        <w:t>,  бр</w:t>
      </w:r>
      <w:r>
        <w:rPr>
          <w:rFonts w:asciiTheme="majorBidi" w:hAnsiTheme="majorBidi" w:cstheme="majorBidi"/>
          <w:sz w:val="18"/>
          <w:szCs w:val="18"/>
          <w:lang w:val="sr-Cyrl-RS"/>
        </w:rPr>
        <w:t>ој</w:t>
      </w:r>
      <w:r w:rsidRPr="00BD67DB">
        <w:rPr>
          <w:rFonts w:asciiTheme="majorBidi" w:hAnsiTheme="majorBidi" w:cstheme="majorBidi"/>
          <w:sz w:val="18"/>
          <w:szCs w:val="18"/>
          <w:lang w:val="sr-Cyrl-RS"/>
        </w:rPr>
        <w:t xml:space="preserve"> 4/19).</w:t>
      </w:r>
    </w:p>
  </w:footnote>
  <w:footnote w:id="84">
    <w:p w:rsidR="00BB481C" w:rsidRPr="00BD67DB" w:rsidRDefault="00BB481C" w:rsidP="00F12C93">
      <w:pPr>
        <w:pStyle w:val="FootnoteText"/>
        <w:spacing w:before="0"/>
        <w:jc w:val="both"/>
        <w:rPr>
          <w:rFonts w:asciiTheme="majorBidi" w:hAnsiTheme="majorBidi" w:cstheme="majorBidi"/>
          <w:sz w:val="18"/>
          <w:szCs w:val="18"/>
          <w:lang w:val="sr-Cyrl-RS"/>
        </w:rPr>
      </w:pPr>
      <w:r w:rsidRPr="00BD67DB">
        <w:rPr>
          <w:rStyle w:val="FootnoteReference"/>
          <w:rFonts w:asciiTheme="majorBidi" w:hAnsiTheme="majorBidi" w:cstheme="majorBidi"/>
          <w:sz w:val="18"/>
          <w:szCs w:val="18"/>
        </w:rPr>
        <w:footnoteRef/>
      </w:r>
      <w:r w:rsidRPr="00BD67DB">
        <w:rPr>
          <w:rFonts w:asciiTheme="majorBidi" w:hAnsiTheme="majorBidi" w:cstheme="majorBidi"/>
          <w:sz w:val="18"/>
          <w:szCs w:val="18"/>
          <w:lang w:val="sr-Cyrl-RS"/>
        </w:rPr>
        <w:t xml:space="preserve"> Усвојено Закључком Владе 05 </w:t>
      </w:r>
      <w:r>
        <w:rPr>
          <w:rFonts w:asciiTheme="majorBidi" w:hAnsiTheme="majorBidi" w:cstheme="majorBidi"/>
          <w:sz w:val="18"/>
          <w:szCs w:val="18"/>
          <w:lang w:val="sr-Cyrl-RS"/>
        </w:rPr>
        <w:t>Број:</w:t>
      </w:r>
      <w:r w:rsidRPr="00BD67DB">
        <w:rPr>
          <w:rFonts w:asciiTheme="majorBidi" w:hAnsiTheme="majorBidi" w:cstheme="majorBidi"/>
          <w:sz w:val="18"/>
          <w:szCs w:val="18"/>
          <w:lang w:val="sr-Cyrl-RS"/>
        </w:rPr>
        <w:t xml:space="preserve"> 337-3121/2019-1 од 4.</w:t>
      </w:r>
      <w:r>
        <w:rPr>
          <w:rFonts w:asciiTheme="majorBidi" w:hAnsiTheme="majorBidi" w:cstheme="majorBidi"/>
          <w:sz w:val="18"/>
          <w:szCs w:val="18"/>
          <w:lang w:val="sr-Cyrl-RS"/>
        </w:rPr>
        <w:t xml:space="preserve"> априла </w:t>
      </w:r>
      <w:r w:rsidRPr="00BD67DB">
        <w:rPr>
          <w:rFonts w:asciiTheme="majorBidi" w:hAnsiTheme="majorBidi" w:cstheme="majorBidi"/>
          <w:sz w:val="18"/>
          <w:szCs w:val="18"/>
          <w:lang w:val="sr-Cyrl-RS"/>
        </w:rPr>
        <w:t>2019. године.</w:t>
      </w:r>
    </w:p>
  </w:footnote>
  <w:footnote w:id="85">
    <w:p w:rsidR="00BB481C" w:rsidRPr="00BD67DB" w:rsidRDefault="00BB481C" w:rsidP="00F12C93">
      <w:pPr>
        <w:pStyle w:val="FootnoteText"/>
        <w:spacing w:before="0"/>
        <w:jc w:val="both"/>
        <w:rPr>
          <w:sz w:val="18"/>
          <w:szCs w:val="18"/>
          <w:lang w:val="sr-Cyrl-RS"/>
        </w:rPr>
      </w:pPr>
      <w:r w:rsidRPr="00BD67DB">
        <w:rPr>
          <w:rStyle w:val="FootnoteReference"/>
          <w:rFonts w:asciiTheme="majorBidi" w:hAnsiTheme="majorBidi" w:cstheme="majorBidi"/>
          <w:sz w:val="18"/>
          <w:szCs w:val="18"/>
        </w:rPr>
        <w:footnoteRef/>
      </w:r>
      <w:r w:rsidRPr="00BD67DB">
        <w:rPr>
          <w:rFonts w:asciiTheme="majorBidi" w:hAnsiTheme="majorBidi" w:cstheme="majorBidi"/>
          <w:sz w:val="18"/>
          <w:szCs w:val="18"/>
          <w:lang w:val="sr-Cyrl-RS"/>
        </w:rPr>
        <w:t xml:space="preserve"> Усвојено Закључком Владе 05 </w:t>
      </w:r>
      <w:r>
        <w:rPr>
          <w:rFonts w:asciiTheme="majorBidi" w:hAnsiTheme="majorBidi" w:cstheme="majorBidi"/>
          <w:sz w:val="18"/>
          <w:szCs w:val="18"/>
          <w:lang w:val="sr-Cyrl-RS"/>
        </w:rPr>
        <w:t>Број:</w:t>
      </w:r>
      <w:r w:rsidRPr="00BD67DB">
        <w:rPr>
          <w:rFonts w:asciiTheme="majorBidi" w:hAnsiTheme="majorBidi" w:cstheme="majorBidi"/>
          <w:sz w:val="18"/>
          <w:szCs w:val="18"/>
          <w:lang w:val="sr-Cyrl-RS"/>
        </w:rPr>
        <w:t xml:space="preserve"> 337-9097/2018-1 од 18.</w:t>
      </w:r>
      <w:r>
        <w:rPr>
          <w:rFonts w:asciiTheme="majorBidi" w:hAnsiTheme="majorBidi" w:cstheme="majorBidi"/>
          <w:sz w:val="18"/>
          <w:szCs w:val="18"/>
          <w:lang w:val="sr-Cyrl-RS"/>
        </w:rPr>
        <w:t xml:space="preserve"> октобра </w:t>
      </w:r>
      <w:r w:rsidRPr="00BD67DB">
        <w:rPr>
          <w:rFonts w:asciiTheme="majorBidi" w:hAnsiTheme="majorBidi" w:cstheme="majorBidi"/>
          <w:sz w:val="18"/>
          <w:szCs w:val="18"/>
          <w:lang w:val="sr-Cyrl-RS"/>
        </w:rPr>
        <w:t>2018. године.</w:t>
      </w:r>
    </w:p>
  </w:footnote>
  <w:footnote w:id="86">
    <w:p w:rsidR="00BB481C" w:rsidRPr="005B5A33" w:rsidRDefault="00BB481C" w:rsidP="00F12C93">
      <w:pPr>
        <w:pStyle w:val="FootnoteText"/>
        <w:spacing w:before="0"/>
        <w:jc w:val="both"/>
        <w:rPr>
          <w:rFonts w:asciiTheme="majorBidi" w:hAnsiTheme="majorBidi" w:cstheme="majorBidi"/>
          <w:sz w:val="18"/>
          <w:szCs w:val="18"/>
          <w:lang w:val="sr-Cyrl-RS"/>
        </w:rPr>
      </w:pPr>
      <w:r w:rsidRPr="005B5A33">
        <w:rPr>
          <w:rStyle w:val="FootnoteReference"/>
          <w:rFonts w:asciiTheme="majorBidi" w:hAnsiTheme="majorBidi" w:cstheme="majorBidi"/>
          <w:sz w:val="18"/>
          <w:szCs w:val="18"/>
        </w:rPr>
        <w:footnoteRef/>
      </w:r>
      <w:r w:rsidRPr="005B5A33">
        <w:rPr>
          <w:rFonts w:asciiTheme="majorBidi" w:hAnsiTheme="majorBidi" w:cstheme="majorBidi"/>
          <w:sz w:val="18"/>
          <w:szCs w:val="18"/>
          <w:lang w:val="sr-Cyrl-RS"/>
        </w:rPr>
        <w:t xml:space="preserve"> Уз подршку Немачке организације за међународну сарадњу „ГИЗ</w:t>
      </w:r>
      <w:r>
        <w:rPr>
          <w:rFonts w:asciiTheme="majorBidi" w:hAnsiTheme="majorBidi" w:cstheme="majorBidi"/>
          <w:sz w:val="18"/>
          <w:szCs w:val="18"/>
          <w:lang w:val="sr-Cyrl-RS"/>
        </w:rPr>
        <w:t>”</w:t>
      </w:r>
      <w:r w:rsidRPr="005B5A33">
        <w:rPr>
          <w:rFonts w:asciiTheme="majorBidi" w:hAnsiTheme="majorBidi" w:cstheme="majorBidi"/>
          <w:sz w:val="18"/>
          <w:szCs w:val="18"/>
          <w:lang w:val="sr-Cyrl-RS"/>
        </w:rPr>
        <w:t xml:space="preserve"> у оквиру пројекта „Реформа јавних финансија-финансирање Агенде 2030</w:t>
      </w:r>
      <w:r>
        <w:rPr>
          <w:rFonts w:asciiTheme="majorBidi" w:hAnsiTheme="majorBidi" w:cstheme="majorBidi"/>
          <w:sz w:val="18"/>
          <w:szCs w:val="18"/>
          <w:lang w:val="sr-Cyrl-RS"/>
        </w:rPr>
        <w:t>”</w:t>
      </w:r>
      <w:r w:rsidRPr="005B5A33">
        <w:rPr>
          <w:rFonts w:asciiTheme="majorBidi" w:hAnsiTheme="majorBidi" w:cstheme="majorBidi"/>
          <w:sz w:val="18"/>
          <w:szCs w:val="18"/>
          <w:lang w:val="sr-Cyrl-RS"/>
        </w:rPr>
        <w:t>,</w:t>
      </w:r>
    </w:p>
  </w:footnote>
  <w:footnote w:id="87">
    <w:p w:rsidR="00BB481C" w:rsidRPr="005B5A33" w:rsidRDefault="00BB481C" w:rsidP="00F12C93">
      <w:pPr>
        <w:pStyle w:val="FootnoteText"/>
        <w:spacing w:before="0"/>
        <w:jc w:val="both"/>
        <w:rPr>
          <w:rFonts w:asciiTheme="majorBidi" w:hAnsiTheme="majorBidi" w:cstheme="majorBidi"/>
          <w:sz w:val="18"/>
          <w:szCs w:val="18"/>
          <w:lang w:val="sr-Cyrl-RS"/>
        </w:rPr>
      </w:pPr>
      <w:r w:rsidRPr="005B5A33">
        <w:rPr>
          <w:rStyle w:val="FootnoteReference"/>
          <w:rFonts w:asciiTheme="majorBidi" w:hAnsiTheme="majorBidi" w:cstheme="majorBidi"/>
          <w:sz w:val="18"/>
          <w:szCs w:val="18"/>
        </w:rPr>
        <w:footnoteRef/>
      </w:r>
      <w:r w:rsidRPr="005B5A33">
        <w:rPr>
          <w:rFonts w:asciiTheme="majorBidi" w:hAnsiTheme="majorBidi" w:cstheme="majorBidi"/>
          <w:sz w:val="18"/>
          <w:szCs w:val="18"/>
          <w:lang w:val="sr-Cyrl-RS"/>
        </w:rPr>
        <w:t xml:space="preserve"> </w:t>
      </w:r>
      <w:r w:rsidRPr="005B5A33">
        <w:rPr>
          <w:rFonts w:asciiTheme="majorBidi" w:hAnsiTheme="majorBidi" w:cstheme="majorBidi"/>
          <w:i/>
          <w:iCs/>
          <w:sz w:val="18"/>
          <w:szCs w:val="18"/>
        </w:rPr>
        <w:t>CEF</w:t>
      </w:r>
      <w:r w:rsidRPr="005B5A33">
        <w:rPr>
          <w:rFonts w:asciiTheme="majorBidi" w:hAnsiTheme="majorBidi" w:cstheme="majorBidi"/>
          <w:i/>
          <w:iCs/>
          <w:sz w:val="18"/>
          <w:szCs w:val="18"/>
          <w:lang w:val="sr-Cyrl-RS"/>
        </w:rPr>
        <w:t xml:space="preserve"> </w:t>
      </w:r>
      <w:r w:rsidRPr="005B5A33">
        <w:rPr>
          <w:rFonts w:asciiTheme="majorBidi" w:hAnsiTheme="majorBidi" w:cstheme="majorBidi"/>
          <w:i/>
          <w:iCs/>
          <w:sz w:val="18"/>
          <w:szCs w:val="18"/>
        </w:rPr>
        <w:t>- Center for Financial Excelence</w:t>
      </w:r>
    </w:p>
  </w:footnote>
  <w:footnote w:id="88">
    <w:p w:rsidR="00BB481C" w:rsidRPr="005B5A33" w:rsidRDefault="00BB481C" w:rsidP="001B6DE8">
      <w:pPr>
        <w:pStyle w:val="FootnoteText"/>
        <w:spacing w:before="0"/>
        <w:jc w:val="both"/>
        <w:rPr>
          <w:rFonts w:ascii="Times New Roman" w:hAnsi="Times New Roman"/>
          <w:sz w:val="18"/>
          <w:szCs w:val="18"/>
          <w:lang w:val="sr-Cyrl-RS"/>
        </w:rPr>
      </w:pPr>
      <w:r>
        <w:rPr>
          <w:rStyle w:val="FootnoteReference"/>
          <w:rFonts w:eastAsiaTheme="minorEastAsia"/>
        </w:rPr>
        <w:footnoteRef/>
      </w:r>
      <w:r w:rsidRPr="00381862">
        <w:rPr>
          <w:lang w:val="sr-Cyrl-RS"/>
        </w:rPr>
        <w:t xml:space="preserve"> </w:t>
      </w:r>
      <w:r w:rsidRPr="005B5A33">
        <w:rPr>
          <w:rFonts w:ascii="Times New Roman" w:hAnsi="Times New Roman"/>
          <w:sz w:val="18"/>
          <w:szCs w:val="18"/>
          <w:lang w:val="sr-Cyrl-RS"/>
        </w:rPr>
        <w:t>Осим Поглавља 32, ИФКЈ се прати у оквиру Поглавља 22. и 23.</w:t>
      </w:r>
    </w:p>
  </w:footnote>
  <w:footnote w:id="89">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A25A0C">
        <w:rPr>
          <w:rFonts w:ascii="Times New Roman" w:hAnsi="Times New Roman"/>
          <w:sz w:val="18"/>
          <w:szCs w:val="18"/>
          <w:lang w:val="sr-Cyrl-RS"/>
        </w:rPr>
        <w:t>, бр</w:t>
      </w:r>
      <w:r>
        <w:rPr>
          <w:rFonts w:ascii="Times New Roman" w:hAnsi="Times New Roman"/>
          <w:sz w:val="18"/>
          <w:szCs w:val="18"/>
          <w:lang w:val="sr-Cyrl-RS"/>
        </w:rPr>
        <w:t>ој</w:t>
      </w:r>
      <w:r w:rsidRPr="00A25A0C">
        <w:rPr>
          <w:rFonts w:ascii="Times New Roman" w:hAnsi="Times New Roman"/>
          <w:sz w:val="18"/>
          <w:szCs w:val="18"/>
          <w:lang w:val="sr-Cyrl-RS"/>
        </w:rPr>
        <w:t xml:space="preserve"> 15/19</w:t>
      </w:r>
    </w:p>
  </w:footnote>
  <w:footnote w:id="90">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„Служб</w:t>
      </w:r>
      <w:r w:rsidRPr="00A25A0C">
        <w:rPr>
          <w:rFonts w:ascii="Times New Roman" w:hAnsi="Times New Roman"/>
          <w:sz w:val="18"/>
          <w:szCs w:val="18"/>
        </w:rPr>
        <w:t>e</w:t>
      </w:r>
      <w:r w:rsidRPr="00A25A0C">
        <w:rPr>
          <w:rFonts w:ascii="Times New Roman" w:hAnsi="Times New Roman"/>
          <w:sz w:val="18"/>
          <w:szCs w:val="18"/>
          <w:lang w:val="sr-Cyrl-RS"/>
        </w:rPr>
        <w:t>ни гл</w:t>
      </w:r>
      <w:r w:rsidRPr="00A25A0C">
        <w:rPr>
          <w:rFonts w:ascii="Times New Roman" w:hAnsi="Times New Roman"/>
          <w:sz w:val="18"/>
          <w:szCs w:val="18"/>
        </w:rPr>
        <w:t>a</w:t>
      </w:r>
      <w:r w:rsidRPr="00A25A0C">
        <w:rPr>
          <w:rFonts w:ascii="Times New Roman" w:hAnsi="Times New Roman"/>
          <w:sz w:val="18"/>
          <w:szCs w:val="18"/>
          <w:lang w:val="sr-Cyrl-RS"/>
        </w:rPr>
        <w:t>сник РСˮ, бр</w:t>
      </w:r>
      <w:r>
        <w:rPr>
          <w:rFonts w:ascii="Times New Roman" w:hAnsi="Times New Roman"/>
          <w:sz w:val="18"/>
          <w:szCs w:val="18"/>
          <w:lang w:val="sr-Cyrl-RS"/>
        </w:rPr>
        <w:t>ој</w:t>
      </w:r>
      <w:r w:rsidRPr="00A25A0C">
        <w:rPr>
          <w:rFonts w:ascii="Times New Roman" w:hAnsi="Times New Roman"/>
          <w:sz w:val="18"/>
          <w:szCs w:val="18"/>
          <w:lang w:val="sr-Cyrl-RS"/>
        </w:rPr>
        <w:t xml:space="preserve"> 89/19</w:t>
      </w:r>
    </w:p>
  </w:footnote>
  <w:footnote w:id="91">
    <w:p w:rsidR="00BB481C" w:rsidRPr="00A25A0C" w:rsidRDefault="00BB481C" w:rsidP="001B6DE8">
      <w:pPr>
        <w:pStyle w:val="FootnoteText"/>
        <w:spacing w:before="0"/>
        <w:jc w:val="both"/>
        <w:rPr>
          <w:rFonts w:ascii="Times New Roman" w:hAnsi="Times New Roman"/>
          <w:i/>
          <w:iCs/>
          <w:sz w:val="18"/>
          <w:szCs w:val="18"/>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rPr>
        <w:t xml:space="preserve"> </w:t>
      </w:r>
      <w:r w:rsidRPr="00A25A0C">
        <w:rPr>
          <w:rFonts w:ascii="Times New Roman" w:hAnsi="Times New Roman"/>
          <w:i/>
          <w:iCs/>
          <w:sz w:val="18"/>
          <w:szCs w:val="18"/>
        </w:rPr>
        <w:t>„Internal Control</w:t>
      </w:r>
      <w:r w:rsidRPr="00A25A0C">
        <w:rPr>
          <w:rFonts w:ascii="Times New Roman" w:hAnsi="Times New Roman"/>
          <w:i/>
          <w:iCs/>
          <w:sz w:val="18"/>
          <w:szCs w:val="18"/>
          <w:lang w:val="sr-Cyrl-RS"/>
        </w:rPr>
        <w:t xml:space="preserve"> - </w:t>
      </w:r>
      <w:r w:rsidRPr="00A25A0C">
        <w:rPr>
          <w:rFonts w:ascii="Times New Roman" w:hAnsi="Times New Roman"/>
          <w:i/>
          <w:iCs/>
          <w:sz w:val="18"/>
          <w:szCs w:val="18"/>
        </w:rPr>
        <w:t>Integrated Framework</w:t>
      </w:r>
      <w:r>
        <w:rPr>
          <w:rFonts w:ascii="Times New Roman" w:hAnsi="Times New Roman"/>
          <w:i/>
          <w:iCs/>
          <w:sz w:val="18"/>
          <w:szCs w:val="18"/>
        </w:rPr>
        <w:t>”</w:t>
      </w:r>
    </w:p>
  </w:footnote>
  <w:footnote w:id="92">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w:t>
      </w:r>
      <w:hyperlink r:id="rId26" w:history="1">
        <w:r w:rsidRPr="00A25A0C">
          <w:rPr>
            <w:rStyle w:val="Hyperlink"/>
            <w:rFonts w:ascii="Times New Roman" w:eastAsiaTheme="minorEastAsia" w:hAnsi="Times New Roman"/>
            <w:sz w:val="18"/>
            <w:szCs w:val="18"/>
            <w:lang w:val="sr-Cyrl-RS"/>
          </w:rPr>
          <w:t>https://www.mfin.gov.rs/wp-content/uploads/2019/10/FUK-prirucnik-Compressed.pdf</w:t>
        </w:r>
      </w:hyperlink>
      <w:r w:rsidRPr="00A25A0C">
        <w:rPr>
          <w:rFonts w:ascii="Times New Roman" w:hAnsi="Times New Roman"/>
          <w:sz w:val="18"/>
          <w:szCs w:val="18"/>
          <w:lang w:val="sr-Cyrl-RS"/>
        </w:rPr>
        <w:t xml:space="preserve"> </w:t>
      </w:r>
    </w:p>
  </w:footnote>
  <w:footnote w:id="93">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Скуп принципа организованих у пет међусобно повезаних елемената који обухватају контролне окружење, управљање ризицима, контролне активности, комуникацију и информације, праћење и процену (надзор)</w:t>
      </w:r>
    </w:p>
  </w:footnote>
  <w:footnote w:id="94">
    <w:p w:rsidR="00BB481C" w:rsidRPr="00A25A0C" w:rsidRDefault="00BB481C" w:rsidP="001B6DE8">
      <w:pPr>
        <w:pStyle w:val="FootnoteText"/>
        <w:spacing w:before="0"/>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w:t>
      </w:r>
      <w:r w:rsidRPr="00A25A0C">
        <w:rPr>
          <w:rFonts w:ascii="Times New Roman" w:hAnsi="Times New Roman"/>
          <w:sz w:val="18"/>
          <w:szCs w:val="18"/>
          <w:lang w:val="de-DE"/>
        </w:rPr>
        <w:t>NSZ</w:t>
      </w:r>
      <w:r w:rsidRPr="00A25A0C">
        <w:rPr>
          <w:rFonts w:ascii="Times New Roman" w:hAnsi="Times New Roman"/>
          <w:sz w:val="18"/>
          <w:szCs w:val="18"/>
          <w:lang w:val="sr-Cyrl-RS"/>
        </w:rPr>
        <w:t xml:space="preserve">, </w:t>
      </w:r>
      <w:r w:rsidRPr="00A25A0C">
        <w:rPr>
          <w:rFonts w:ascii="Times New Roman" w:hAnsi="Times New Roman"/>
          <w:sz w:val="18"/>
          <w:szCs w:val="18"/>
          <w:lang w:val="de-DE"/>
        </w:rPr>
        <w:t>MDULS</w:t>
      </w:r>
      <w:r w:rsidRPr="00A25A0C">
        <w:rPr>
          <w:rFonts w:ascii="Times New Roman" w:hAnsi="Times New Roman"/>
          <w:sz w:val="18"/>
          <w:szCs w:val="18"/>
          <w:lang w:val="sr-Cyrl-RS"/>
        </w:rPr>
        <w:t xml:space="preserve">, </w:t>
      </w:r>
      <w:r w:rsidRPr="00A25A0C">
        <w:rPr>
          <w:rFonts w:ascii="Times New Roman" w:hAnsi="Times New Roman"/>
          <w:sz w:val="18"/>
          <w:szCs w:val="18"/>
          <w:lang w:val="de-DE"/>
        </w:rPr>
        <w:t>MF</w:t>
      </w:r>
      <w:r w:rsidRPr="00A25A0C">
        <w:rPr>
          <w:rFonts w:ascii="Times New Roman" w:hAnsi="Times New Roman"/>
          <w:sz w:val="18"/>
          <w:szCs w:val="18"/>
          <w:lang w:val="sr-Cyrl-RS"/>
        </w:rPr>
        <w:t xml:space="preserve"> </w:t>
      </w:r>
      <w:r w:rsidRPr="00A25A0C">
        <w:rPr>
          <w:rFonts w:ascii="Times New Roman" w:hAnsi="Times New Roman"/>
          <w:sz w:val="18"/>
          <w:szCs w:val="18"/>
          <w:lang w:val="de-DE"/>
        </w:rPr>
        <w:t>I</w:t>
      </w:r>
      <w:r w:rsidRPr="00A25A0C">
        <w:rPr>
          <w:rFonts w:ascii="Times New Roman" w:hAnsi="Times New Roman"/>
          <w:sz w:val="18"/>
          <w:szCs w:val="18"/>
          <w:lang w:val="sr-Cyrl-RS"/>
        </w:rPr>
        <w:t xml:space="preserve"> </w:t>
      </w:r>
      <w:r w:rsidRPr="00A25A0C">
        <w:rPr>
          <w:rFonts w:ascii="Times New Roman" w:hAnsi="Times New Roman"/>
          <w:sz w:val="18"/>
          <w:szCs w:val="18"/>
          <w:lang w:val="de-DE"/>
        </w:rPr>
        <w:t>RSJP</w:t>
      </w:r>
    </w:p>
  </w:footnote>
  <w:footnote w:id="95">
    <w:p w:rsidR="00BB481C" w:rsidRPr="00A25A0C" w:rsidRDefault="00BB481C" w:rsidP="001B6DE8">
      <w:pPr>
        <w:pStyle w:val="FootnoteText"/>
        <w:spacing w:before="0"/>
        <w:jc w:val="both"/>
        <w:rPr>
          <w:rFonts w:asciiTheme="majorBidi" w:hAnsiTheme="majorBidi" w:cstheme="majorBidi"/>
          <w:sz w:val="18"/>
          <w:szCs w:val="18"/>
          <w:lang w:val="sr-Cyrl-RS"/>
        </w:rPr>
      </w:pPr>
      <w:r w:rsidRPr="00A25A0C">
        <w:rPr>
          <w:rStyle w:val="FootnoteReference"/>
          <w:rFonts w:asciiTheme="majorBidi" w:eastAsiaTheme="minorEastAsia" w:hAnsiTheme="majorBidi" w:cstheme="majorBidi"/>
          <w:sz w:val="18"/>
          <w:szCs w:val="18"/>
        </w:rPr>
        <w:footnoteRef/>
      </w:r>
      <w:r w:rsidRPr="00A25A0C">
        <w:rPr>
          <w:rFonts w:asciiTheme="majorBidi" w:hAnsiTheme="majorBidi" w:cstheme="majorBidi"/>
          <w:sz w:val="18"/>
          <w:szCs w:val="18"/>
          <w:lang w:val="sr-Cyrl-RS"/>
        </w:rPr>
        <w:t xml:space="preserve"> У сарадњи са Твининг партнером. Смернице настале у оквиру Пилот-пројекта: Смернице о систему делегирања; Смернице за управљање учинком; Смернице о ФУК за мале кориснике јавних средстава; Смернице за финансијске јединице; Смернице за управљање неправилностима; Смернице о управљачкој одговорности (ажурирање), затим Смернице за управљање ризицима, Смернице за спровођење прегледа квалитета интерне контроле.</w:t>
      </w:r>
    </w:p>
  </w:footnote>
  <w:footnote w:id="96">
    <w:p w:rsidR="00BB481C" w:rsidRPr="00A25A0C" w:rsidRDefault="00BB481C" w:rsidP="001B6DE8">
      <w:pPr>
        <w:pStyle w:val="FootnoteText"/>
        <w:spacing w:before="0"/>
        <w:jc w:val="both"/>
        <w:rPr>
          <w:rFonts w:asciiTheme="majorBidi" w:hAnsiTheme="majorBidi" w:cstheme="majorBidi"/>
          <w:sz w:val="18"/>
          <w:szCs w:val="18"/>
          <w:lang w:val="sr-Cyrl-RS"/>
        </w:rPr>
      </w:pPr>
      <w:r w:rsidRPr="00A25A0C">
        <w:rPr>
          <w:rStyle w:val="FootnoteReference"/>
          <w:rFonts w:asciiTheme="majorBidi" w:eastAsiaTheme="minorEastAsia" w:hAnsiTheme="majorBidi" w:cstheme="majorBidi"/>
          <w:sz w:val="18"/>
          <w:szCs w:val="18"/>
        </w:rPr>
        <w:footnoteRef/>
      </w:r>
      <w:r w:rsidRPr="00A25A0C">
        <w:rPr>
          <w:rFonts w:asciiTheme="majorBidi" w:hAnsiTheme="majorBidi" w:cstheme="majorBidi"/>
          <w:sz w:val="18"/>
          <w:szCs w:val="18"/>
          <w:lang w:val="sr-Cyrl-RS"/>
        </w:rPr>
        <w:t xml:space="preserve"> Израђене су следеће смернице: Смернице за успостављање заједничке јединице за интерну ревизију; Модел за интерну оцену квалитета рада јединица за интерну ревизију; Алати за ревизију ИПА фондова који обухватају модел за процену ризика за ревизије ИПА фондова</w:t>
      </w:r>
      <w:r>
        <w:rPr>
          <w:rFonts w:asciiTheme="majorBidi" w:hAnsiTheme="majorBidi" w:cstheme="majorBidi"/>
          <w:sz w:val="18"/>
          <w:szCs w:val="18"/>
          <w:lang w:val="sr-Cyrl-RS"/>
        </w:rPr>
        <w:t>,</w:t>
      </w:r>
      <w:r w:rsidRPr="00A25A0C">
        <w:rPr>
          <w:rFonts w:asciiTheme="majorBidi" w:hAnsiTheme="majorBidi" w:cstheme="majorBidi"/>
          <w:sz w:val="18"/>
          <w:szCs w:val="18"/>
          <w:lang w:val="sr-Cyrl-RS"/>
        </w:rPr>
        <w:t xml:space="preserve"> као и  контролну листу за системску ревизију за ИПА ревизије; Смернице за спровођење интерне ревизије мeђусeктoрских прoгрaмa и прojeкaта - ,,Хоризонтална ревизијаˮ.</w:t>
      </w:r>
    </w:p>
  </w:footnote>
  <w:footnote w:id="97">
    <w:p w:rsidR="00BB481C" w:rsidRPr="00A25A0C" w:rsidRDefault="00BB481C" w:rsidP="001B6DE8">
      <w:pPr>
        <w:pStyle w:val="FootnoteText"/>
        <w:spacing w:before="0"/>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w:t>
      </w:r>
      <w:r>
        <w:rPr>
          <w:rFonts w:ascii="Times New Roman" w:hAnsi="Times New Roman"/>
          <w:sz w:val="18"/>
          <w:szCs w:val="18"/>
          <w:lang w:val="sr-Cyrl-RS"/>
        </w:rPr>
        <w:t>„</w:t>
      </w:r>
      <w:r w:rsidRPr="00A25A0C">
        <w:rPr>
          <w:rFonts w:ascii="Times New Roman" w:hAnsi="Times New Roman"/>
          <w:sz w:val="18"/>
          <w:szCs w:val="18"/>
          <w:lang w:val="sr-Cyrl-RS"/>
        </w:rPr>
        <w:t>Службени гласник РС</w:t>
      </w:r>
      <w:r>
        <w:rPr>
          <w:rFonts w:ascii="Times New Roman" w:hAnsi="Times New Roman"/>
          <w:sz w:val="18"/>
          <w:szCs w:val="18"/>
          <w:lang w:val="sr-Cyrl-RS"/>
        </w:rPr>
        <w:t>”</w:t>
      </w:r>
      <w:r w:rsidRPr="00A25A0C">
        <w:rPr>
          <w:rFonts w:ascii="Times New Roman" w:hAnsi="Times New Roman"/>
          <w:sz w:val="18"/>
          <w:szCs w:val="18"/>
          <w:lang w:val="sr-Cyrl-RS"/>
        </w:rPr>
        <w:t>, бр</w:t>
      </w:r>
      <w:r>
        <w:rPr>
          <w:rFonts w:ascii="Times New Roman" w:hAnsi="Times New Roman"/>
          <w:sz w:val="18"/>
          <w:szCs w:val="18"/>
          <w:lang w:val="sr-Cyrl-RS"/>
        </w:rPr>
        <w:t>ој</w:t>
      </w:r>
      <w:r w:rsidRPr="00A25A0C">
        <w:rPr>
          <w:rFonts w:ascii="Times New Roman" w:hAnsi="Times New Roman"/>
          <w:sz w:val="18"/>
          <w:szCs w:val="18"/>
          <w:lang w:val="sr-Cyrl-RS"/>
        </w:rPr>
        <w:t xml:space="preserve"> 30/18</w:t>
      </w:r>
    </w:p>
  </w:footnote>
  <w:footnote w:id="98">
    <w:p w:rsidR="00BB481C" w:rsidRPr="00444DF1" w:rsidRDefault="00BB481C" w:rsidP="001B6DE8">
      <w:pPr>
        <w:pStyle w:val="BodyText"/>
        <w:tabs>
          <w:tab w:val="left" w:pos="0"/>
        </w:tabs>
        <w:rPr>
          <w:rFonts w:ascii="Times New Roman" w:hAnsi="Times New Roman"/>
          <w:sz w:val="18"/>
          <w:szCs w:val="18"/>
          <w:lang w:val="sr-Cyrl-RS"/>
        </w:rPr>
      </w:pPr>
      <w:r w:rsidRPr="00444DF1">
        <w:rPr>
          <w:rStyle w:val="FootnoteReference"/>
          <w:rFonts w:ascii="Times New Roman" w:hAnsi="Times New Roman"/>
          <w:sz w:val="18"/>
          <w:szCs w:val="18"/>
        </w:rPr>
        <w:footnoteRef/>
      </w:r>
      <w:r w:rsidRPr="005170C6">
        <w:rPr>
          <w:rFonts w:ascii="Times New Roman" w:hAnsi="Times New Roman"/>
          <w:sz w:val="18"/>
          <w:szCs w:val="18"/>
          <w:lang w:val="sr-Cyrl-RS"/>
        </w:rPr>
        <w:t xml:space="preserve"> </w:t>
      </w:r>
      <w:r w:rsidRPr="00444DF1">
        <w:rPr>
          <w:rFonts w:ascii="Times New Roman" w:hAnsi="Times New Roman"/>
          <w:sz w:val="18"/>
          <w:szCs w:val="18"/>
          <w:lang w:val="sr-Cyrl-RS"/>
        </w:rPr>
        <w:t>Детаљније у оквиру посебног циља 1: УНАПРЕЂЕНИ КАПАЦИТЕТИ ЗА БУЏЕТСКО ПЛАНИРАЊЕ И УПРАВЉАЊЕ ЈАВНИМ ИНВЕСТИЦИЈАМА</w:t>
      </w:r>
    </w:p>
  </w:footnote>
  <w:footnote w:id="99">
    <w:p w:rsidR="00BB481C" w:rsidRPr="00444DF1" w:rsidRDefault="00BB481C" w:rsidP="001B6DE8">
      <w:pPr>
        <w:pStyle w:val="FootnoteText"/>
        <w:spacing w:before="0"/>
        <w:jc w:val="both"/>
        <w:rPr>
          <w:rFonts w:ascii="Times New Roman" w:hAnsi="Times New Roman"/>
          <w:sz w:val="18"/>
          <w:szCs w:val="18"/>
          <w:lang w:val="sr-Cyrl-RS"/>
        </w:rPr>
      </w:pPr>
      <w:r w:rsidRPr="00444DF1">
        <w:rPr>
          <w:rStyle w:val="FootnoteReference"/>
          <w:rFonts w:ascii="Times New Roman" w:eastAsiaTheme="minorEastAsia" w:hAnsi="Times New Roman"/>
          <w:sz w:val="18"/>
          <w:szCs w:val="18"/>
        </w:rPr>
        <w:footnoteRef/>
      </w:r>
      <w:r w:rsidRPr="00444DF1">
        <w:rPr>
          <w:rFonts w:ascii="Times New Roman" w:hAnsi="Times New Roman"/>
          <w:sz w:val="18"/>
          <w:szCs w:val="18"/>
          <w:lang w:val="sr-Cyrl-RS"/>
        </w:rPr>
        <w:t xml:space="preserve"> </w:t>
      </w:r>
      <w:r w:rsidRPr="00444DF1">
        <w:rPr>
          <w:rFonts w:ascii="Times New Roman" w:hAnsi="Times New Roman"/>
          <w:sz w:val="18"/>
          <w:szCs w:val="18"/>
        </w:rPr>
        <w:t>Me</w:t>
      </w:r>
      <w:r w:rsidRPr="00444DF1">
        <w:rPr>
          <w:rFonts w:ascii="Times New Roman" w:hAnsi="Times New Roman"/>
          <w:sz w:val="18"/>
          <w:szCs w:val="18"/>
          <w:lang w:val="sr-Cyrl-RS"/>
        </w:rPr>
        <w:t>р</w:t>
      </w:r>
      <w:r w:rsidRPr="00444DF1">
        <w:rPr>
          <w:rFonts w:ascii="Times New Roman" w:hAnsi="Times New Roman"/>
          <w:sz w:val="18"/>
          <w:szCs w:val="18"/>
        </w:rPr>
        <w:t>a</w:t>
      </w:r>
      <w:r w:rsidRPr="00444DF1">
        <w:rPr>
          <w:rFonts w:ascii="Times New Roman" w:hAnsi="Times New Roman"/>
          <w:sz w:val="18"/>
          <w:szCs w:val="18"/>
          <w:lang w:val="sr-Cyrl-RS"/>
        </w:rPr>
        <w:t xml:space="preserve"> 4.1.1: Успостављање системских решења за управљачку одговорност у органима јавне управе (повећање аутономије)</w:t>
      </w:r>
    </w:p>
  </w:footnote>
  <w:footnote w:id="100">
    <w:p w:rsidR="00BB481C" w:rsidRPr="00444DF1" w:rsidRDefault="00BB481C" w:rsidP="001B6DE8">
      <w:pPr>
        <w:pStyle w:val="FootnoteText"/>
        <w:spacing w:before="0"/>
        <w:jc w:val="both"/>
        <w:rPr>
          <w:rFonts w:ascii="Times New Roman" w:hAnsi="Times New Roman"/>
          <w:sz w:val="18"/>
          <w:szCs w:val="18"/>
          <w:lang w:val="sr-Cyrl-RS"/>
        </w:rPr>
      </w:pPr>
      <w:r w:rsidRPr="00444DF1">
        <w:rPr>
          <w:rStyle w:val="FootnoteReference"/>
          <w:rFonts w:ascii="Times New Roman" w:eastAsiaTheme="minorEastAsia" w:hAnsi="Times New Roman"/>
          <w:sz w:val="18"/>
          <w:szCs w:val="18"/>
        </w:rPr>
        <w:footnoteRef/>
      </w:r>
      <w:r w:rsidRPr="00444DF1">
        <w:rPr>
          <w:rFonts w:ascii="Times New Roman" w:hAnsi="Times New Roman"/>
          <w:sz w:val="18"/>
          <w:szCs w:val="18"/>
          <w:lang w:val="sr-Cyrl-RS"/>
        </w:rPr>
        <w:t xml:space="preserve"> </w:t>
      </w:r>
      <w:r w:rsidRPr="00444DF1">
        <w:rPr>
          <w:rFonts w:ascii="Times New Roman" w:hAnsi="Times New Roman"/>
          <w:sz w:val="18"/>
          <w:szCs w:val="18"/>
        </w:rPr>
        <w:t>http</w:t>
      </w:r>
      <w:r w:rsidRPr="00444DF1">
        <w:rPr>
          <w:rFonts w:ascii="Times New Roman" w:hAnsi="Times New Roman"/>
          <w:sz w:val="18"/>
          <w:szCs w:val="18"/>
          <w:lang w:val="sr-Cyrl-RS"/>
        </w:rPr>
        <w:t>://</w:t>
      </w:r>
      <w:r w:rsidRPr="00444DF1">
        <w:rPr>
          <w:rFonts w:ascii="Times New Roman" w:hAnsi="Times New Roman"/>
          <w:sz w:val="18"/>
          <w:szCs w:val="18"/>
        </w:rPr>
        <w:t>upravljanjepromenama</w:t>
      </w:r>
      <w:r w:rsidRPr="00444DF1">
        <w:rPr>
          <w:rFonts w:ascii="Times New Roman" w:hAnsi="Times New Roman"/>
          <w:sz w:val="18"/>
          <w:szCs w:val="18"/>
          <w:lang w:val="sr-Cyrl-RS"/>
        </w:rPr>
        <w:t>.</w:t>
      </w:r>
      <w:r w:rsidRPr="00444DF1">
        <w:rPr>
          <w:rFonts w:ascii="Times New Roman" w:hAnsi="Times New Roman"/>
          <w:sz w:val="18"/>
          <w:szCs w:val="18"/>
        </w:rPr>
        <w:t>gov</w:t>
      </w:r>
      <w:r w:rsidRPr="00444DF1">
        <w:rPr>
          <w:rFonts w:ascii="Times New Roman" w:hAnsi="Times New Roman"/>
          <w:sz w:val="18"/>
          <w:szCs w:val="18"/>
          <w:lang w:val="sr-Cyrl-RS"/>
        </w:rPr>
        <w:t>.</w:t>
      </w:r>
      <w:r w:rsidRPr="00444DF1">
        <w:rPr>
          <w:rFonts w:ascii="Times New Roman" w:hAnsi="Times New Roman"/>
          <w:sz w:val="18"/>
          <w:szCs w:val="18"/>
        </w:rPr>
        <w:t>rs</w:t>
      </w:r>
      <w:r w:rsidRPr="00444DF1">
        <w:rPr>
          <w:rFonts w:ascii="Times New Roman" w:hAnsi="Times New Roman"/>
          <w:sz w:val="18"/>
          <w:szCs w:val="18"/>
          <w:lang w:val="sr-Cyrl-RS"/>
        </w:rPr>
        <w:t>/</w:t>
      </w:r>
      <w:r w:rsidRPr="00444DF1">
        <w:rPr>
          <w:rFonts w:ascii="Times New Roman" w:hAnsi="Times New Roman"/>
          <w:sz w:val="18"/>
          <w:szCs w:val="18"/>
        </w:rPr>
        <w:t>wp</w:t>
      </w:r>
      <w:r w:rsidRPr="00444DF1">
        <w:rPr>
          <w:rFonts w:ascii="Times New Roman" w:hAnsi="Times New Roman"/>
          <w:sz w:val="18"/>
          <w:szCs w:val="18"/>
          <w:lang w:val="sr-Cyrl-RS"/>
        </w:rPr>
        <w:t>-</w:t>
      </w:r>
      <w:r w:rsidRPr="00444DF1">
        <w:rPr>
          <w:rFonts w:ascii="Times New Roman" w:hAnsi="Times New Roman"/>
          <w:sz w:val="18"/>
          <w:szCs w:val="18"/>
        </w:rPr>
        <w:t>content</w:t>
      </w:r>
      <w:r w:rsidRPr="00444DF1">
        <w:rPr>
          <w:rFonts w:ascii="Times New Roman" w:hAnsi="Times New Roman"/>
          <w:sz w:val="18"/>
          <w:szCs w:val="18"/>
          <w:lang w:val="sr-Cyrl-RS"/>
        </w:rPr>
        <w:t>/</w:t>
      </w:r>
      <w:r w:rsidRPr="00444DF1">
        <w:rPr>
          <w:rFonts w:ascii="Times New Roman" w:hAnsi="Times New Roman"/>
          <w:sz w:val="18"/>
          <w:szCs w:val="18"/>
        </w:rPr>
        <w:t>uploads</w:t>
      </w:r>
      <w:r w:rsidRPr="00444DF1">
        <w:rPr>
          <w:rFonts w:ascii="Times New Roman" w:hAnsi="Times New Roman"/>
          <w:sz w:val="18"/>
          <w:szCs w:val="18"/>
          <w:lang w:val="sr-Cyrl-RS"/>
        </w:rPr>
        <w:t>/2019/02/3.2</w:t>
      </w:r>
      <w:r w:rsidRPr="00444DF1">
        <w:rPr>
          <w:rFonts w:ascii="Times New Roman" w:hAnsi="Times New Roman"/>
          <w:sz w:val="18"/>
          <w:szCs w:val="18"/>
        </w:rPr>
        <w:t>mera</w:t>
      </w:r>
      <w:r w:rsidRPr="00444DF1">
        <w:rPr>
          <w:rFonts w:ascii="Times New Roman" w:hAnsi="Times New Roman"/>
          <w:sz w:val="18"/>
          <w:szCs w:val="18"/>
          <w:lang w:val="sr-Cyrl-RS"/>
        </w:rPr>
        <w:t>_</w:t>
      </w:r>
      <w:r w:rsidRPr="00444DF1">
        <w:rPr>
          <w:rFonts w:ascii="Times New Roman" w:hAnsi="Times New Roman"/>
          <w:sz w:val="18"/>
          <w:szCs w:val="18"/>
        </w:rPr>
        <w:t>Akcioni</w:t>
      </w:r>
      <w:r w:rsidRPr="00444DF1">
        <w:rPr>
          <w:rFonts w:ascii="Times New Roman" w:hAnsi="Times New Roman"/>
          <w:sz w:val="18"/>
          <w:szCs w:val="18"/>
          <w:lang w:val="sr-Cyrl-RS"/>
        </w:rPr>
        <w:t>-</w:t>
      </w:r>
      <w:r w:rsidRPr="00444DF1">
        <w:rPr>
          <w:rFonts w:ascii="Times New Roman" w:hAnsi="Times New Roman"/>
          <w:sz w:val="18"/>
          <w:szCs w:val="18"/>
        </w:rPr>
        <w:t>plan</w:t>
      </w:r>
      <w:r w:rsidRPr="00444DF1">
        <w:rPr>
          <w:rFonts w:ascii="Times New Roman" w:hAnsi="Times New Roman"/>
          <w:sz w:val="18"/>
          <w:szCs w:val="18"/>
          <w:lang w:val="sr-Cyrl-RS"/>
        </w:rPr>
        <w:t>_-</w:t>
      </w:r>
      <w:r w:rsidRPr="00444DF1">
        <w:rPr>
          <w:rFonts w:ascii="Times New Roman" w:hAnsi="Times New Roman"/>
          <w:sz w:val="18"/>
          <w:szCs w:val="18"/>
        </w:rPr>
        <w:t>Horizontalna</w:t>
      </w:r>
      <w:r w:rsidRPr="00444DF1">
        <w:rPr>
          <w:rFonts w:ascii="Times New Roman" w:hAnsi="Times New Roman"/>
          <w:sz w:val="18"/>
          <w:szCs w:val="18"/>
          <w:lang w:val="sr-Cyrl-RS"/>
        </w:rPr>
        <w:t>-</w:t>
      </w:r>
      <w:r w:rsidRPr="00444DF1">
        <w:rPr>
          <w:rFonts w:ascii="Times New Roman" w:hAnsi="Times New Roman"/>
          <w:sz w:val="18"/>
          <w:szCs w:val="18"/>
        </w:rPr>
        <w:t>funkcionalna</w:t>
      </w:r>
      <w:r w:rsidRPr="00444DF1">
        <w:rPr>
          <w:rFonts w:ascii="Times New Roman" w:hAnsi="Times New Roman"/>
          <w:sz w:val="18"/>
          <w:szCs w:val="18"/>
          <w:lang w:val="sr-Cyrl-RS"/>
        </w:rPr>
        <w:t>-</w:t>
      </w:r>
      <w:r w:rsidRPr="00444DF1">
        <w:rPr>
          <w:rFonts w:ascii="Times New Roman" w:hAnsi="Times New Roman"/>
          <w:sz w:val="18"/>
          <w:szCs w:val="18"/>
        </w:rPr>
        <w:t>analiza</w:t>
      </w:r>
      <w:r w:rsidRPr="00444DF1">
        <w:rPr>
          <w:rFonts w:ascii="Times New Roman" w:hAnsi="Times New Roman"/>
          <w:sz w:val="18"/>
          <w:szCs w:val="18"/>
          <w:lang w:val="sr-Cyrl-RS"/>
        </w:rPr>
        <w:t>_</w:t>
      </w:r>
      <w:r w:rsidRPr="00444DF1">
        <w:rPr>
          <w:rFonts w:ascii="Times New Roman" w:hAnsi="Times New Roman"/>
          <w:sz w:val="18"/>
          <w:szCs w:val="18"/>
        </w:rPr>
        <w:t>Smernice</w:t>
      </w:r>
      <w:r w:rsidRPr="00444DF1">
        <w:rPr>
          <w:rFonts w:ascii="Times New Roman" w:hAnsi="Times New Roman"/>
          <w:sz w:val="18"/>
          <w:szCs w:val="18"/>
          <w:lang w:val="sr-Cyrl-RS"/>
        </w:rPr>
        <w:t>-</w:t>
      </w:r>
      <w:r w:rsidRPr="00444DF1">
        <w:rPr>
          <w:rFonts w:ascii="Times New Roman" w:hAnsi="Times New Roman"/>
          <w:sz w:val="18"/>
          <w:szCs w:val="18"/>
        </w:rPr>
        <w:t>za</w:t>
      </w:r>
      <w:r w:rsidRPr="00444DF1">
        <w:rPr>
          <w:rFonts w:ascii="Times New Roman" w:hAnsi="Times New Roman"/>
          <w:sz w:val="18"/>
          <w:szCs w:val="18"/>
          <w:lang w:val="sr-Cyrl-RS"/>
        </w:rPr>
        <w:t>-</w:t>
      </w:r>
      <w:r w:rsidRPr="00444DF1">
        <w:rPr>
          <w:rFonts w:ascii="Times New Roman" w:hAnsi="Times New Roman"/>
          <w:sz w:val="18"/>
          <w:szCs w:val="18"/>
        </w:rPr>
        <w:t>stratesku</w:t>
      </w:r>
      <w:r w:rsidRPr="00444DF1">
        <w:rPr>
          <w:rFonts w:ascii="Times New Roman" w:hAnsi="Times New Roman"/>
          <w:sz w:val="18"/>
          <w:szCs w:val="18"/>
          <w:lang w:val="sr-Cyrl-RS"/>
        </w:rPr>
        <w:t>-</w:t>
      </w:r>
      <w:r w:rsidRPr="00444DF1">
        <w:rPr>
          <w:rFonts w:ascii="Times New Roman" w:hAnsi="Times New Roman"/>
          <w:sz w:val="18"/>
          <w:szCs w:val="18"/>
        </w:rPr>
        <w:t>konsolidaciju</w:t>
      </w:r>
      <w:r w:rsidRPr="00444DF1">
        <w:rPr>
          <w:rFonts w:ascii="Times New Roman" w:hAnsi="Times New Roman"/>
          <w:sz w:val="18"/>
          <w:szCs w:val="18"/>
          <w:lang w:val="sr-Cyrl-RS"/>
        </w:rPr>
        <w:t>.</w:t>
      </w:r>
      <w:r w:rsidRPr="00444DF1">
        <w:rPr>
          <w:rFonts w:ascii="Times New Roman" w:hAnsi="Times New Roman"/>
          <w:sz w:val="18"/>
          <w:szCs w:val="18"/>
        </w:rPr>
        <w:t>pdf</w:t>
      </w:r>
    </w:p>
  </w:footnote>
  <w:footnote w:id="101">
    <w:p w:rsidR="00BB481C" w:rsidRPr="00444DF1" w:rsidRDefault="00BB481C" w:rsidP="001B6DE8">
      <w:pPr>
        <w:pStyle w:val="FootnoteText"/>
        <w:spacing w:before="0"/>
        <w:jc w:val="both"/>
        <w:rPr>
          <w:rFonts w:ascii="Times New Roman" w:hAnsi="Times New Roman"/>
          <w:sz w:val="18"/>
          <w:szCs w:val="18"/>
          <w:lang w:val="sr-Cyrl-RS"/>
        </w:rPr>
      </w:pPr>
      <w:r w:rsidRPr="00444DF1">
        <w:rPr>
          <w:rStyle w:val="FootnoteReference"/>
          <w:rFonts w:ascii="Times New Roman" w:eastAsiaTheme="minorEastAsia" w:hAnsi="Times New Roman"/>
          <w:sz w:val="18"/>
          <w:szCs w:val="18"/>
        </w:rPr>
        <w:footnoteRef/>
      </w:r>
      <w:r w:rsidRPr="00444DF1">
        <w:rPr>
          <w:rFonts w:ascii="Times New Roman" w:hAnsi="Times New Roman"/>
          <w:sz w:val="18"/>
          <w:szCs w:val="18"/>
          <w:lang w:val="sr-Cyrl-RS"/>
        </w:rPr>
        <w:t xml:space="preserve"> Очекује се измена </w:t>
      </w:r>
      <w:r w:rsidRPr="00B14770">
        <w:rPr>
          <w:rFonts w:ascii="Times New Roman" w:hAnsi="Times New Roman"/>
          <w:sz w:val="18"/>
          <w:szCs w:val="18"/>
          <w:lang w:val="sr-Cyrl-RS"/>
        </w:rPr>
        <w:t>Уредбе о начелима…</w:t>
      </w:r>
      <w:r w:rsidRPr="00444DF1">
        <w:rPr>
          <w:rFonts w:ascii="Times New Roman" w:hAnsi="Times New Roman"/>
          <w:sz w:val="18"/>
          <w:szCs w:val="18"/>
          <w:lang w:val="sr-Cyrl-RS"/>
        </w:rPr>
        <w:t xml:space="preserve"> која ће прописивати обавезу одређивања организационе јединице која ће се бавити овим пословима</w:t>
      </w:r>
    </w:p>
  </w:footnote>
  <w:footnote w:id="102">
    <w:p w:rsidR="00BB481C" w:rsidRPr="00690523" w:rsidRDefault="00BB481C" w:rsidP="001B6DE8">
      <w:pPr>
        <w:pStyle w:val="FootnoteText"/>
        <w:spacing w:before="0"/>
        <w:jc w:val="both"/>
        <w:rPr>
          <w:rFonts w:ascii="Times New Roman" w:hAnsi="Times New Roman"/>
          <w:sz w:val="16"/>
          <w:szCs w:val="16"/>
          <w:lang w:val="sr-Cyrl-RS"/>
        </w:rPr>
      </w:pPr>
      <w:r w:rsidRPr="00444DF1">
        <w:rPr>
          <w:rStyle w:val="FootnoteReference"/>
          <w:rFonts w:ascii="Times New Roman" w:eastAsiaTheme="minorEastAsia" w:hAnsi="Times New Roman"/>
          <w:sz w:val="18"/>
          <w:szCs w:val="18"/>
        </w:rPr>
        <w:footnoteRef/>
      </w:r>
      <w:r w:rsidRPr="00444DF1">
        <w:rPr>
          <w:rFonts w:ascii="Times New Roman" w:hAnsi="Times New Roman"/>
          <w:sz w:val="18"/>
          <w:szCs w:val="18"/>
          <w:lang w:val="sr-Cyrl-RS"/>
        </w:rPr>
        <w:t xml:space="preserve"> </w:t>
      </w:r>
      <w:r>
        <w:rPr>
          <w:rFonts w:ascii="Times New Roman" w:hAnsi="Times New Roman"/>
          <w:sz w:val="18"/>
          <w:szCs w:val="18"/>
          <w:lang w:val="sr-Cyrl-RS"/>
        </w:rPr>
        <w:t>„</w:t>
      </w:r>
      <w:r w:rsidRPr="00444DF1">
        <w:rPr>
          <w:rFonts w:ascii="Times New Roman" w:hAnsi="Times New Roman"/>
          <w:sz w:val="18"/>
          <w:szCs w:val="18"/>
          <w:lang w:val="sr-Cyrl-RS"/>
        </w:rPr>
        <w:t>Службени гласник РС</w:t>
      </w:r>
      <w:r>
        <w:rPr>
          <w:rFonts w:ascii="Times New Roman" w:hAnsi="Times New Roman"/>
          <w:sz w:val="18"/>
          <w:szCs w:val="18"/>
          <w:lang w:val="sr-Cyrl-RS"/>
        </w:rPr>
        <w:t>”</w:t>
      </w:r>
      <w:r w:rsidRPr="00444DF1">
        <w:rPr>
          <w:rFonts w:ascii="Times New Roman" w:hAnsi="Times New Roman"/>
          <w:sz w:val="18"/>
          <w:szCs w:val="18"/>
          <w:lang w:val="sr-Cyrl-RS"/>
        </w:rPr>
        <w:t>, бр</w:t>
      </w:r>
      <w:r>
        <w:rPr>
          <w:rFonts w:ascii="Times New Roman" w:hAnsi="Times New Roman"/>
          <w:sz w:val="18"/>
          <w:szCs w:val="18"/>
          <w:lang w:val="sr-Cyrl-RS"/>
        </w:rPr>
        <w:t>ој</w:t>
      </w:r>
      <w:r w:rsidRPr="00444DF1">
        <w:rPr>
          <w:rFonts w:ascii="Times New Roman" w:hAnsi="Times New Roman"/>
          <w:sz w:val="18"/>
          <w:szCs w:val="18"/>
          <w:lang w:val="sr-Cyrl-RS"/>
        </w:rPr>
        <w:t xml:space="preserve"> 4/19</w:t>
      </w:r>
    </w:p>
  </w:footnote>
  <w:footnote w:id="103">
    <w:p w:rsidR="00BB481C" w:rsidRPr="00755528" w:rsidRDefault="00BB481C" w:rsidP="001B6DE8">
      <w:pPr>
        <w:spacing w:before="0" w:after="0" w:line="240" w:lineRule="auto"/>
        <w:jc w:val="both"/>
        <w:rPr>
          <w:rFonts w:ascii="Times New Roman" w:hAnsi="Times New Roman" w:cs="Times New Roman"/>
          <w:sz w:val="18"/>
          <w:szCs w:val="18"/>
          <w:lang w:val="sr-Cyrl-RS"/>
        </w:rPr>
      </w:pPr>
      <w:r w:rsidRPr="00755528">
        <w:rPr>
          <w:rStyle w:val="FootnoteReference"/>
          <w:rFonts w:ascii="Times New Roman" w:hAnsi="Times New Roman" w:cs="Times New Roman"/>
          <w:sz w:val="18"/>
          <w:szCs w:val="18"/>
        </w:rPr>
        <w:footnoteRef/>
      </w:r>
      <w:r w:rsidRPr="005170C6">
        <w:rPr>
          <w:rFonts w:ascii="Times New Roman" w:hAnsi="Times New Roman" w:cs="Times New Roman"/>
          <w:sz w:val="18"/>
          <w:szCs w:val="18"/>
          <w:lang w:val="sr-Cyrl-RS"/>
        </w:rPr>
        <w:t xml:space="preserve"> </w:t>
      </w:r>
      <w:r w:rsidRPr="00755528">
        <w:rPr>
          <w:rFonts w:ascii="Times New Roman" w:hAnsi="Times New Roman" w:cs="Times New Roman"/>
          <w:sz w:val="18"/>
          <w:szCs w:val="18"/>
          <w:lang w:val="sr-Cyrl-RS"/>
        </w:rPr>
        <w:t>Више о овом сегменту видети у оквиру посебног циља ПАР Стратегије који се бави развојем људских ресурса а елементи управљања људским ресурсима су описани у делу ниже који описује контролно окружење.</w:t>
      </w:r>
    </w:p>
  </w:footnote>
  <w:footnote w:id="104">
    <w:p w:rsidR="00BB481C" w:rsidRPr="00755528" w:rsidRDefault="00BB481C" w:rsidP="001B6DE8">
      <w:pPr>
        <w:pStyle w:val="FootnoteText"/>
        <w:spacing w:before="0"/>
        <w:jc w:val="both"/>
        <w:rPr>
          <w:rFonts w:ascii="Times New Roman" w:hAnsi="Times New Roman"/>
          <w:sz w:val="18"/>
          <w:szCs w:val="18"/>
          <w:lang w:val="sr-Cyrl-RS"/>
        </w:rPr>
      </w:pPr>
      <w:r w:rsidRPr="00755528">
        <w:rPr>
          <w:rStyle w:val="FootnoteReference"/>
          <w:rFonts w:ascii="Times New Roman" w:eastAsiaTheme="minorEastAsia" w:hAnsi="Times New Roman"/>
          <w:sz w:val="18"/>
          <w:szCs w:val="18"/>
        </w:rPr>
        <w:footnoteRef/>
      </w:r>
      <w:r w:rsidRPr="00755528">
        <w:rPr>
          <w:rFonts w:ascii="Times New Roman" w:hAnsi="Times New Roman"/>
          <w:sz w:val="18"/>
          <w:szCs w:val="18"/>
          <w:lang w:val="sr-Cyrl-RS"/>
        </w:rPr>
        <w:t xml:space="preserve"> „Служб</w:t>
      </w:r>
      <w:r w:rsidRPr="00755528">
        <w:rPr>
          <w:rFonts w:ascii="Times New Roman" w:hAnsi="Times New Roman"/>
          <w:sz w:val="18"/>
          <w:szCs w:val="18"/>
        </w:rPr>
        <w:t>e</w:t>
      </w:r>
      <w:r w:rsidRPr="00755528">
        <w:rPr>
          <w:rFonts w:ascii="Times New Roman" w:hAnsi="Times New Roman"/>
          <w:sz w:val="18"/>
          <w:szCs w:val="18"/>
          <w:lang w:val="sr-Cyrl-RS"/>
        </w:rPr>
        <w:t>ни гл</w:t>
      </w:r>
      <w:r w:rsidRPr="00755528">
        <w:rPr>
          <w:rFonts w:ascii="Times New Roman" w:hAnsi="Times New Roman"/>
          <w:sz w:val="18"/>
          <w:szCs w:val="18"/>
        </w:rPr>
        <w:t>a</w:t>
      </w:r>
      <w:r w:rsidRPr="00755528">
        <w:rPr>
          <w:rFonts w:ascii="Times New Roman" w:hAnsi="Times New Roman"/>
          <w:sz w:val="18"/>
          <w:szCs w:val="18"/>
          <w:lang w:val="sr-Cyrl-RS"/>
        </w:rPr>
        <w:t>сник РСˮ, бр</w:t>
      </w:r>
      <w:r>
        <w:rPr>
          <w:rFonts w:ascii="Times New Roman" w:hAnsi="Times New Roman"/>
          <w:sz w:val="18"/>
          <w:szCs w:val="18"/>
          <w:lang w:val="sr-Cyrl-RS"/>
        </w:rPr>
        <w:t>ој</w:t>
      </w:r>
      <w:r w:rsidRPr="00755528">
        <w:rPr>
          <w:rFonts w:ascii="Times New Roman" w:hAnsi="Times New Roman"/>
          <w:sz w:val="18"/>
          <w:szCs w:val="18"/>
          <w:lang w:val="sr-Cyrl-RS"/>
        </w:rPr>
        <w:t xml:space="preserve"> 89/19</w:t>
      </w:r>
    </w:p>
  </w:footnote>
  <w:footnote w:id="105">
    <w:p w:rsidR="00BB481C" w:rsidRPr="00755528" w:rsidRDefault="00BB481C" w:rsidP="001B6DE8">
      <w:pPr>
        <w:pStyle w:val="FootnoteText"/>
        <w:spacing w:before="0"/>
        <w:jc w:val="both"/>
        <w:rPr>
          <w:rFonts w:ascii="Times New Roman" w:hAnsi="Times New Roman"/>
          <w:sz w:val="18"/>
          <w:szCs w:val="18"/>
          <w:lang w:val="sr-Cyrl-RS"/>
        </w:rPr>
      </w:pPr>
      <w:r w:rsidRPr="00755528">
        <w:rPr>
          <w:rStyle w:val="FootnoteReference"/>
          <w:rFonts w:ascii="Times New Roman" w:eastAsiaTheme="minorEastAsia" w:hAnsi="Times New Roman"/>
          <w:sz w:val="18"/>
          <w:szCs w:val="18"/>
        </w:rPr>
        <w:footnoteRef/>
      </w:r>
      <w:r w:rsidRPr="00755528">
        <w:rPr>
          <w:rFonts w:ascii="Times New Roman" w:hAnsi="Times New Roman"/>
          <w:sz w:val="18"/>
          <w:szCs w:val="18"/>
          <w:lang w:val="sr-Cyrl-RS"/>
        </w:rPr>
        <w:t xml:space="preserve"> </w:t>
      </w:r>
      <w:r w:rsidRPr="00755528">
        <w:rPr>
          <w:rFonts w:ascii="Times New Roman" w:hAnsi="Times New Roman"/>
          <w:sz w:val="18"/>
          <w:szCs w:val="18"/>
        </w:rPr>
        <w:t>https</w:t>
      </w:r>
      <w:r w:rsidRPr="00755528">
        <w:rPr>
          <w:rFonts w:ascii="Times New Roman" w:hAnsi="Times New Roman"/>
          <w:sz w:val="18"/>
          <w:szCs w:val="18"/>
          <w:lang w:val="sr-Cyrl-RS"/>
        </w:rPr>
        <w:t>://</w:t>
      </w:r>
      <w:r w:rsidRPr="00755528">
        <w:rPr>
          <w:rFonts w:ascii="Times New Roman" w:hAnsi="Times New Roman"/>
          <w:sz w:val="18"/>
          <w:szCs w:val="18"/>
        </w:rPr>
        <w:t>www</w:t>
      </w:r>
      <w:r w:rsidRPr="00755528">
        <w:rPr>
          <w:rFonts w:ascii="Times New Roman" w:hAnsi="Times New Roman"/>
          <w:sz w:val="18"/>
          <w:szCs w:val="18"/>
          <w:lang w:val="sr-Cyrl-RS"/>
        </w:rPr>
        <w:t>.</w:t>
      </w:r>
      <w:r w:rsidRPr="00755528">
        <w:rPr>
          <w:rFonts w:ascii="Times New Roman" w:hAnsi="Times New Roman"/>
          <w:sz w:val="18"/>
          <w:szCs w:val="18"/>
        </w:rPr>
        <w:t>mfin</w:t>
      </w:r>
      <w:r w:rsidRPr="00755528">
        <w:rPr>
          <w:rFonts w:ascii="Times New Roman" w:hAnsi="Times New Roman"/>
          <w:sz w:val="18"/>
          <w:szCs w:val="18"/>
          <w:lang w:val="sr-Cyrl-RS"/>
        </w:rPr>
        <w:t>.</w:t>
      </w:r>
      <w:r w:rsidRPr="00755528">
        <w:rPr>
          <w:rFonts w:ascii="Times New Roman" w:hAnsi="Times New Roman"/>
          <w:sz w:val="18"/>
          <w:szCs w:val="18"/>
        </w:rPr>
        <w:t>gov</w:t>
      </w:r>
      <w:r w:rsidRPr="00755528">
        <w:rPr>
          <w:rFonts w:ascii="Times New Roman" w:hAnsi="Times New Roman"/>
          <w:sz w:val="18"/>
          <w:szCs w:val="18"/>
          <w:lang w:val="sr-Cyrl-RS"/>
        </w:rPr>
        <w:t>.</w:t>
      </w:r>
      <w:r w:rsidRPr="00755528">
        <w:rPr>
          <w:rFonts w:ascii="Times New Roman" w:hAnsi="Times New Roman"/>
          <w:sz w:val="18"/>
          <w:szCs w:val="18"/>
        </w:rPr>
        <w:t>rs</w:t>
      </w:r>
      <w:r w:rsidRPr="00755528">
        <w:rPr>
          <w:rFonts w:ascii="Times New Roman" w:hAnsi="Times New Roman"/>
          <w:sz w:val="18"/>
          <w:szCs w:val="18"/>
          <w:lang w:val="sr-Cyrl-RS"/>
        </w:rPr>
        <w:t>/</w:t>
      </w:r>
      <w:r w:rsidRPr="00755528">
        <w:rPr>
          <w:rFonts w:ascii="Times New Roman" w:hAnsi="Times New Roman"/>
          <w:sz w:val="18"/>
          <w:szCs w:val="18"/>
        </w:rPr>
        <w:t>wp</w:t>
      </w:r>
      <w:r w:rsidRPr="00755528">
        <w:rPr>
          <w:rFonts w:ascii="Times New Roman" w:hAnsi="Times New Roman"/>
          <w:sz w:val="18"/>
          <w:szCs w:val="18"/>
          <w:lang w:val="sr-Cyrl-RS"/>
        </w:rPr>
        <w:t>-</w:t>
      </w:r>
      <w:r w:rsidRPr="00755528">
        <w:rPr>
          <w:rFonts w:ascii="Times New Roman" w:hAnsi="Times New Roman"/>
          <w:sz w:val="18"/>
          <w:szCs w:val="18"/>
        </w:rPr>
        <w:t>content</w:t>
      </w:r>
      <w:r w:rsidRPr="00755528">
        <w:rPr>
          <w:rFonts w:ascii="Times New Roman" w:hAnsi="Times New Roman"/>
          <w:sz w:val="18"/>
          <w:szCs w:val="18"/>
          <w:lang w:val="sr-Cyrl-RS"/>
        </w:rPr>
        <w:t>/</w:t>
      </w:r>
      <w:r w:rsidRPr="00755528">
        <w:rPr>
          <w:rFonts w:ascii="Times New Roman" w:hAnsi="Times New Roman"/>
          <w:sz w:val="18"/>
          <w:szCs w:val="18"/>
        </w:rPr>
        <w:t>uploads</w:t>
      </w:r>
      <w:r w:rsidRPr="00755528">
        <w:rPr>
          <w:rFonts w:ascii="Times New Roman" w:hAnsi="Times New Roman"/>
          <w:sz w:val="18"/>
          <w:szCs w:val="18"/>
          <w:lang w:val="sr-Cyrl-RS"/>
        </w:rPr>
        <w:t>/2019/10/</w:t>
      </w:r>
      <w:r w:rsidRPr="00755528">
        <w:rPr>
          <w:rFonts w:ascii="Times New Roman" w:hAnsi="Times New Roman"/>
          <w:sz w:val="18"/>
          <w:szCs w:val="18"/>
        </w:rPr>
        <w:t>Smernice</w:t>
      </w:r>
      <w:r w:rsidRPr="00755528">
        <w:rPr>
          <w:rFonts w:ascii="Times New Roman" w:hAnsi="Times New Roman"/>
          <w:sz w:val="18"/>
          <w:szCs w:val="18"/>
          <w:lang w:val="sr-Cyrl-RS"/>
        </w:rPr>
        <w:t>-</w:t>
      </w:r>
      <w:r w:rsidRPr="00755528">
        <w:rPr>
          <w:rFonts w:ascii="Times New Roman" w:hAnsi="Times New Roman"/>
          <w:sz w:val="18"/>
          <w:szCs w:val="18"/>
        </w:rPr>
        <w:t>o</w:t>
      </w:r>
      <w:r w:rsidRPr="00755528">
        <w:rPr>
          <w:rFonts w:ascii="Times New Roman" w:hAnsi="Times New Roman"/>
          <w:sz w:val="18"/>
          <w:szCs w:val="18"/>
          <w:lang w:val="sr-Cyrl-RS"/>
        </w:rPr>
        <w:t>-</w:t>
      </w:r>
      <w:r w:rsidRPr="00755528">
        <w:rPr>
          <w:rFonts w:ascii="Times New Roman" w:hAnsi="Times New Roman"/>
          <w:sz w:val="18"/>
          <w:szCs w:val="18"/>
        </w:rPr>
        <w:t>upravljackoj</w:t>
      </w:r>
      <w:r w:rsidRPr="00755528">
        <w:rPr>
          <w:rFonts w:ascii="Times New Roman" w:hAnsi="Times New Roman"/>
          <w:sz w:val="18"/>
          <w:szCs w:val="18"/>
          <w:lang w:val="sr-Cyrl-RS"/>
        </w:rPr>
        <w:t>-</w:t>
      </w:r>
      <w:r w:rsidRPr="00755528">
        <w:rPr>
          <w:rFonts w:ascii="Times New Roman" w:hAnsi="Times New Roman"/>
          <w:sz w:val="18"/>
          <w:szCs w:val="18"/>
        </w:rPr>
        <w:t>odgovornosti</w:t>
      </w:r>
      <w:r w:rsidRPr="00755528">
        <w:rPr>
          <w:rFonts w:ascii="Times New Roman" w:hAnsi="Times New Roman"/>
          <w:sz w:val="18"/>
          <w:szCs w:val="18"/>
          <w:lang w:val="sr-Cyrl-RS"/>
        </w:rPr>
        <w:t>.</w:t>
      </w:r>
      <w:r w:rsidRPr="00755528">
        <w:rPr>
          <w:rFonts w:ascii="Times New Roman" w:hAnsi="Times New Roman"/>
          <w:sz w:val="18"/>
          <w:szCs w:val="18"/>
        </w:rPr>
        <w:t>pdf</w:t>
      </w:r>
    </w:p>
  </w:footnote>
  <w:footnote w:id="106">
    <w:p w:rsidR="00BB481C" w:rsidRPr="00755528" w:rsidRDefault="00BB481C" w:rsidP="001B6DE8">
      <w:pPr>
        <w:pStyle w:val="FootnoteText"/>
        <w:spacing w:before="0"/>
        <w:jc w:val="both"/>
        <w:rPr>
          <w:rFonts w:ascii="Times New Roman" w:hAnsi="Times New Roman"/>
          <w:sz w:val="18"/>
          <w:szCs w:val="18"/>
          <w:lang w:val="sr-Cyrl-RS"/>
        </w:rPr>
      </w:pPr>
      <w:r w:rsidRPr="00755528">
        <w:rPr>
          <w:rStyle w:val="FootnoteReference"/>
          <w:rFonts w:ascii="Times New Roman" w:eastAsiaTheme="minorEastAsia" w:hAnsi="Times New Roman"/>
          <w:sz w:val="18"/>
          <w:szCs w:val="18"/>
        </w:rPr>
        <w:footnoteRef/>
      </w:r>
      <w:r w:rsidRPr="00755528">
        <w:rPr>
          <w:rFonts w:ascii="Times New Roman" w:hAnsi="Times New Roman"/>
          <w:sz w:val="18"/>
          <w:szCs w:val="18"/>
          <w:lang w:val="sr-Cyrl-RS"/>
        </w:rPr>
        <w:t xml:space="preserve"> </w:t>
      </w:r>
      <w:r w:rsidRPr="00755528">
        <w:rPr>
          <w:rFonts w:ascii="Times New Roman" w:hAnsi="Times New Roman"/>
          <w:sz w:val="18"/>
          <w:szCs w:val="18"/>
        </w:rPr>
        <w:t>https</w:t>
      </w:r>
      <w:r w:rsidRPr="00755528">
        <w:rPr>
          <w:rFonts w:ascii="Times New Roman" w:hAnsi="Times New Roman"/>
          <w:sz w:val="18"/>
          <w:szCs w:val="18"/>
          <w:lang w:val="sr-Cyrl-RS"/>
        </w:rPr>
        <w:t>://</w:t>
      </w:r>
      <w:r w:rsidRPr="00755528">
        <w:rPr>
          <w:rFonts w:ascii="Times New Roman" w:hAnsi="Times New Roman"/>
          <w:sz w:val="18"/>
          <w:szCs w:val="18"/>
        </w:rPr>
        <w:t>www</w:t>
      </w:r>
      <w:r w:rsidRPr="00755528">
        <w:rPr>
          <w:rFonts w:ascii="Times New Roman" w:hAnsi="Times New Roman"/>
          <w:sz w:val="18"/>
          <w:szCs w:val="18"/>
          <w:lang w:val="sr-Cyrl-RS"/>
        </w:rPr>
        <w:t>.</w:t>
      </w:r>
      <w:r w:rsidRPr="00755528">
        <w:rPr>
          <w:rFonts w:ascii="Times New Roman" w:hAnsi="Times New Roman"/>
          <w:sz w:val="18"/>
          <w:szCs w:val="18"/>
        </w:rPr>
        <w:t>mfin</w:t>
      </w:r>
      <w:r w:rsidRPr="00755528">
        <w:rPr>
          <w:rFonts w:ascii="Times New Roman" w:hAnsi="Times New Roman"/>
          <w:sz w:val="18"/>
          <w:szCs w:val="18"/>
          <w:lang w:val="sr-Cyrl-RS"/>
        </w:rPr>
        <w:t>.</w:t>
      </w:r>
      <w:r w:rsidRPr="00755528">
        <w:rPr>
          <w:rFonts w:ascii="Times New Roman" w:hAnsi="Times New Roman"/>
          <w:sz w:val="18"/>
          <w:szCs w:val="18"/>
        </w:rPr>
        <w:t>gov</w:t>
      </w:r>
      <w:r w:rsidRPr="00755528">
        <w:rPr>
          <w:rFonts w:ascii="Times New Roman" w:hAnsi="Times New Roman"/>
          <w:sz w:val="18"/>
          <w:szCs w:val="18"/>
          <w:lang w:val="sr-Cyrl-RS"/>
        </w:rPr>
        <w:t>.</w:t>
      </w:r>
      <w:r w:rsidRPr="00755528">
        <w:rPr>
          <w:rFonts w:ascii="Times New Roman" w:hAnsi="Times New Roman"/>
          <w:sz w:val="18"/>
          <w:szCs w:val="18"/>
        </w:rPr>
        <w:t>rs</w:t>
      </w:r>
      <w:r w:rsidRPr="00755528">
        <w:rPr>
          <w:rFonts w:ascii="Times New Roman" w:hAnsi="Times New Roman"/>
          <w:sz w:val="18"/>
          <w:szCs w:val="18"/>
          <w:lang w:val="sr-Cyrl-RS"/>
        </w:rPr>
        <w:t>/</w:t>
      </w:r>
      <w:r w:rsidRPr="00755528">
        <w:rPr>
          <w:rFonts w:ascii="Times New Roman" w:hAnsi="Times New Roman"/>
          <w:sz w:val="18"/>
          <w:szCs w:val="18"/>
        </w:rPr>
        <w:t>wp</w:t>
      </w:r>
      <w:r w:rsidRPr="00755528">
        <w:rPr>
          <w:rFonts w:ascii="Times New Roman" w:hAnsi="Times New Roman"/>
          <w:sz w:val="18"/>
          <w:szCs w:val="18"/>
          <w:lang w:val="sr-Cyrl-RS"/>
        </w:rPr>
        <w:t>-</w:t>
      </w:r>
      <w:r w:rsidRPr="00755528">
        <w:rPr>
          <w:rFonts w:ascii="Times New Roman" w:hAnsi="Times New Roman"/>
          <w:sz w:val="18"/>
          <w:szCs w:val="18"/>
        </w:rPr>
        <w:t>content</w:t>
      </w:r>
      <w:r w:rsidRPr="00755528">
        <w:rPr>
          <w:rFonts w:ascii="Times New Roman" w:hAnsi="Times New Roman"/>
          <w:sz w:val="18"/>
          <w:szCs w:val="18"/>
          <w:lang w:val="sr-Cyrl-RS"/>
        </w:rPr>
        <w:t>/</w:t>
      </w:r>
      <w:r w:rsidRPr="00755528">
        <w:rPr>
          <w:rFonts w:ascii="Times New Roman" w:hAnsi="Times New Roman"/>
          <w:sz w:val="18"/>
          <w:szCs w:val="18"/>
        </w:rPr>
        <w:t>uploads</w:t>
      </w:r>
      <w:r w:rsidRPr="00755528">
        <w:rPr>
          <w:rFonts w:ascii="Times New Roman" w:hAnsi="Times New Roman"/>
          <w:sz w:val="18"/>
          <w:szCs w:val="18"/>
          <w:lang w:val="sr-Cyrl-RS"/>
        </w:rPr>
        <w:t>/2019/10/</w:t>
      </w:r>
      <w:r w:rsidRPr="00755528">
        <w:rPr>
          <w:rFonts w:ascii="Times New Roman" w:hAnsi="Times New Roman"/>
          <w:sz w:val="18"/>
          <w:szCs w:val="18"/>
        </w:rPr>
        <w:t>smernice</w:t>
      </w:r>
      <w:r w:rsidRPr="00755528">
        <w:rPr>
          <w:rFonts w:ascii="Times New Roman" w:hAnsi="Times New Roman"/>
          <w:sz w:val="18"/>
          <w:szCs w:val="18"/>
          <w:lang w:val="sr-Cyrl-RS"/>
        </w:rPr>
        <w:t>-</w:t>
      </w:r>
      <w:r w:rsidRPr="00755528">
        <w:rPr>
          <w:rFonts w:ascii="Times New Roman" w:hAnsi="Times New Roman"/>
          <w:sz w:val="18"/>
          <w:szCs w:val="18"/>
        </w:rPr>
        <w:t>o</w:t>
      </w:r>
      <w:r w:rsidRPr="00755528">
        <w:rPr>
          <w:rFonts w:ascii="Times New Roman" w:hAnsi="Times New Roman"/>
          <w:sz w:val="18"/>
          <w:szCs w:val="18"/>
          <w:lang w:val="sr-Cyrl-RS"/>
        </w:rPr>
        <w:t>-</w:t>
      </w:r>
      <w:r w:rsidRPr="00755528">
        <w:rPr>
          <w:rFonts w:ascii="Times New Roman" w:hAnsi="Times New Roman"/>
          <w:sz w:val="18"/>
          <w:szCs w:val="18"/>
        </w:rPr>
        <w:t>delegiranju</w:t>
      </w:r>
      <w:r w:rsidRPr="00755528">
        <w:rPr>
          <w:rFonts w:ascii="Times New Roman" w:hAnsi="Times New Roman"/>
          <w:sz w:val="18"/>
          <w:szCs w:val="18"/>
          <w:lang w:val="sr-Cyrl-RS"/>
        </w:rPr>
        <w:t>.</w:t>
      </w:r>
      <w:r w:rsidRPr="00755528">
        <w:rPr>
          <w:rFonts w:ascii="Times New Roman" w:hAnsi="Times New Roman"/>
          <w:sz w:val="18"/>
          <w:szCs w:val="18"/>
        </w:rPr>
        <w:t>pdf</w:t>
      </w:r>
    </w:p>
  </w:footnote>
  <w:footnote w:id="107">
    <w:p w:rsidR="00BB481C" w:rsidRPr="00755528" w:rsidRDefault="00BB481C" w:rsidP="001B6DE8">
      <w:pPr>
        <w:pStyle w:val="FootnoteText"/>
        <w:spacing w:before="0"/>
        <w:jc w:val="both"/>
        <w:rPr>
          <w:rFonts w:ascii="Times New Roman" w:hAnsi="Times New Roman"/>
          <w:sz w:val="18"/>
          <w:szCs w:val="18"/>
          <w:lang w:val="sr-Cyrl-RS"/>
        </w:rPr>
      </w:pPr>
      <w:r w:rsidRPr="00755528">
        <w:rPr>
          <w:rStyle w:val="FootnoteReference"/>
          <w:rFonts w:ascii="Times New Roman" w:eastAsiaTheme="minorEastAsia" w:hAnsi="Times New Roman"/>
          <w:sz w:val="18"/>
          <w:szCs w:val="18"/>
        </w:rPr>
        <w:footnoteRef/>
      </w:r>
      <w:r w:rsidRPr="00755528">
        <w:rPr>
          <w:rFonts w:ascii="Times New Roman" w:hAnsi="Times New Roman"/>
          <w:sz w:val="18"/>
          <w:szCs w:val="18"/>
          <w:lang w:val="sr-Cyrl-RS"/>
        </w:rPr>
        <w:t xml:space="preserve"> </w:t>
      </w:r>
      <w:r w:rsidRPr="00755528">
        <w:rPr>
          <w:rFonts w:ascii="Times New Roman" w:hAnsi="Times New Roman"/>
          <w:sz w:val="18"/>
          <w:szCs w:val="18"/>
        </w:rPr>
        <w:t>https</w:t>
      </w:r>
      <w:r w:rsidRPr="00755528">
        <w:rPr>
          <w:rFonts w:ascii="Times New Roman" w:hAnsi="Times New Roman"/>
          <w:sz w:val="18"/>
          <w:szCs w:val="18"/>
          <w:lang w:val="sr-Cyrl-RS"/>
        </w:rPr>
        <w:t>://</w:t>
      </w:r>
      <w:r w:rsidRPr="00755528">
        <w:rPr>
          <w:rFonts w:ascii="Times New Roman" w:hAnsi="Times New Roman"/>
          <w:sz w:val="18"/>
          <w:szCs w:val="18"/>
        </w:rPr>
        <w:t>www</w:t>
      </w:r>
      <w:r w:rsidRPr="00755528">
        <w:rPr>
          <w:rFonts w:ascii="Times New Roman" w:hAnsi="Times New Roman"/>
          <w:sz w:val="18"/>
          <w:szCs w:val="18"/>
          <w:lang w:val="sr-Cyrl-RS"/>
        </w:rPr>
        <w:t>.</w:t>
      </w:r>
      <w:r w:rsidRPr="00755528">
        <w:rPr>
          <w:rFonts w:ascii="Times New Roman" w:hAnsi="Times New Roman"/>
          <w:sz w:val="18"/>
          <w:szCs w:val="18"/>
        </w:rPr>
        <w:t>mfin</w:t>
      </w:r>
      <w:r w:rsidRPr="00755528">
        <w:rPr>
          <w:rFonts w:ascii="Times New Roman" w:hAnsi="Times New Roman"/>
          <w:sz w:val="18"/>
          <w:szCs w:val="18"/>
          <w:lang w:val="sr-Cyrl-RS"/>
        </w:rPr>
        <w:t>.</w:t>
      </w:r>
      <w:r w:rsidRPr="00755528">
        <w:rPr>
          <w:rFonts w:ascii="Times New Roman" w:hAnsi="Times New Roman"/>
          <w:sz w:val="18"/>
          <w:szCs w:val="18"/>
        </w:rPr>
        <w:t>gov</w:t>
      </w:r>
      <w:r w:rsidRPr="00755528">
        <w:rPr>
          <w:rFonts w:ascii="Times New Roman" w:hAnsi="Times New Roman"/>
          <w:sz w:val="18"/>
          <w:szCs w:val="18"/>
          <w:lang w:val="sr-Cyrl-RS"/>
        </w:rPr>
        <w:t>.</w:t>
      </w:r>
      <w:r w:rsidRPr="00755528">
        <w:rPr>
          <w:rFonts w:ascii="Times New Roman" w:hAnsi="Times New Roman"/>
          <w:sz w:val="18"/>
          <w:szCs w:val="18"/>
        </w:rPr>
        <w:t>rs</w:t>
      </w:r>
      <w:r w:rsidRPr="00755528">
        <w:rPr>
          <w:rFonts w:ascii="Times New Roman" w:hAnsi="Times New Roman"/>
          <w:sz w:val="18"/>
          <w:szCs w:val="18"/>
          <w:lang w:val="sr-Cyrl-RS"/>
        </w:rPr>
        <w:t>/</w:t>
      </w:r>
      <w:r w:rsidRPr="00755528">
        <w:rPr>
          <w:rFonts w:ascii="Times New Roman" w:hAnsi="Times New Roman"/>
          <w:sz w:val="18"/>
          <w:szCs w:val="18"/>
        </w:rPr>
        <w:t>o</w:t>
      </w:r>
      <w:r w:rsidRPr="00755528">
        <w:rPr>
          <w:rFonts w:ascii="Times New Roman" w:hAnsi="Times New Roman"/>
          <w:sz w:val="18"/>
          <w:szCs w:val="18"/>
          <w:lang w:val="sr-Cyrl-RS"/>
        </w:rPr>
        <w:t>-</w:t>
      </w:r>
      <w:r w:rsidRPr="00755528">
        <w:rPr>
          <w:rFonts w:ascii="Times New Roman" w:hAnsi="Times New Roman"/>
          <w:sz w:val="18"/>
          <w:szCs w:val="18"/>
        </w:rPr>
        <w:t>ministarstvu</w:t>
      </w:r>
      <w:r w:rsidRPr="00755528">
        <w:rPr>
          <w:rFonts w:ascii="Times New Roman" w:hAnsi="Times New Roman"/>
          <w:sz w:val="18"/>
          <w:szCs w:val="18"/>
          <w:lang w:val="sr-Cyrl-RS"/>
        </w:rPr>
        <w:t>/</w:t>
      </w:r>
      <w:r w:rsidRPr="00755528">
        <w:rPr>
          <w:rFonts w:ascii="Times New Roman" w:hAnsi="Times New Roman"/>
          <w:sz w:val="18"/>
          <w:szCs w:val="18"/>
        </w:rPr>
        <w:t>e</w:t>
      </w:r>
      <w:r w:rsidRPr="00755528">
        <w:rPr>
          <w:rFonts w:ascii="Times New Roman" w:hAnsi="Times New Roman"/>
          <w:sz w:val="18"/>
          <w:szCs w:val="18"/>
          <w:lang w:val="sr-Cyrl-RS"/>
        </w:rPr>
        <w:t>-</w:t>
      </w:r>
      <w:r w:rsidRPr="00755528">
        <w:rPr>
          <w:rFonts w:ascii="Times New Roman" w:hAnsi="Times New Roman"/>
          <w:sz w:val="18"/>
          <w:szCs w:val="18"/>
        </w:rPr>
        <w:t>learning</w:t>
      </w:r>
      <w:r w:rsidRPr="00755528">
        <w:rPr>
          <w:rFonts w:ascii="Times New Roman" w:hAnsi="Times New Roman"/>
          <w:sz w:val="18"/>
          <w:szCs w:val="18"/>
          <w:lang w:val="sr-Cyrl-RS"/>
        </w:rPr>
        <w:t>-</w:t>
      </w:r>
      <w:r w:rsidRPr="00755528">
        <w:rPr>
          <w:rFonts w:ascii="Times New Roman" w:hAnsi="Times New Roman"/>
          <w:sz w:val="18"/>
          <w:szCs w:val="18"/>
        </w:rPr>
        <w:t>upravljacka</w:t>
      </w:r>
      <w:r w:rsidRPr="00755528">
        <w:rPr>
          <w:rFonts w:ascii="Times New Roman" w:hAnsi="Times New Roman"/>
          <w:sz w:val="18"/>
          <w:szCs w:val="18"/>
          <w:lang w:val="sr-Cyrl-RS"/>
        </w:rPr>
        <w:t>-</w:t>
      </w:r>
      <w:r w:rsidRPr="00755528">
        <w:rPr>
          <w:rFonts w:ascii="Times New Roman" w:hAnsi="Times New Roman"/>
          <w:sz w:val="18"/>
          <w:szCs w:val="18"/>
        </w:rPr>
        <w:t>odgovornost</w:t>
      </w:r>
      <w:r w:rsidRPr="00755528">
        <w:rPr>
          <w:rFonts w:ascii="Times New Roman" w:hAnsi="Times New Roman"/>
          <w:sz w:val="18"/>
          <w:szCs w:val="18"/>
          <w:lang w:val="sr-Cyrl-RS"/>
        </w:rPr>
        <w:t>/</w:t>
      </w:r>
    </w:p>
  </w:footnote>
  <w:footnote w:id="108">
    <w:p w:rsidR="00BB481C" w:rsidRPr="00A25A0C" w:rsidRDefault="00BB481C" w:rsidP="001B6DE8">
      <w:pPr>
        <w:spacing w:before="0" w:after="0" w:line="240" w:lineRule="auto"/>
        <w:jc w:val="both"/>
        <w:rPr>
          <w:rFonts w:ascii="Times New Roman" w:hAnsi="Times New Roman" w:cs="Times New Roman"/>
          <w:sz w:val="18"/>
          <w:szCs w:val="18"/>
          <w:lang w:val="sr-Cyrl-RS"/>
        </w:rPr>
      </w:pPr>
      <w:r w:rsidRPr="00A25A0C">
        <w:rPr>
          <w:rStyle w:val="FootnoteReference"/>
          <w:rFonts w:ascii="Times New Roman" w:hAnsi="Times New Roman" w:cs="Times New Roman"/>
          <w:sz w:val="18"/>
          <w:szCs w:val="18"/>
        </w:rPr>
        <w:footnoteRef/>
      </w:r>
      <w:r w:rsidRPr="00A25A0C">
        <w:rPr>
          <w:rFonts w:ascii="Times New Roman" w:hAnsi="Times New Roman" w:cs="Times New Roman"/>
          <w:sz w:val="18"/>
          <w:szCs w:val="18"/>
          <w:lang w:val="sr-Cyrl-RS"/>
        </w:rPr>
        <w:t xml:space="preserve"> </w:t>
      </w:r>
      <w:r>
        <w:rPr>
          <w:rFonts w:ascii="Times New Roman" w:hAnsi="Times New Roman" w:cs="Times New Roman"/>
          <w:sz w:val="18"/>
          <w:szCs w:val="18"/>
          <w:lang w:val="sr-Cyrl-RS"/>
        </w:rPr>
        <w:t>„</w:t>
      </w:r>
      <w:r w:rsidRPr="00A25A0C">
        <w:rPr>
          <w:rStyle w:val="st1"/>
          <w:rFonts w:ascii="Times New Roman" w:hAnsi="Times New Roman"/>
          <w:sz w:val="18"/>
          <w:szCs w:val="18"/>
          <w:lang w:val="sr-Cyrl-RS"/>
        </w:rPr>
        <w:t>Службени гласник РС</w:t>
      </w:r>
      <w:r>
        <w:rPr>
          <w:rStyle w:val="st1"/>
          <w:rFonts w:ascii="Times New Roman" w:hAnsi="Times New Roman"/>
          <w:sz w:val="18"/>
          <w:szCs w:val="18"/>
          <w:lang w:val="sr-Cyrl-RS"/>
        </w:rPr>
        <w:t>”</w:t>
      </w:r>
      <w:r w:rsidRPr="007B2C53">
        <w:rPr>
          <w:rStyle w:val="st1"/>
          <w:rFonts w:ascii="Times New Roman" w:hAnsi="Times New Roman"/>
          <w:sz w:val="18"/>
          <w:szCs w:val="18"/>
          <w:lang w:val="sr-Cyrl-RS"/>
        </w:rPr>
        <w:t>,</w:t>
      </w:r>
      <w:r w:rsidRPr="00A25A0C">
        <w:rPr>
          <w:rStyle w:val="st1"/>
          <w:rFonts w:ascii="Times New Roman" w:hAnsi="Times New Roman"/>
          <w:b/>
          <w:sz w:val="18"/>
          <w:szCs w:val="18"/>
          <w:lang w:val="sr-Cyrl-RS"/>
        </w:rPr>
        <w:t xml:space="preserve"> </w:t>
      </w:r>
      <w:r>
        <w:rPr>
          <w:rStyle w:val="st1"/>
          <w:rFonts w:ascii="Times New Roman" w:hAnsi="Times New Roman"/>
          <w:sz w:val="18"/>
          <w:szCs w:val="18"/>
          <w:lang w:val="sr-Cyrl-RS"/>
        </w:rPr>
        <w:t>број 98/06</w:t>
      </w:r>
    </w:p>
  </w:footnote>
  <w:footnote w:id="109">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lang w:val="sr-Latn-RS"/>
        </w:rPr>
        <w:footnoteRef/>
      </w:r>
      <w:r w:rsidRPr="00A25A0C">
        <w:rPr>
          <w:rFonts w:ascii="Times New Roman" w:hAnsi="Times New Roman"/>
          <w:sz w:val="18"/>
          <w:szCs w:val="18"/>
          <w:lang w:val="sr-Latn-RS"/>
        </w:rPr>
        <w:t xml:space="preserve"> </w:t>
      </w:r>
      <w:r>
        <w:rPr>
          <w:rFonts w:ascii="Times New Roman" w:hAnsi="Times New Roman"/>
          <w:sz w:val="18"/>
          <w:szCs w:val="18"/>
          <w:lang w:val="sr-Cyrl-RS"/>
        </w:rPr>
        <w:t>„</w:t>
      </w:r>
      <w:r w:rsidRPr="00A25A0C">
        <w:rPr>
          <w:rStyle w:val="st1"/>
          <w:rFonts w:ascii="Times New Roman" w:hAnsi="Times New Roman"/>
          <w:sz w:val="18"/>
          <w:szCs w:val="18"/>
          <w:lang w:val="sr-Latn-RS"/>
        </w:rPr>
        <w:t>Службени гласник РС</w:t>
      </w:r>
      <w:r>
        <w:rPr>
          <w:rStyle w:val="st1"/>
          <w:rFonts w:ascii="Times New Roman" w:hAnsi="Times New Roman"/>
          <w:sz w:val="18"/>
          <w:szCs w:val="18"/>
          <w:lang w:val="sr-Cyrl-RS"/>
        </w:rPr>
        <w:t>”</w:t>
      </w:r>
      <w:r w:rsidRPr="007B2C53">
        <w:rPr>
          <w:rStyle w:val="st1"/>
          <w:rFonts w:ascii="Times New Roman" w:hAnsi="Times New Roman"/>
          <w:sz w:val="18"/>
          <w:szCs w:val="18"/>
          <w:lang w:val="sr-Latn-RS"/>
        </w:rPr>
        <w:t xml:space="preserve">, </w:t>
      </w:r>
      <w:r>
        <w:rPr>
          <w:rStyle w:val="Emphasis"/>
          <w:rFonts w:ascii="Times New Roman" w:hAnsi="Times New Roman"/>
          <w:caps w:val="0"/>
          <w:color w:val="auto"/>
          <w:sz w:val="18"/>
          <w:szCs w:val="18"/>
          <w:lang w:val="sr-Cyrl-RS"/>
        </w:rPr>
        <w:t>бр</w:t>
      </w:r>
      <w:r w:rsidRPr="00A25A0C">
        <w:rPr>
          <w:rStyle w:val="st1"/>
          <w:rFonts w:ascii="Times New Roman" w:hAnsi="Times New Roman"/>
          <w:sz w:val="18"/>
          <w:szCs w:val="18"/>
          <w:lang w:val="sr-Latn-RS"/>
        </w:rPr>
        <w:t xml:space="preserve">. </w:t>
      </w:r>
      <w:r w:rsidRPr="00A25A0C">
        <w:rPr>
          <w:rFonts w:ascii="Times New Roman" w:hAnsi="Times New Roman"/>
          <w:sz w:val="18"/>
          <w:szCs w:val="18"/>
          <w:lang w:val="sr-Latn-RS"/>
        </w:rPr>
        <w:t>79/05, 101/07, 95/10</w:t>
      </w:r>
      <w:r w:rsidRPr="00A25A0C">
        <w:rPr>
          <w:rFonts w:ascii="Times New Roman" w:hAnsi="Times New Roman"/>
          <w:sz w:val="18"/>
          <w:szCs w:val="18"/>
          <w:lang w:val="sr-Cyrl-RS"/>
        </w:rPr>
        <w:t>,</w:t>
      </w:r>
      <w:r w:rsidRPr="00A25A0C">
        <w:rPr>
          <w:rFonts w:ascii="Times New Roman" w:hAnsi="Times New Roman"/>
          <w:sz w:val="18"/>
          <w:szCs w:val="18"/>
          <w:lang w:val="sr-Latn-RS"/>
        </w:rPr>
        <w:t xml:space="preserve"> 99/14</w:t>
      </w:r>
      <w:r w:rsidRPr="00A25A0C">
        <w:rPr>
          <w:rFonts w:ascii="Times New Roman" w:hAnsi="Times New Roman"/>
          <w:sz w:val="18"/>
          <w:szCs w:val="18"/>
          <w:lang w:val="sr-Cyrl-RS"/>
        </w:rPr>
        <w:t>, 30/18 – др. закон и 47/18</w:t>
      </w:r>
    </w:p>
  </w:footnote>
  <w:footnote w:id="110">
    <w:p w:rsidR="00BB481C" w:rsidRPr="00A25A0C" w:rsidRDefault="00BB481C" w:rsidP="001B6DE8">
      <w:pPr>
        <w:pStyle w:val="FootnoteText"/>
        <w:spacing w:before="0"/>
        <w:ind w:left="180" w:hanging="162"/>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lang w:val="sr-Latn-RS"/>
        </w:rPr>
        <w:footnoteRef/>
      </w:r>
      <w:r w:rsidRPr="00A25A0C">
        <w:rPr>
          <w:rFonts w:ascii="Times New Roman" w:hAnsi="Times New Roman"/>
          <w:sz w:val="18"/>
          <w:szCs w:val="18"/>
          <w:lang w:val="sr-Latn-RS"/>
        </w:rPr>
        <w:t xml:space="preserve"> </w:t>
      </w:r>
      <w:r>
        <w:rPr>
          <w:rFonts w:ascii="Times New Roman" w:hAnsi="Times New Roman"/>
          <w:sz w:val="18"/>
          <w:szCs w:val="18"/>
          <w:lang w:val="sr-Cyrl-RS"/>
        </w:rPr>
        <w:t>„</w:t>
      </w:r>
      <w:r w:rsidRPr="00A25A0C">
        <w:rPr>
          <w:rStyle w:val="st1"/>
          <w:rFonts w:ascii="Times New Roman" w:hAnsi="Times New Roman"/>
          <w:sz w:val="18"/>
          <w:szCs w:val="18"/>
          <w:lang w:val="sr-Latn-RS"/>
        </w:rPr>
        <w:t>Службени гласник РС</w:t>
      </w:r>
      <w:r>
        <w:rPr>
          <w:rStyle w:val="st1"/>
          <w:rFonts w:ascii="Times New Roman" w:hAnsi="Times New Roman"/>
          <w:sz w:val="18"/>
          <w:szCs w:val="18"/>
          <w:lang w:val="sr-Cyrl-RS"/>
        </w:rPr>
        <w:t>”</w:t>
      </w:r>
      <w:r w:rsidRPr="007B2C53">
        <w:rPr>
          <w:rStyle w:val="st1"/>
          <w:rFonts w:ascii="Times New Roman" w:hAnsi="Times New Roman"/>
          <w:sz w:val="18"/>
          <w:szCs w:val="18"/>
          <w:lang w:val="sr-Latn-RS"/>
        </w:rPr>
        <w:t>,</w:t>
      </w:r>
      <w:r w:rsidRPr="00A25A0C">
        <w:rPr>
          <w:rStyle w:val="st1"/>
          <w:rFonts w:ascii="Times New Roman" w:hAnsi="Times New Roman"/>
          <w:b/>
          <w:sz w:val="18"/>
          <w:szCs w:val="18"/>
          <w:lang w:val="sr-Latn-RS"/>
        </w:rPr>
        <w:t xml:space="preserve"> </w:t>
      </w:r>
      <w:r>
        <w:rPr>
          <w:rStyle w:val="Emphasis"/>
          <w:rFonts w:ascii="Times New Roman" w:hAnsi="Times New Roman"/>
          <w:caps w:val="0"/>
          <w:color w:val="auto"/>
          <w:sz w:val="18"/>
          <w:szCs w:val="18"/>
          <w:lang w:val="sr-Cyrl-RS"/>
        </w:rPr>
        <w:t>бр</w:t>
      </w:r>
      <w:r>
        <w:rPr>
          <w:rStyle w:val="st1"/>
          <w:rFonts w:ascii="Times New Roman" w:hAnsi="Times New Roman"/>
          <w:sz w:val="18"/>
          <w:szCs w:val="18"/>
          <w:lang w:val="sr-Latn-RS"/>
        </w:rPr>
        <w:t>.</w:t>
      </w:r>
      <w:r w:rsidRPr="00A25A0C">
        <w:rPr>
          <w:rStyle w:val="st1"/>
          <w:rFonts w:ascii="Times New Roman" w:hAnsi="Times New Roman"/>
          <w:sz w:val="18"/>
          <w:szCs w:val="18"/>
          <w:lang w:val="sr-Latn-RS"/>
        </w:rPr>
        <w:t xml:space="preserve"> </w:t>
      </w:r>
      <w:r w:rsidRPr="00A25A0C">
        <w:rPr>
          <w:rFonts w:ascii="Times New Roman" w:hAnsi="Times New Roman"/>
          <w:sz w:val="18"/>
          <w:szCs w:val="18"/>
          <w:lang w:val="sr-Latn-RS"/>
        </w:rPr>
        <w:t>79/05, 81/05 - испр</w:t>
      </w:r>
      <w:r>
        <w:rPr>
          <w:rFonts w:ascii="Times New Roman" w:hAnsi="Times New Roman"/>
          <w:sz w:val="18"/>
          <w:szCs w:val="18"/>
          <w:lang w:val="sr-Cyrl-RS"/>
        </w:rPr>
        <w:t>авка</w:t>
      </w:r>
      <w:r w:rsidRPr="00A25A0C">
        <w:rPr>
          <w:rFonts w:ascii="Times New Roman" w:hAnsi="Times New Roman"/>
          <w:sz w:val="18"/>
          <w:szCs w:val="18"/>
          <w:lang w:val="sr-Latn-RS"/>
        </w:rPr>
        <w:t>, 83/05 - испр</w:t>
      </w:r>
      <w:r>
        <w:rPr>
          <w:rFonts w:ascii="Times New Roman" w:hAnsi="Times New Roman"/>
          <w:sz w:val="18"/>
          <w:szCs w:val="18"/>
          <w:lang w:val="sr-Cyrl-RS"/>
        </w:rPr>
        <w:t>авка</w:t>
      </w:r>
      <w:r w:rsidRPr="00A25A0C">
        <w:rPr>
          <w:rFonts w:ascii="Times New Roman" w:hAnsi="Times New Roman"/>
          <w:sz w:val="18"/>
          <w:szCs w:val="18"/>
          <w:lang w:val="sr-Latn-RS"/>
        </w:rPr>
        <w:t>, 64/07, 67/07 - испр</w:t>
      </w:r>
      <w:r>
        <w:rPr>
          <w:rFonts w:ascii="Times New Roman" w:hAnsi="Times New Roman"/>
          <w:sz w:val="18"/>
          <w:szCs w:val="18"/>
          <w:lang w:val="sr-Cyrl-RS"/>
        </w:rPr>
        <w:t>авка</w:t>
      </w:r>
      <w:r w:rsidRPr="00A25A0C">
        <w:rPr>
          <w:rFonts w:ascii="Times New Roman" w:hAnsi="Times New Roman"/>
          <w:sz w:val="18"/>
          <w:szCs w:val="18"/>
          <w:lang w:val="sr-Latn-RS"/>
        </w:rPr>
        <w:t>, 116/08, 104/09</w:t>
      </w:r>
      <w:r w:rsidRPr="00A25A0C">
        <w:rPr>
          <w:rFonts w:ascii="Times New Roman" w:hAnsi="Times New Roman"/>
          <w:sz w:val="18"/>
          <w:szCs w:val="18"/>
          <w:lang w:val="sr-Cyrl-RS"/>
        </w:rPr>
        <w:t>,</w:t>
      </w:r>
      <w:r w:rsidRPr="00A25A0C">
        <w:rPr>
          <w:rFonts w:ascii="Times New Roman" w:hAnsi="Times New Roman"/>
          <w:sz w:val="18"/>
          <w:szCs w:val="18"/>
          <w:lang w:val="sr-Latn-RS"/>
        </w:rPr>
        <w:t xml:space="preserve"> 99/14</w:t>
      </w:r>
      <w:r w:rsidRPr="00A25A0C">
        <w:rPr>
          <w:rFonts w:ascii="Times New Roman" w:hAnsi="Times New Roman"/>
          <w:sz w:val="18"/>
          <w:szCs w:val="18"/>
          <w:lang w:val="sr-Cyrl-RS"/>
        </w:rPr>
        <w:t>, 94/17, 95/18 и 157/20</w:t>
      </w:r>
    </w:p>
  </w:footnote>
  <w:footnote w:id="111">
    <w:p w:rsidR="00BB481C" w:rsidRPr="00A25A0C" w:rsidRDefault="00BB481C" w:rsidP="001B6DE8">
      <w:pPr>
        <w:pStyle w:val="FootnoteText"/>
        <w:spacing w:before="0"/>
        <w:jc w:val="both"/>
        <w:rPr>
          <w:rFonts w:ascii="Times New Roman" w:hAnsi="Times New Roman"/>
          <w:sz w:val="18"/>
          <w:szCs w:val="18"/>
          <w:lang w:val="sr-Latn-RS"/>
        </w:rPr>
      </w:pPr>
      <w:r w:rsidRPr="00A25A0C">
        <w:rPr>
          <w:rStyle w:val="FootnoteReference"/>
          <w:rFonts w:ascii="Times New Roman" w:eastAsiaTheme="minorEastAsia" w:hAnsi="Times New Roman"/>
          <w:sz w:val="18"/>
          <w:szCs w:val="18"/>
          <w:lang w:val="sr-Latn-RS"/>
        </w:rPr>
        <w:footnoteRef/>
      </w:r>
      <w:r w:rsidRPr="00A25A0C">
        <w:rPr>
          <w:rFonts w:ascii="Times New Roman" w:hAnsi="Times New Roman"/>
          <w:sz w:val="18"/>
          <w:szCs w:val="18"/>
          <w:lang w:val="sr-Latn-RS"/>
        </w:rPr>
        <w:t xml:space="preserve"> </w:t>
      </w:r>
      <w:r>
        <w:rPr>
          <w:rFonts w:ascii="Times New Roman" w:hAnsi="Times New Roman"/>
          <w:sz w:val="18"/>
          <w:szCs w:val="18"/>
          <w:lang w:val="sr-Cyrl-RS"/>
        </w:rPr>
        <w:t>„</w:t>
      </w:r>
      <w:r w:rsidRPr="00A25A0C">
        <w:rPr>
          <w:rStyle w:val="st1"/>
          <w:rFonts w:ascii="Times New Roman" w:hAnsi="Times New Roman"/>
          <w:sz w:val="18"/>
          <w:szCs w:val="18"/>
          <w:lang w:val="sr-Latn-RS"/>
        </w:rPr>
        <w:t>Службени гласник РС</w:t>
      </w:r>
      <w:r>
        <w:rPr>
          <w:rStyle w:val="st1"/>
          <w:rFonts w:ascii="Times New Roman" w:hAnsi="Times New Roman"/>
          <w:sz w:val="18"/>
          <w:szCs w:val="18"/>
          <w:lang w:val="sr-Cyrl-RS"/>
        </w:rPr>
        <w:t>”</w:t>
      </w:r>
      <w:r w:rsidRPr="007B2C53">
        <w:rPr>
          <w:rStyle w:val="st1"/>
          <w:rFonts w:ascii="Times New Roman" w:hAnsi="Times New Roman"/>
          <w:sz w:val="18"/>
          <w:szCs w:val="18"/>
          <w:lang w:val="sr-Latn-RS"/>
        </w:rPr>
        <w:t>,</w:t>
      </w:r>
      <w:r w:rsidRPr="00A25A0C">
        <w:rPr>
          <w:rStyle w:val="st1"/>
          <w:rFonts w:ascii="Times New Roman" w:hAnsi="Times New Roman"/>
          <w:b/>
          <w:sz w:val="18"/>
          <w:szCs w:val="18"/>
          <w:lang w:val="sr-Latn-RS"/>
        </w:rPr>
        <w:t xml:space="preserve"> </w:t>
      </w:r>
      <w:r>
        <w:rPr>
          <w:rStyle w:val="st1"/>
          <w:rFonts w:ascii="Times New Roman" w:hAnsi="Times New Roman"/>
          <w:sz w:val="18"/>
          <w:szCs w:val="18"/>
          <w:lang w:val="sr-Cyrl-RS"/>
        </w:rPr>
        <w:t>број</w:t>
      </w:r>
      <w:r w:rsidRPr="00A25A0C">
        <w:rPr>
          <w:rStyle w:val="st1"/>
          <w:rFonts w:ascii="Times New Roman" w:hAnsi="Times New Roman"/>
          <w:sz w:val="18"/>
          <w:szCs w:val="18"/>
          <w:lang w:val="sr-Latn-RS"/>
        </w:rPr>
        <w:t xml:space="preserve"> 128/14  </w:t>
      </w:r>
    </w:p>
  </w:footnote>
  <w:footnote w:id="112">
    <w:p w:rsidR="00BB481C" w:rsidRPr="00A25A0C" w:rsidRDefault="00BB481C" w:rsidP="001B6DE8">
      <w:pPr>
        <w:pStyle w:val="FootnoteText"/>
        <w:spacing w:before="0"/>
        <w:ind w:left="180" w:hanging="18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lang w:val="sr-Latn-RS"/>
        </w:rPr>
        <w:footnoteRef/>
      </w:r>
      <w:r w:rsidRPr="00A25A0C">
        <w:rPr>
          <w:rFonts w:ascii="Times New Roman" w:hAnsi="Times New Roman"/>
          <w:sz w:val="18"/>
          <w:szCs w:val="18"/>
          <w:lang w:val="sr-Latn-RS"/>
        </w:rPr>
        <w:t xml:space="preserve"> </w:t>
      </w:r>
      <w:r>
        <w:rPr>
          <w:rFonts w:ascii="Times New Roman" w:hAnsi="Times New Roman"/>
          <w:sz w:val="18"/>
          <w:szCs w:val="18"/>
          <w:lang w:val="sr-Cyrl-RS"/>
        </w:rPr>
        <w:t>„</w:t>
      </w:r>
      <w:r w:rsidRPr="00A25A0C">
        <w:rPr>
          <w:rStyle w:val="st1"/>
          <w:rFonts w:ascii="Times New Roman" w:hAnsi="Times New Roman"/>
          <w:sz w:val="18"/>
          <w:szCs w:val="18"/>
          <w:lang w:val="sr-Latn-RS"/>
        </w:rPr>
        <w:t>Службени гласник РС</w:t>
      </w:r>
      <w:r>
        <w:rPr>
          <w:rStyle w:val="st1"/>
          <w:rFonts w:ascii="Times New Roman" w:hAnsi="Times New Roman"/>
          <w:sz w:val="18"/>
          <w:szCs w:val="18"/>
          <w:lang w:val="sr-Cyrl-RS"/>
        </w:rPr>
        <w:t>”</w:t>
      </w:r>
      <w:r w:rsidRPr="007B2C53">
        <w:rPr>
          <w:rStyle w:val="st1"/>
          <w:rFonts w:ascii="Times New Roman" w:hAnsi="Times New Roman"/>
          <w:sz w:val="18"/>
          <w:szCs w:val="18"/>
          <w:lang w:val="sr-Latn-RS"/>
        </w:rPr>
        <w:t>,</w:t>
      </w:r>
      <w:r w:rsidRPr="00A25A0C">
        <w:rPr>
          <w:rStyle w:val="st1"/>
          <w:rFonts w:ascii="Times New Roman" w:hAnsi="Times New Roman"/>
          <w:b/>
          <w:sz w:val="18"/>
          <w:szCs w:val="18"/>
          <w:lang w:val="sr-Latn-RS"/>
        </w:rPr>
        <w:t xml:space="preserve"> </w:t>
      </w:r>
      <w:r>
        <w:rPr>
          <w:rStyle w:val="Emphasis"/>
          <w:rFonts w:ascii="Times New Roman" w:hAnsi="Times New Roman"/>
          <w:caps w:val="0"/>
          <w:color w:val="auto"/>
          <w:sz w:val="18"/>
          <w:szCs w:val="18"/>
          <w:lang w:val="sr-Cyrl-RS"/>
        </w:rPr>
        <w:t>бр</w:t>
      </w:r>
      <w:r w:rsidRPr="00A25A0C">
        <w:rPr>
          <w:rStyle w:val="st1"/>
          <w:rFonts w:ascii="Times New Roman" w:hAnsi="Times New Roman"/>
          <w:sz w:val="18"/>
          <w:szCs w:val="18"/>
          <w:lang w:val="sr-Latn-RS"/>
        </w:rPr>
        <w:t xml:space="preserve">. </w:t>
      </w:r>
      <w:r w:rsidRPr="00A25A0C">
        <w:rPr>
          <w:rFonts w:ascii="Times New Roman" w:hAnsi="Times New Roman"/>
          <w:sz w:val="18"/>
          <w:szCs w:val="18"/>
          <w:lang w:val="sr-Cyrl-RS"/>
        </w:rPr>
        <w:t>35/19 и 88/19</w:t>
      </w:r>
    </w:p>
  </w:footnote>
  <w:footnote w:id="113">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w:t>
      </w:r>
      <w:r w:rsidRPr="00A25A0C">
        <w:rPr>
          <w:rFonts w:ascii="Times New Roman" w:hAnsi="Times New Roman"/>
          <w:sz w:val="18"/>
          <w:szCs w:val="18"/>
          <w:lang w:val="sr-Cyrl-CS"/>
        </w:rPr>
        <w:t>Акционом плану за спровођење Националне стратегије за борбу против корупције у Републици Србији за период од 2013. до 2018. године („Службени гласник РС</w:t>
      </w:r>
      <w:r>
        <w:rPr>
          <w:rFonts w:ascii="Times New Roman" w:hAnsi="Times New Roman"/>
          <w:sz w:val="18"/>
          <w:szCs w:val="18"/>
          <w:lang w:val="sr-Cyrl-CS"/>
        </w:rPr>
        <w:t>”</w:t>
      </w:r>
      <w:r w:rsidRPr="00A25A0C">
        <w:rPr>
          <w:rFonts w:ascii="Times New Roman" w:hAnsi="Times New Roman"/>
          <w:sz w:val="18"/>
          <w:szCs w:val="18"/>
          <w:lang w:val="sr-Cyrl-CS"/>
        </w:rPr>
        <w:t>, број 61/16)</w:t>
      </w:r>
    </w:p>
  </w:footnote>
  <w:footnote w:id="114">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w:t>
      </w:r>
      <w:hyperlink r:id="rId27" w:history="1">
        <w:r w:rsidRPr="00A25A0C">
          <w:rPr>
            <w:rStyle w:val="Hyperlink"/>
            <w:rFonts w:ascii="Times New Roman" w:eastAsiaTheme="minorEastAsia" w:hAnsi="Times New Roman"/>
            <w:sz w:val="18"/>
            <w:szCs w:val="18"/>
          </w:rPr>
          <w:t>http</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www</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sigmaweb</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org</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publications</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Managerial</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accountability</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in</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the</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Western</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Balkans</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SIGMA</w:t>
        </w:r>
        <w:r w:rsidRPr="00A25A0C">
          <w:rPr>
            <w:rStyle w:val="Hyperlink"/>
            <w:rFonts w:ascii="Times New Roman" w:eastAsiaTheme="minorEastAsia" w:hAnsi="Times New Roman"/>
            <w:sz w:val="18"/>
            <w:szCs w:val="18"/>
            <w:lang w:val="sr-Cyrl-RS"/>
          </w:rPr>
          <w:t>-</w:t>
        </w:r>
        <w:r w:rsidRPr="00A25A0C">
          <w:rPr>
            <w:rStyle w:val="Hyperlink"/>
            <w:rFonts w:ascii="Times New Roman" w:eastAsiaTheme="minorEastAsia" w:hAnsi="Times New Roman"/>
            <w:sz w:val="18"/>
            <w:szCs w:val="18"/>
          </w:rPr>
          <w:t>Paper</w:t>
        </w:r>
        <w:r w:rsidRPr="00A25A0C">
          <w:rPr>
            <w:rStyle w:val="Hyperlink"/>
            <w:rFonts w:ascii="Times New Roman" w:eastAsiaTheme="minorEastAsia" w:hAnsi="Times New Roman"/>
            <w:sz w:val="18"/>
            <w:szCs w:val="18"/>
            <w:lang w:val="sr-Cyrl-RS"/>
          </w:rPr>
          <w:t>-58-</w:t>
        </w:r>
        <w:r w:rsidRPr="00A25A0C">
          <w:rPr>
            <w:rStyle w:val="Hyperlink"/>
            <w:rFonts w:ascii="Times New Roman" w:eastAsiaTheme="minorEastAsia" w:hAnsi="Times New Roman"/>
            <w:sz w:val="18"/>
            <w:szCs w:val="18"/>
          </w:rPr>
          <w:t>November</w:t>
        </w:r>
        <w:r w:rsidRPr="00A25A0C">
          <w:rPr>
            <w:rStyle w:val="Hyperlink"/>
            <w:rFonts w:ascii="Times New Roman" w:eastAsiaTheme="minorEastAsia" w:hAnsi="Times New Roman"/>
            <w:sz w:val="18"/>
            <w:szCs w:val="18"/>
            <w:lang w:val="sr-Cyrl-RS"/>
          </w:rPr>
          <w:t>-2018.</w:t>
        </w:r>
        <w:r w:rsidRPr="00A25A0C">
          <w:rPr>
            <w:rStyle w:val="Hyperlink"/>
            <w:rFonts w:ascii="Times New Roman" w:eastAsiaTheme="minorEastAsia" w:hAnsi="Times New Roman"/>
            <w:sz w:val="18"/>
            <w:szCs w:val="18"/>
          </w:rPr>
          <w:t>pdf</w:t>
        </w:r>
      </w:hyperlink>
    </w:p>
  </w:footnote>
  <w:footnote w:id="115">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„Служб</w:t>
      </w:r>
      <w:r>
        <w:rPr>
          <w:rFonts w:ascii="Times New Roman" w:hAnsi="Times New Roman"/>
          <w:sz w:val="18"/>
          <w:szCs w:val="18"/>
          <w:lang w:val="sr-Cyrl-RS"/>
        </w:rPr>
        <w:t>е</w:t>
      </w:r>
      <w:r w:rsidRPr="00A25A0C">
        <w:rPr>
          <w:rFonts w:ascii="Times New Roman" w:hAnsi="Times New Roman"/>
          <w:sz w:val="18"/>
          <w:szCs w:val="18"/>
          <w:lang w:val="sr-Cyrl-RS"/>
        </w:rPr>
        <w:t>ни гласник РС</w:t>
      </w:r>
      <w:r>
        <w:rPr>
          <w:rFonts w:ascii="Times New Roman" w:hAnsi="Times New Roman"/>
          <w:sz w:val="18"/>
          <w:szCs w:val="18"/>
          <w:lang w:val="sr-Cyrl-RS"/>
        </w:rPr>
        <w:t>”</w:t>
      </w:r>
      <w:r w:rsidRPr="00A25A0C">
        <w:rPr>
          <w:rFonts w:ascii="Times New Roman" w:hAnsi="Times New Roman"/>
          <w:sz w:val="18"/>
          <w:szCs w:val="18"/>
          <w:lang w:val="sr-Cyrl-RS"/>
        </w:rPr>
        <w:t>, бр. 95/18, 91/19 - др. закон и 144/20</w:t>
      </w:r>
    </w:p>
  </w:footnote>
  <w:footnote w:id="116">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A25A0C">
        <w:rPr>
          <w:rFonts w:ascii="Times New Roman" w:hAnsi="Times New Roman"/>
          <w:sz w:val="18"/>
          <w:szCs w:val="18"/>
          <w:lang w:val="sr-Cyrl-RS"/>
        </w:rPr>
        <w:t>, бр</w:t>
      </w:r>
      <w:r>
        <w:rPr>
          <w:rFonts w:ascii="Times New Roman" w:hAnsi="Times New Roman"/>
          <w:sz w:val="18"/>
          <w:szCs w:val="18"/>
          <w:lang w:val="sr-Cyrl-RS"/>
        </w:rPr>
        <w:t>ој</w:t>
      </w:r>
      <w:r w:rsidRPr="00A25A0C">
        <w:rPr>
          <w:rFonts w:ascii="Times New Roman" w:hAnsi="Times New Roman"/>
          <w:sz w:val="18"/>
          <w:szCs w:val="18"/>
          <w:lang w:val="sr-Cyrl-RS"/>
        </w:rPr>
        <w:t xml:space="preserve"> 95/18</w:t>
      </w:r>
    </w:p>
  </w:footnote>
  <w:footnote w:id="117">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Област </w:t>
      </w:r>
      <w:r w:rsidRPr="00A25A0C">
        <w:rPr>
          <w:rFonts w:ascii="Times New Roman" w:hAnsi="Times New Roman"/>
          <w:i/>
          <w:iCs/>
          <w:sz w:val="18"/>
          <w:szCs w:val="18"/>
          <w:lang w:val="sr-Cyrl-RS"/>
        </w:rPr>
        <w:t xml:space="preserve">Јавна служба и управљање људским ресурсима, </w:t>
      </w:r>
      <w:r w:rsidRPr="00A25A0C">
        <w:rPr>
          <w:rFonts w:ascii="Times New Roman" w:hAnsi="Times New Roman"/>
          <w:sz w:val="18"/>
          <w:szCs w:val="18"/>
          <w:lang w:val="sr-Cyrl-RS"/>
        </w:rPr>
        <w:t>принцип 7</w:t>
      </w:r>
      <w:r>
        <w:rPr>
          <w:rFonts w:ascii="Times New Roman" w:hAnsi="Times New Roman"/>
          <w:sz w:val="18"/>
          <w:szCs w:val="18"/>
          <w:lang w:val="sr-Cyrl-RS"/>
        </w:rPr>
        <w:t xml:space="preserve"> </w:t>
      </w:r>
      <w:r w:rsidRPr="00A25A0C">
        <w:rPr>
          <w:rFonts w:ascii="Times New Roman" w:hAnsi="Times New Roman"/>
          <w:sz w:val="18"/>
          <w:szCs w:val="18"/>
          <w:lang w:val="sr-Cyrl-RS"/>
        </w:rPr>
        <w:t xml:space="preserve">– Мере за промовисање интегритета и спречавање корупције и за обезбеђивање дисциплине у јавној служби, </w:t>
      </w:r>
      <w:r w:rsidRPr="00A25A0C">
        <w:rPr>
          <w:rFonts w:ascii="Times New Roman" w:hAnsi="Times New Roman"/>
          <w:i/>
          <w:sz w:val="18"/>
          <w:szCs w:val="18"/>
        </w:rPr>
        <w:t>OECD</w:t>
      </w:r>
      <w:r w:rsidRPr="00A25A0C">
        <w:rPr>
          <w:rFonts w:ascii="Times New Roman" w:hAnsi="Times New Roman"/>
          <w:i/>
          <w:sz w:val="18"/>
          <w:szCs w:val="18"/>
          <w:lang w:val="sr-Cyrl-RS"/>
        </w:rPr>
        <w:t>/</w:t>
      </w:r>
      <w:r w:rsidRPr="00A25A0C">
        <w:rPr>
          <w:rFonts w:ascii="Times New Roman" w:hAnsi="Times New Roman"/>
          <w:i/>
          <w:sz w:val="18"/>
          <w:szCs w:val="18"/>
        </w:rPr>
        <w:t>SIGMA</w:t>
      </w:r>
      <w:r w:rsidRPr="00A25A0C">
        <w:rPr>
          <w:rFonts w:ascii="Times New Roman" w:hAnsi="Times New Roman"/>
          <w:sz w:val="18"/>
          <w:szCs w:val="18"/>
          <w:lang w:val="sr-Cyrl-RS"/>
        </w:rPr>
        <w:t>: Принципи јавне управе – издање 2017. године, стр. 50, о чему је више речено у Стратегији реформе јавне управе 2021-2030 у оквиру тематске области – Одговорност и транспарентност</w:t>
      </w:r>
    </w:p>
    <w:p w:rsidR="00BB481C" w:rsidRPr="00A25A0C" w:rsidRDefault="00F60816" w:rsidP="001B6DE8">
      <w:pPr>
        <w:pStyle w:val="FootnoteText"/>
        <w:spacing w:before="0"/>
        <w:jc w:val="both"/>
        <w:rPr>
          <w:rFonts w:ascii="Times New Roman" w:hAnsi="Times New Roman"/>
          <w:sz w:val="18"/>
          <w:szCs w:val="18"/>
          <w:lang w:val="sr-Cyrl-RS"/>
        </w:rPr>
      </w:pPr>
      <w:hyperlink r:id="rId28" w:history="1">
        <w:r w:rsidR="00BB481C" w:rsidRPr="00A25A0C">
          <w:rPr>
            <w:rStyle w:val="Hyperlink"/>
            <w:rFonts w:ascii="Times New Roman" w:eastAsiaTheme="minorEastAsia" w:hAnsi="Times New Roman"/>
            <w:sz w:val="18"/>
            <w:szCs w:val="18"/>
          </w:rPr>
          <w:t>http</w:t>
        </w:r>
        <w:r w:rsidR="00BB481C" w:rsidRPr="00A25A0C">
          <w:rPr>
            <w:rStyle w:val="Hyperlink"/>
            <w:rFonts w:ascii="Times New Roman" w:eastAsiaTheme="minorEastAsia" w:hAnsi="Times New Roman"/>
            <w:sz w:val="18"/>
            <w:szCs w:val="18"/>
            <w:lang w:val="sr-Cyrl-RS"/>
          </w:rPr>
          <w:t>://</w:t>
        </w:r>
        <w:r w:rsidR="00BB481C" w:rsidRPr="00A25A0C">
          <w:rPr>
            <w:rStyle w:val="Hyperlink"/>
            <w:rFonts w:ascii="Times New Roman" w:eastAsiaTheme="minorEastAsia" w:hAnsi="Times New Roman"/>
            <w:sz w:val="18"/>
            <w:szCs w:val="18"/>
          </w:rPr>
          <w:t>www</w:t>
        </w:r>
        <w:r w:rsidR="00BB481C" w:rsidRPr="00A25A0C">
          <w:rPr>
            <w:rStyle w:val="Hyperlink"/>
            <w:rFonts w:ascii="Times New Roman" w:eastAsiaTheme="minorEastAsia" w:hAnsi="Times New Roman"/>
            <w:sz w:val="18"/>
            <w:szCs w:val="18"/>
            <w:lang w:val="sr-Cyrl-RS"/>
          </w:rPr>
          <w:t>.</w:t>
        </w:r>
        <w:r w:rsidR="00BB481C" w:rsidRPr="00A25A0C">
          <w:rPr>
            <w:rStyle w:val="Hyperlink"/>
            <w:rFonts w:ascii="Times New Roman" w:eastAsiaTheme="minorEastAsia" w:hAnsi="Times New Roman"/>
            <w:sz w:val="18"/>
            <w:szCs w:val="18"/>
          </w:rPr>
          <w:t>sigmaweb</w:t>
        </w:r>
        <w:r w:rsidR="00BB481C" w:rsidRPr="00A25A0C">
          <w:rPr>
            <w:rStyle w:val="Hyperlink"/>
            <w:rFonts w:ascii="Times New Roman" w:eastAsiaTheme="minorEastAsia" w:hAnsi="Times New Roman"/>
            <w:sz w:val="18"/>
            <w:szCs w:val="18"/>
            <w:lang w:val="sr-Cyrl-RS"/>
          </w:rPr>
          <w:t>.</w:t>
        </w:r>
        <w:r w:rsidR="00BB481C" w:rsidRPr="00A25A0C">
          <w:rPr>
            <w:rStyle w:val="Hyperlink"/>
            <w:rFonts w:ascii="Times New Roman" w:eastAsiaTheme="minorEastAsia" w:hAnsi="Times New Roman"/>
            <w:sz w:val="18"/>
            <w:szCs w:val="18"/>
          </w:rPr>
          <w:t>org</w:t>
        </w:r>
        <w:r w:rsidR="00BB481C" w:rsidRPr="00A25A0C">
          <w:rPr>
            <w:rStyle w:val="Hyperlink"/>
            <w:rFonts w:ascii="Times New Roman" w:eastAsiaTheme="minorEastAsia" w:hAnsi="Times New Roman"/>
            <w:sz w:val="18"/>
            <w:szCs w:val="18"/>
            <w:lang w:val="sr-Cyrl-RS"/>
          </w:rPr>
          <w:t>/</w:t>
        </w:r>
        <w:r w:rsidR="00BB481C" w:rsidRPr="00A25A0C">
          <w:rPr>
            <w:rStyle w:val="Hyperlink"/>
            <w:rFonts w:ascii="Times New Roman" w:eastAsiaTheme="minorEastAsia" w:hAnsi="Times New Roman"/>
            <w:sz w:val="18"/>
            <w:szCs w:val="18"/>
          </w:rPr>
          <w:t>publications</w:t>
        </w:r>
        <w:r w:rsidR="00BB481C" w:rsidRPr="00A25A0C">
          <w:rPr>
            <w:rStyle w:val="Hyperlink"/>
            <w:rFonts w:ascii="Times New Roman" w:eastAsiaTheme="minorEastAsia" w:hAnsi="Times New Roman"/>
            <w:sz w:val="18"/>
            <w:szCs w:val="18"/>
            <w:lang w:val="sr-Cyrl-RS"/>
          </w:rPr>
          <w:t>/</w:t>
        </w:r>
        <w:r w:rsidR="00BB481C" w:rsidRPr="00A25A0C">
          <w:rPr>
            <w:rStyle w:val="Hyperlink"/>
            <w:rFonts w:ascii="Times New Roman" w:eastAsiaTheme="minorEastAsia" w:hAnsi="Times New Roman"/>
            <w:sz w:val="18"/>
            <w:szCs w:val="18"/>
          </w:rPr>
          <w:t>Principles</w:t>
        </w:r>
        <w:r w:rsidR="00BB481C" w:rsidRPr="00A25A0C">
          <w:rPr>
            <w:rStyle w:val="Hyperlink"/>
            <w:rFonts w:ascii="Times New Roman" w:eastAsiaTheme="minorEastAsia" w:hAnsi="Times New Roman"/>
            <w:sz w:val="18"/>
            <w:szCs w:val="18"/>
            <w:lang w:val="sr-Cyrl-RS"/>
          </w:rPr>
          <w:t>_</w:t>
        </w:r>
        <w:r w:rsidR="00BB481C" w:rsidRPr="00A25A0C">
          <w:rPr>
            <w:rStyle w:val="Hyperlink"/>
            <w:rFonts w:ascii="Times New Roman" w:eastAsiaTheme="minorEastAsia" w:hAnsi="Times New Roman"/>
            <w:sz w:val="18"/>
            <w:szCs w:val="18"/>
          </w:rPr>
          <w:t>of</w:t>
        </w:r>
        <w:r w:rsidR="00BB481C" w:rsidRPr="00A25A0C">
          <w:rPr>
            <w:rStyle w:val="Hyperlink"/>
            <w:rFonts w:ascii="Times New Roman" w:eastAsiaTheme="minorEastAsia" w:hAnsi="Times New Roman"/>
            <w:sz w:val="18"/>
            <w:szCs w:val="18"/>
            <w:lang w:val="sr-Cyrl-RS"/>
          </w:rPr>
          <w:t>_</w:t>
        </w:r>
        <w:r w:rsidR="00BB481C" w:rsidRPr="00A25A0C">
          <w:rPr>
            <w:rStyle w:val="Hyperlink"/>
            <w:rFonts w:ascii="Times New Roman" w:eastAsiaTheme="minorEastAsia" w:hAnsi="Times New Roman"/>
            <w:sz w:val="18"/>
            <w:szCs w:val="18"/>
          </w:rPr>
          <w:t>Public</w:t>
        </w:r>
        <w:r w:rsidR="00BB481C" w:rsidRPr="00A25A0C">
          <w:rPr>
            <w:rStyle w:val="Hyperlink"/>
            <w:rFonts w:ascii="Times New Roman" w:eastAsiaTheme="minorEastAsia" w:hAnsi="Times New Roman"/>
            <w:sz w:val="18"/>
            <w:szCs w:val="18"/>
            <w:lang w:val="sr-Cyrl-RS"/>
          </w:rPr>
          <w:t>_</w:t>
        </w:r>
        <w:r w:rsidR="00BB481C" w:rsidRPr="00A25A0C">
          <w:rPr>
            <w:rStyle w:val="Hyperlink"/>
            <w:rFonts w:ascii="Times New Roman" w:eastAsiaTheme="minorEastAsia" w:hAnsi="Times New Roman"/>
            <w:sz w:val="18"/>
            <w:szCs w:val="18"/>
          </w:rPr>
          <w:t>Administration</w:t>
        </w:r>
        <w:r w:rsidR="00BB481C" w:rsidRPr="00A25A0C">
          <w:rPr>
            <w:rStyle w:val="Hyperlink"/>
            <w:rFonts w:ascii="Times New Roman" w:eastAsiaTheme="minorEastAsia" w:hAnsi="Times New Roman"/>
            <w:sz w:val="18"/>
            <w:szCs w:val="18"/>
            <w:lang w:val="sr-Cyrl-RS"/>
          </w:rPr>
          <w:t>_2017_</w:t>
        </w:r>
        <w:r w:rsidR="00BB481C" w:rsidRPr="00A25A0C">
          <w:rPr>
            <w:rStyle w:val="Hyperlink"/>
            <w:rFonts w:ascii="Times New Roman" w:eastAsiaTheme="minorEastAsia" w:hAnsi="Times New Roman"/>
            <w:sz w:val="18"/>
            <w:szCs w:val="18"/>
          </w:rPr>
          <w:t>edition</w:t>
        </w:r>
        <w:r w:rsidR="00BB481C" w:rsidRPr="00A25A0C">
          <w:rPr>
            <w:rStyle w:val="Hyperlink"/>
            <w:rFonts w:ascii="Times New Roman" w:eastAsiaTheme="minorEastAsia" w:hAnsi="Times New Roman"/>
            <w:sz w:val="18"/>
            <w:szCs w:val="18"/>
            <w:lang w:val="sr-Cyrl-RS"/>
          </w:rPr>
          <w:t>_</w:t>
        </w:r>
        <w:r w:rsidR="00BB481C" w:rsidRPr="00A25A0C">
          <w:rPr>
            <w:rStyle w:val="Hyperlink"/>
            <w:rFonts w:ascii="Times New Roman" w:eastAsiaTheme="minorEastAsia" w:hAnsi="Times New Roman"/>
            <w:sz w:val="18"/>
            <w:szCs w:val="18"/>
          </w:rPr>
          <w:t>SER</w:t>
        </w:r>
        <w:r w:rsidR="00BB481C" w:rsidRPr="00A25A0C">
          <w:rPr>
            <w:rStyle w:val="Hyperlink"/>
            <w:rFonts w:ascii="Times New Roman" w:eastAsiaTheme="minorEastAsia" w:hAnsi="Times New Roman"/>
            <w:sz w:val="18"/>
            <w:szCs w:val="18"/>
            <w:lang w:val="sr-Cyrl-RS"/>
          </w:rPr>
          <w:t>.</w:t>
        </w:r>
        <w:r w:rsidR="00BB481C" w:rsidRPr="00A25A0C">
          <w:rPr>
            <w:rStyle w:val="Hyperlink"/>
            <w:rFonts w:ascii="Times New Roman" w:eastAsiaTheme="minorEastAsia" w:hAnsi="Times New Roman"/>
            <w:sz w:val="18"/>
            <w:szCs w:val="18"/>
          </w:rPr>
          <w:t>pdf</w:t>
        </w:r>
      </w:hyperlink>
    </w:p>
  </w:footnote>
  <w:footnote w:id="118">
    <w:p w:rsidR="00BB481C" w:rsidRPr="009E4910" w:rsidRDefault="00BB481C" w:rsidP="001B6DE8">
      <w:pPr>
        <w:pStyle w:val="FootnoteText"/>
        <w:spacing w:before="0"/>
        <w:jc w:val="both"/>
        <w:rPr>
          <w:rFonts w:ascii="Times New Roman" w:hAnsi="Times New Roman"/>
          <w:sz w:val="18"/>
          <w:szCs w:val="18"/>
          <w:lang w:val="sr-Cyrl-RS"/>
        </w:rPr>
      </w:pPr>
      <w:r w:rsidRPr="009E4910">
        <w:rPr>
          <w:rStyle w:val="FootnoteReference"/>
          <w:rFonts w:ascii="Times New Roman" w:eastAsiaTheme="minorEastAsia" w:hAnsi="Times New Roman"/>
          <w:sz w:val="18"/>
          <w:szCs w:val="18"/>
        </w:rPr>
        <w:footnoteRef/>
      </w:r>
      <w:r w:rsidRPr="009E4910">
        <w:rPr>
          <w:rFonts w:ascii="Times New Roman" w:hAnsi="Times New Roman"/>
          <w:sz w:val="18"/>
          <w:szCs w:val="18"/>
          <w:lang w:val="sr-Cyrl-RS"/>
        </w:rPr>
        <w:t xml:space="preserve"> </w:t>
      </w:r>
      <w:r>
        <w:rPr>
          <w:rFonts w:ascii="Times New Roman" w:hAnsi="Times New Roman"/>
          <w:sz w:val="18"/>
          <w:szCs w:val="18"/>
          <w:lang w:val="sr-Cyrl-RS"/>
        </w:rPr>
        <w:t>„</w:t>
      </w:r>
      <w:r w:rsidRPr="009E4910">
        <w:rPr>
          <w:rFonts w:ascii="Times New Roman" w:eastAsiaTheme="minorHAnsi" w:hAnsi="Times New Roman"/>
          <w:sz w:val="18"/>
          <w:szCs w:val="18"/>
          <w:lang w:val="sr-Cyrl-RS"/>
        </w:rPr>
        <w:t>Службени гласник РС</w:t>
      </w:r>
      <w:r>
        <w:rPr>
          <w:rFonts w:ascii="Times New Roman" w:eastAsiaTheme="minorHAnsi" w:hAnsi="Times New Roman"/>
          <w:sz w:val="18"/>
          <w:szCs w:val="18"/>
          <w:lang w:val="sr-Cyrl-RS"/>
        </w:rPr>
        <w:t>”</w:t>
      </w:r>
      <w:r w:rsidRPr="009E4910">
        <w:rPr>
          <w:rFonts w:ascii="Times New Roman" w:eastAsiaTheme="minorHAnsi" w:hAnsi="Times New Roman"/>
          <w:sz w:val="18"/>
          <w:szCs w:val="18"/>
          <w:lang w:val="sr-Cyrl-RS"/>
        </w:rPr>
        <w:t>, бр</w:t>
      </w:r>
      <w:r>
        <w:rPr>
          <w:rFonts w:ascii="Times New Roman" w:eastAsiaTheme="minorHAnsi" w:hAnsi="Times New Roman"/>
          <w:sz w:val="18"/>
          <w:szCs w:val="18"/>
          <w:lang w:val="sr-Cyrl-RS"/>
        </w:rPr>
        <w:t>ој</w:t>
      </w:r>
      <w:r w:rsidRPr="009E4910">
        <w:rPr>
          <w:rFonts w:ascii="Times New Roman" w:eastAsiaTheme="minorHAnsi" w:hAnsi="Times New Roman"/>
          <w:sz w:val="18"/>
          <w:szCs w:val="18"/>
          <w:lang w:val="sr-Cyrl-RS"/>
        </w:rPr>
        <w:t xml:space="preserve"> 18/16</w:t>
      </w:r>
    </w:p>
  </w:footnote>
  <w:footnote w:id="119">
    <w:p w:rsidR="00BB481C" w:rsidRPr="009E4910" w:rsidRDefault="00BB481C" w:rsidP="001B6DE8">
      <w:pPr>
        <w:spacing w:before="0" w:after="0" w:line="240" w:lineRule="auto"/>
        <w:jc w:val="both"/>
        <w:rPr>
          <w:rFonts w:ascii="Times New Roman" w:hAnsi="Times New Roman" w:cs="Times New Roman"/>
          <w:sz w:val="18"/>
          <w:szCs w:val="18"/>
          <w:lang w:val="sr-Cyrl-RS"/>
        </w:rPr>
      </w:pPr>
      <w:r w:rsidRPr="009E4910">
        <w:rPr>
          <w:rStyle w:val="FootnoteReference"/>
          <w:rFonts w:ascii="Times New Roman" w:hAnsi="Times New Roman" w:cs="Times New Roman"/>
          <w:sz w:val="18"/>
          <w:szCs w:val="18"/>
        </w:rPr>
        <w:footnoteRef/>
      </w:r>
      <w:r w:rsidRPr="009E4910">
        <w:rPr>
          <w:rFonts w:ascii="Times New Roman" w:hAnsi="Times New Roman" w:cs="Times New Roman"/>
          <w:sz w:val="18"/>
          <w:szCs w:val="18"/>
          <w:lang w:val="sr-Cyrl-RS"/>
        </w:rPr>
        <w:t xml:space="preserve"> </w:t>
      </w:r>
      <w:r>
        <w:rPr>
          <w:rFonts w:ascii="Times New Roman" w:hAnsi="Times New Roman" w:cs="Times New Roman"/>
          <w:sz w:val="18"/>
          <w:szCs w:val="18"/>
          <w:lang w:val="sr-Cyrl-RS"/>
        </w:rPr>
        <w:t>„</w:t>
      </w:r>
      <w:r w:rsidRPr="009E4910">
        <w:rPr>
          <w:rFonts w:ascii="Times New Roman" w:hAnsi="Times New Roman" w:cs="Times New Roman"/>
          <w:sz w:val="18"/>
          <w:szCs w:val="18"/>
          <w:lang w:val="sr-Cyrl-RS"/>
        </w:rPr>
        <w:t>Службени гласник РС</w:t>
      </w:r>
      <w:r>
        <w:rPr>
          <w:rFonts w:ascii="Times New Roman" w:hAnsi="Times New Roman" w:cs="Times New Roman"/>
          <w:sz w:val="18"/>
          <w:szCs w:val="18"/>
          <w:lang w:val="sr-Cyrl-RS"/>
        </w:rPr>
        <w:t>”</w:t>
      </w:r>
      <w:r w:rsidRPr="009E4910">
        <w:rPr>
          <w:rFonts w:ascii="Times New Roman" w:hAnsi="Times New Roman" w:cs="Times New Roman"/>
          <w:sz w:val="18"/>
          <w:szCs w:val="18"/>
          <w:lang w:val="sr-Cyrl-RS"/>
        </w:rPr>
        <w:t xml:space="preserve">, бр. </w:t>
      </w:r>
      <w:r w:rsidRPr="009E4910">
        <w:rPr>
          <w:rFonts w:ascii="Times New Roman" w:hAnsi="Times New Roman" w:cs="Times New Roman"/>
          <w:sz w:val="18"/>
          <w:szCs w:val="18"/>
          <w:lang w:val="sr-Latn-RS"/>
        </w:rPr>
        <w:t xml:space="preserve">21/16, 113/17, 95/18 </w:t>
      </w:r>
      <w:r>
        <w:rPr>
          <w:rFonts w:ascii="Times New Roman" w:hAnsi="Times New Roman" w:cs="Times New Roman"/>
          <w:sz w:val="18"/>
          <w:szCs w:val="18"/>
          <w:lang w:val="sr-Cyrl-RS"/>
        </w:rPr>
        <w:t>и</w:t>
      </w:r>
      <w:r w:rsidRPr="009E4910">
        <w:rPr>
          <w:rFonts w:ascii="Times New Roman" w:hAnsi="Times New Roman" w:cs="Times New Roman"/>
          <w:sz w:val="18"/>
          <w:szCs w:val="18"/>
          <w:lang w:val="sr-Latn-RS"/>
        </w:rPr>
        <w:t xml:space="preserve"> 113/17 - </w:t>
      </w:r>
      <w:r w:rsidRPr="009E4910">
        <w:rPr>
          <w:rFonts w:ascii="Times New Roman" w:hAnsi="Times New Roman" w:cs="Times New Roman"/>
          <w:sz w:val="18"/>
          <w:szCs w:val="18"/>
          <w:lang w:val="sr-Cyrl-RS"/>
        </w:rPr>
        <w:t>др</w:t>
      </w:r>
      <w:r w:rsidRPr="009E4910">
        <w:rPr>
          <w:rFonts w:ascii="Times New Roman" w:hAnsi="Times New Roman" w:cs="Times New Roman"/>
          <w:sz w:val="18"/>
          <w:szCs w:val="18"/>
          <w:lang w:val="sr-Latn-RS"/>
        </w:rPr>
        <w:t>.</w:t>
      </w:r>
      <w:r w:rsidRPr="009E4910">
        <w:rPr>
          <w:rFonts w:ascii="Times New Roman" w:hAnsi="Times New Roman" w:cs="Times New Roman"/>
          <w:sz w:val="18"/>
          <w:szCs w:val="18"/>
          <w:lang w:val="sr-Cyrl-RS"/>
        </w:rPr>
        <w:t xml:space="preserve"> закон</w:t>
      </w:r>
    </w:p>
  </w:footnote>
  <w:footnote w:id="120">
    <w:p w:rsidR="00BB481C" w:rsidRPr="009E4910" w:rsidRDefault="00BB481C" w:rsidP="001B6DE8">
      <w:pPr>
        <w:pStyle w:val="FootnoteText"/>
        <w:spacing w:before="0"/>
        <w:jc w:val="both"/>
        <w:rPr>
          <w:rFonts w:ascii="Times New Roman" w:hAnsi="Times New Roman"/>
          <w:sz w:val="18"/>
          <w:szCs w:val="18"/>
          <w:lang w:val="sr-Cyrl-RS"/>
        </w:rPr>
      </w:pPr>
      <w:r w:rsidRPr="009E4910">
        <w:rPr>
          <w:rStyle w:val="FootnoteReference"/>
          <w:rFonts w:ascii="Times New Roman" w:eastAsiaTheme="minorEastAsia" w:hAnsi="Times New Roman"/>
          <w:sz w:val="18"/>
          <w:szCs w:val="18"/>
        </w:rPr>
        <w:footnoteRef/>
      </w:r>
      <w:r w:rsidRPr="009E4910">
        <w:rPr>
          <w:rFonts w:ascii="Times New Roman" w:hAnsi="Times New Roman"/>
          <w:sz w:val="18"/>
          <w:szCs w:val="18"/>
          <w:lang w:val="sr-Cyrl-RS"/>
        </w:rPr>
        <w:t xml:space="preserve"> </w:t>
      </w:r>
      <w:r>
        <w:rPr>
          <w:rFonts w:ascii="Times New Roman" w:hAnsi="Times New Roman"/>
          <w:sz w:val="18"/>
          <w:szCs w:val="18"/>
          <w:lang w:val="sr-Cyrl-RS"/>
        </w:rPr>
        <w:t>„</w:t>
      </w:r>
      <w:r w:rsidRPr="009E4910">
        <w:rPr>
          <w:rFonts w:ascii="Times New Roman" w:hAnsi="Times New Roman"/>
          <w:sz w:val="18"/>
          <w:szCs w:val="18"/>
          <w:lang w:val="sr-Latn-RS"/>
        </w:rPr>
        <w:t>Службени гласник РС</w:t>
      </w:r>
      <w:r>
        <w:rPr>
          <w:rFonts w:ascii="Times New Roman" w:hAnsi="Times New Roman"/>
          <w:sz w:val="18"/>
          <w:szCs w:val="18"/>
          <w:lang w:val="sr-Cyrl-RS"/>
        </w:rPr>
        <w:t>”</w:t>
      </w:r>
      <w:r w:rsidRPr="009E4910">
        <w:rPr>
          <w:rFonts w:ascii="Times New Roman" w:hAnsi="Times New Roman"/>
          <w:sz w:val="18"/>
          <w:szCs w:val="18"/>
          <w:lang w:val="sr-Cyrl-RS"/>
        </w:rPr>
        <w:t>,</w:t>
      </w:r>
      <w:r w:rsidRPr="009E4910">
        <w:rPr>
          <w:rFonts w:ascii="Times New Roman" w:hAnsi="Times New Roman"/>
          <w:sz w:val="18"/>
          <w:szCs w:val="18"/>
          <w:lang w:val="sr-Latn-RS"/>
        </w:rPr>
        <w:t xml:space="preserve"> бр</w:t>
      </w:r>
      <w:r>
        <w:rPr>
          <w:rFonts w:ascii="Times New Roman" w:hAnsi="Times New Roman"/>
          <w:sz w:val="18"/>
          <w:szCs w:val="18"/>
          <w:lang w:val="sr-Cyrl-RS"/>
        </w:rPr>
        <w:t>.</w:t>
      </w:r>
      <w:r w:rsidRPr="009E4910">
        <w:rPr>
          <w:rFonts w:ascii="Times New Roman" w:hAnsi="Times New Roman"/>
          <w:sz w:val="18"/>
          <w:szCs w:val="18"/>
          <w:lang w:val="sr-Latn-RS"/>
        </w:rPr>
        <w:t xml:space="preserve"> 113/17, 95/18</w:t>
      </w:r>
      <w:r>
        <w:rPr>
          <w:rFonts w:ascii="Times New Roman" w:hAnsi="Times New Roman"/>
          <w:sz w:val="18"/>
          <w:szCs w:val="18"/>
          <w:lang w:val="sr-Cyrl-RS"/>
        </w:rPr>
        <w:t xml:space="preserve"> и</w:t>
      </w:r>
      <w:r w:rsidRPr="009E4910">
        <w:rPr>
          <w:rFonts w:ascii="Times New Roman" w:hAnsi="Times New Roman"/>
          <w:sz w:val="18"/>
          <w:szCs w:val="18"/>
          <w:lang w:val="sr-Latn-RS"/>
        </w:rPr>
        <w:t xml:space="preserve"> 86/19</w:t>
      </w:r>
    </w:p>
  </w:footnote>
  <w:footnote w:id="121">
    <w:p w:rsidR="00BB481C" w:rsidRPr="009E4910" w:rsidRDefault="00BB481C" w:rsidP="001B6DE8">
      <w:pPr>
        <w:pStyle w:val="FootnoteText"/>
        <w:spacing w:before="0"/>
        <w:jc w:val="both"/>
        <w:rPr>
          <w:rFonts w:ascii="Times New Roman" w:hAnsi="Times New Roman"/>
          <w:sz w:val="18"/>
          <w:szCs w:val="18"/>
          <w:lang w:val="sr-Cyrl-RS"/>
        </w:rPr>
      </w:pPr>
      <w:r w:rsidRPr="009E4910">
        <w:rPr>
          <w:rStyle w:val="FootnoteReference"/>
          <w:rFonts w:ascii="Times New Roman" w:eastAsiaTheme="minorEastAsia" w:hAnsi="Times New Roman"/>
          <w:sz w:val="18"/>
          <w:szCs w:val="18"/>
        </w:rPr>
        <w:footnoteRef/>
      </w:r>
      <w:r w:rsidRPr="009E4910">
        <w:rPr>
          <w:rFonts w:ascii="Times New Roman" w:hAnsi="Times New Roman"/>
          <w:sz w:val="18"/>
          <w:szCs w:val="18"/>
          <w:lang w:val="sr-Cyrl-RS"/>
        </w:rPr>
        <w:t xml:space="preserve"> </w:t>
      </w:r>
      <w:r>
        <w:rPr>
          <w:rFonts w:ascii="Times New Roman" w:hAnsi="Times New Roman"/>
          <w:sz w:val="18"/>
          <w:szCs w:val="18"/>
          <w:lang w:val="sr-Cyrl-RS"/>
        </w:rPr>
        <w:t>„</w:t>
      </w:r>
      <w:r w:rsidRPr="009E4910">
        <w:rPr>
          <w:rFonts w:ascii="Times New Roman" w:hAnsi="Times New Roman"/>
          <w:sz w:val="18"/>
          <w:szCs w:val="18"/>
          <w:lang w:val="sr-Cyrl-RS"/>
        </w:rPr>
        <w:t>Службени гласник РС</w:t>
      </w:r>
      <w:r>
        <w:rPr>
          <w:rFonts w:ascii="Times New Roman" w:hAnsi="Times New Roman"/>
          <w:sz w:val="18"/>
          <w:szCs w:val="18"/>
          <w:lang w:val="sr-Cyrl-RS"/>
        </w:rPr>
        <w:t>”</w:t>
      </w:r>
      <w:r w:rsidRPr="009E4910">
        <w:rPr>
          <w:rFonts w:ascii="Times New Roman" w:hAnsi="Times New Roman"/>
          <w:sz w:val="18"/>
          <w:szCs w:val="18"/>
          <w:lang w:val="sr-Cyrl-RS"/>
        </w:rPr>
        <w:t>, бр</w:t>
      </w:r>
      <w:r>
        <w:rPr>
          <w:rFonts w:ascii="Times New Roman" w:hAnsi="Times New Roman"/>
          <w:sz w:val="18"/>
          <w:szCs w:val="18"/>
          <w:lang w:val="sr-Cyrl-RS"/>
        </w:rPr>
        <w:t>ој</w:t>
      </w:r>
      <w:r w:rsidRPr="009E4910">
        <w:rPr>
          <w:rFonts w:ascii="Times New Roman" w:hAnsi="Times New Roman"/>
          <w:sz w:val="18"/>
          <w:szCs w:val="18"/>
          <w:lang w:val="sr-Cyrl-RS"/>
        </w:rPr>
        <w:t xml:space="preserve"> 2/19</w:t>
      </w:r>
    </w:p>
  </w:footnote>
  <w:footnote w:id="122">
    <w:p w:rsidR="00BB481C" w:rsidRPr="009E4910" w:rsidRDefault="00BB481C" w:rsidP="001B6DE8">
      <w:pPr>
        <w:pStyle w:val="FootnoteText"/>
        <w:spacing w:before="0"/>
        <w:jc w:val="both"/>
        <w:rPr>
          <w:rFonts w:ascii="Times New Roman" w:hAnsi="Times New Roman"/>
          <w:sz w:val="18"/>
          <w:szCs w:val="18"/>
          <w:lang w:val="sr-Cyrl-RS"/>
        </w:rPr>
      </w:pPr>
      <w:r w:rsidRPr="009E4910">
        <w:rPr>
          <w:rStyle w:val="FootnoteReference"/>
          <w:rFonts w:ascii="Times New Roman" w:eastAsiaTheme="minorEastAsia" w:hAnsi="Times New Roman"/>
          <w:sz w:val="18"/>
          <w:szCs w:val="18"/>
        </w:rPr>
        <w:footnoteRef/>
      </w:r>
      <w:r w:rsidRPr="009E4910">
        <w:rPr>
          <w:rFonts w:ascii="Times New Roman" w:hAnsi="Times New Roman"/>
          <w:sz w:val="18"/>
          <w:szCs w:val="18"/>
          <w:lang w:val="sr-Cyrl-RS"/>
        </w:rPr>
        <w:t xml:space="preserve"> </w:t>
      </w:r>
      <w:r>
        <w:rPr>
          <w:rFonts w:ascii="Times New Roman" w:hAnsi="Times New Roman"/>
          <w:sz w:val="18"/>
          <w:szCs w:val="18"/>
          <w:lang w:val="sr-Cyrl-RS"/>
        </w:rPr>
        <w:t>„</w:t>
      </w:r>
      <w:r w:rsidRPr="009E4910">
        <w:rPr>
          <w:rFonts w:ascii="Times New Roman" w:hAnsi="Times New Roman"/>
          <w:sz w:val="18"/>
          <w:szCs w:val="18"/>
          <w:lang w:val="sr-Cyrl-RS"/>
        </w:rPr>
        <w:t>Службени гласник РС</w:t>
      </w:r>
      <w:r>
        <w:rPr>
          <w:rFonts w:ascii="Times New Roman" w:hAnsi="Times New Roman"/>
          <w:sz w:val="18"/>
          <w:szCs w:val="18"/>
          <w:lang w:val="sr-Cyrl-RS"/>
        </w:rPr>
        <w:t>”</w:t>
      </w:r>
      <w:r w:rsidRPr="009E4910">
        <w:rPr>
          <w:rFonts w:ascii="Times New Roman" w:hAnsi="Times New Roman"/>
          <w:sz w:val="18"/>
          <w:szCs w:val="18"/>
          <w:lang w:val="sr-Cyrl-RS"/>
        </w:rPr>
        <w:t>, бр</w:t>
      </w:r>
      <w:r>
        <w:rPr>
          <w:rFonts w:ascii="Times New Roman" w:hAnsi="Times New Roman"/>
          <w:sz w:val="18"/>
          <w:szCs w:val="18"/>
          <w:lang w:val="sr-Cyrl-RS"/>
        </w:rPr>
        <w:t>ој</w:t>
      </w:r>
      <w:r w:rsidRPr="009E4910">
        <w:rPr>
          <w:rFonts w:ascii="Times New Roman" w:hAnsi="Times New Roman"/>
          <w:sz w:val="18"/>
          <w:szCs w:val="18"/>
          <w:lang w:val="sr-Cyrl-RS"/>
        </w:rPr>
        <w:t xml:space="preserve"> 28/19</w:t>
      </w:r>
    </w:p>
  </w:footnote>
  <w:footnote w:id="123">
    <w:p w:rsidR="00BB481C" w:rsidRPr="000B54AD" w:rsidRDefault="00BB481C" w:rsidP="001B6DE8">
      <w:pPr>
        <w:pStyle w:val="FootnoteText"/>
        <w:spacing w:before="0"/>
        <w:jc w:val="both"/>
        <w:rPr>
          <w:rFonts w:ascii="Times New Roman" w:hAnsi="Times New Roman"/>
          <w:sz w:val="18"/>
          <w:szCs w:val="18"/>
          <w:lang w:val="sr-Cyrl-RS"/>
        </w:rPr>
      </w:pPr>
      <w:r w:rsidRPr="000B54AD">
        <w:rPr>
          <w:rStyle w:val="FootnoteReference"/>
          <w:rFonts w:ascii="Times New Roman" w:eastAsiaTheme="minorEastAsia" w:hAnsi="Times New Roman"/>
          <w:sz w:val="18"/>
          <w:szCs w:val="18"/>
        </w:rPr>
        <w:footnoteRef/>
      </w:r>
      <w:r w:rsidRPr="000B54AD">
        <w:rPr>
          <w:rFonts w:ascii="Times New Roman" w:hAnsi="Times New Roman"/>
          <w:sz w:val="18"/>
          <w:szCs w:val="18"/>
          <w:lang w:val="sr-Cyrl-RS"/>
        </w:rPr>
        <w:t xml:space="preserve"> Мера 2.3 Развој и усклађивање основних функција управљања људским ресурсима за шири систем јавне управе успостављањем до краја 2017. одрживог система стручног усавршавања запослених у јавној управи</w:t>
      </w:r>
    </w:p>
  </w:footnote>
  <w:footnote w:id="124">
    <w:p w:rsidR="00BB481C" w:rsidRPr="00890909" w:rsidRDefault="00BB481C" w:rsidP="001B6DE8">
      <w:pPr>
        <w:pStyle w:val="FootnoteText"/>
        <w:spacing w:before="0"/>
        <w:jc w:val="both"/>
        <w:rPr>
          <w:rFonts w:ascii="Times New Roman" w:hAnsi="Times New Roman"/>
          <w:sz w:val="18"/>
          <w:szCs w:val="18"/>
          <w:lang w:val="sr-Cyrl-RS"/>
        </w:rPr>
      </w:pPr>
      <w:r w:rsidRPr="00890909">
        <w:rPr>
          <w:rStyle w:val="FootnoteReference"/>
          <w:rFonts w:ascii="Times New Roman" w:eastAsiaTheme="minorEastAsia" w:hAnsi="Times New Roman"/>
          <w:sz w:val="18"/>
          <w:szCs w:val="18"/>
        </w:rPr>
        <w:footnoteRef/>
      </w:r>
      <w:r w:rsidRPr="00890909">
        <w:rPr>
          <w:rFonts w:ascii="Times New Roman" w:hAnsi="Times New Roman"/>
          <w:sz w:val="18"/>
          <w:szCs w:val="18"/>
          <w:lang w:val="sr-Cyrl-RS"/>
        </w:rPr>
        <w:t xml:space="preserve"> </w:t>
      </w:r>
      <w:r>
        <w:rPr>
          <w:rFonts w:ascii="Times New Roman" w:hAnsi="Times New Roman"/>
          <w:sz w:val="18"/>
          <w:szCs w:val="18"/>
          <w:lang w:val="sr-Cyrl-RS"/>
        </w:rPr>
        <w:t>„</w:t>
      </w:r>
      <w:r w:rsidRPr="00890909">
        <w:rPr>
          <w:rFonts w:ascii="Times New Roman" w:hAnsi="Times New Roman"/>
          <w:sz w:val="18"/>
          <w:szCs w:val="18"/>
          <w:lang w:val="sr-Cyrl-RS"/>
        </w:rPr>
        <w:t>Службени гласник РС</w:t>
      </w:r>
      <w:r>
        <w:rPr>
          <w:rFonts w:ascii="Times New Roman" w:hAnsi="Times New Roman"/>
          <w:sz w:val="18"/>
          <w:szCs w:val="18"/>
          <w:lang w:val="sr-Cyrl-RS"/>
        </w:rPr>
        <w:t>”</w:t>
      </w:r>
      <w:r w:rsidRPr="00890909">
        <w:rPr>
          <w:rFonts w:ascii="Times New Roman" w:hAnsi="Times New Roman"/>
          <w:sz w:val="18"/>
          <w:szCs w:val="18"/>
          <w:lang w:val="sr-Cyrl-RS"/>
        </w:rPr>
        <w:t>, бр</w:t>
      </w:r>
      <w:r>
        <w:rPr>
          <w:rFonts w:ascii="Times New Roman" w:hAnsi="Times New Roman"/>
          <w:sz w:val="18"/>
          <w:szCs w:val="18"/>
          <w:lang w:val="sr-Cyrl-RS"/>
        </w:rPr>
        <w:t>ој</w:t>
      </w:r>
      <w:r w:rsidRPr="00890909">
        <w:rPr>
          <w:rFonts w:ascii="Times New Roman" w:hAnsi="Times New Roman"/>
          <w:sz w:val="18"/>
          <w:szCs w:val="18"/>
          <w:lang w:val="sr-Cyrl-RS"/>
        </w:rPr>
        <w:t xml:space="preserve"> 94/19</w:t>
      </w:r>
    </w:p>
  </w:footnote>
  <w:footnote w:id="125">
    <w:p w:rsidR="00BB481C" w:rsidRPr="00890909" w:rsidRDefault="00BB481C" w:rsidP="001B6DE8">
      <w:pPr>
        <w:spacing w:before="0" w:after="0" w:line="240" w:lineRule="auto"/>
        <w:ind w:left="252" w:hanging="252"/>
        <w:jc w:val="both"/>
        <w:rPr>
          <w:rFonts w:ascii="Times New Roman" w:hAnsi="Times New Roman"/>
          <w:sz w:val="18"/>
          <w:szCs w:val="18"/>
          <w:lang w:val="sr-Cyrl-RS"/>
        </w:rPr>
      </w:pPr>
      <w:r w:rsidRPr="00890909">
        <w:rPr>
          <w:rStyle w:val="FootnoteReference"/>
          <w:rFonts w:ascii="Times New Roman" w:hAnsi="Times New Roman" w:cs="Times New Roman"/>
          <w:sz w:val="18"/>
          <w:szCs w:val="18"/>
        </w:rPr>
        <w:footnoteRef/>
      </w:r>
      <w:r w:rsidRPr="00890909">
        <w:rPr>
          <w:rFonts w:ascii="Times New Roman" w:hAnsi="Times New Roman" w:cs="Times New Roman"/>
          <w:sz w:val="18"/>
          <w:szCs w:val="18"/>
          <w:lang w:val="sr-Cyrl-RS"/>
        </w:rPr>
        <w:t xml:space="preserve"> Мера 1.1 из АП</w:t>
      </w:r>
      <w:r w:rsidRPr="00890909">
        <w:rPr>
          <w:rFonts w:ascii="Times New Roman" w:hAnsi="Times New Roman" w:cs="Times New Roman"/>
          <w:sz w:val="18"/>
          <w:szCs w:val="18"/>
          <w:lang w:val="sr-Latn-RS"/>
        </w:rPr>
        <w:t xml:space="preserve"> </w:t>
      </w:r>
      <w:r w:rsidRPr="00890909">
        <w:rPr>
          <w:rFonts w:ascii="Times New Roman" w:hAnsi="Times New Roman" w:cs="Times New Roman"/>
          <w:sz w:val="18"/>
          <w:szCs w:val="18"/>
          <w:lang w:val="sr-Cyrl-RS"/>
        </w:rPr>
        <w:t>за</w:t>
      </w:r>
      <w:r w:rsidRPr="00890909">
        <w:rPr>
          <w:rFonts w:ascii="Times New Roman" w:hAnsi="Times New Roman" w:cs="Times New Roman"/>
          <w:sz w:val="18"/>
          <w:szCs w:val="18"/>
          <w:lang w:val="sr-Latn-RS"/>
        </w:rPr>
        <w:t xml:space="preserve"> </w:t>
      </w:r>
      <w:r w:rsidRPr="00890909">
        <w:rPr>
          <w:rFonts w:ascii="Times New Roman" w:hAnsi="Times New Roman" w:cs="Times New Roman"/>
          <w:sz w:val="18"/>
          <w:szCs w:val="18"/>
          <w:lang w:val="sr-Cyrl-RS"/>
        </w:rPr>
        <w:t>спровођење</w:t>
      </w:r>
      <w:r w:rsidRPr="00890909">
        <w:rPr>
          <w:rFonts w:ascii="Times New Roman" w:hAnsi="Times New Roman" w:cs="Times New Roman"/>
          <w:sz w:val="18"/>
          <w:szCs w:val="18"/>
          <w:lang w:val="sr-Latn-RS"/>
        </w:rPr>
        <w:t xml:space="preserve"> </w:t>
      </w:r>
      <w:r w:rsidRPr="00890909">
        <w:rPr>
          <w:rFonts w:ascii="Times New Roman" w:hAnsi="Times New Roman" w:cs="Times New Roman"/>
          <w:sz w:val="18"/>
          <w:szCs w:val="18"/>
          <w:lang w:val="sr-Cyrl-RS"/>
        </w:rPr>
        <w:t>Стратегије</w:t>
      </w:r>
      <w:r w:rsidRPr="00890909">
        <w:rPr>
          <w:rFonts w:ascii="Times New Roman" w:hAnsi="Times New Roman" w:cs="Times New Roman"/>
          <w:sz w:val="18"/>
          <w:szCs w:val="18"/>
          <w:lang w:val="sr-Latn-RS"/>
        </w:rPr>
        <w:t xml:space="preserve"> </w:t>
      </w:r>
      <w:r w:rsidRPr="00890909">
        <w:rPr>
          <w:rFonts w:ascii="Times New Roman" w:hAnsi="Times New Roman" w:cs="Times New Roman"/>
          <w:sz w:val="18"/>
          <w:szCs w:val="18"/>
          <w:lang w:val="sr-Cyrl-RS"/>
        </w:rPr>
        <w:t>реформе</w:t>
      </w:r>
      <w:r w:rsidRPr="00890909">
        <w:rPr>
          <w:rFonts w:ascii="Times New Roman" w:hAnsi="Times New Roman" w:cs="Times New Roman"/>
          <w:sz w:val="18"/>
          <w:szCs w:val="18"/>
          <w:lang w:val="sr-Latn-RS"/>
        </w:rPr>
        <w:t xml:space="preserve"> </w:t>
      </w:r>
      <w:r w:rsidRPr="00890909">
        <w:rPr>
          <w:rFonts w:ascii="Times New Roman" w:hAnsi="Times New Roman" w:cs="Times New Roman"/>
          <w:sz w:val="18"/>
          <w:szCs w:val="18"/>
          <w:lang w:val="sr-Cyrl-RS"/>
        </w:rPr>
        <w:t>јавне</w:t>
      </w:r>
      <w:r w:rsidRPr="00890909">
        <w:rPr>
          <w:rFonts w:ascii="Times New Roman" w:hAnsi="Times New Roman" w:cs="Times New Roman"/>
          <w:sz w:val="18"/>
          <w:szCs w:val="18"/>
          <w:lang w:val="sr-Latn-RS"/>
        </w:rPr>
        <w:t xml:space="preserve"> </w:t>
      </w:r>
      <w:r w:rsidRPr="00890909">
        <w:rPr>
          <w:rFonts w:ascii="Times New Roman" w:hAnsi="Times New Roman" w:cs="Times New Roman"/>
          <w:sz w:val="18"/>
          <w:szCs w:val="18"/>
          <w:lang w:val="sr-Cyrl-RS"/>
        </w:rPr>
        <w:t>управе</w:t>
      </w:r>
      <w:r w:rsidRPr="00890909">
        <w:rPr>
          <w:rFonts w:ascii="Times New Roman" w:hAnsi="Times New Roman" w:cs="Times New Roman"/>
          <w:sz w:val="18"/>
          <w:szCs w:val="18"/>
          <w:lang w:val="sr-Latn-RS"/>
        </w:rPr>
        <w:t xml:space="preserve">, 2015. </w:t>
      </w:r>
      <w:r w:rsidRPr="00890909">
        <w:rPr>
          <w:rFonts w:ascii="Times New Roman" w:hAnsi="Times New Roman" w:cs="Times New Roman"/>
          <w:sz w:val="18"/>
          <w:szCs w:val="18"/>
          <w:lang w:val="sr-Cyrl-RS"/>
        </w:rPr>
        <w:t>година</w:t>
      </w:r>
    </w:p>
  </w:footnote>
  <w:footnote w:id="126">
    <w:p w:rsidR="00BB481C" w:rsidRPr="00890909" w:rsidRDefault="00BB481C" w:rsidP="001B6DE8">
      <w:pPr>
        <w:spacing w:before="0" w:after="0" w:line="240" w:lineRule="auto"/>
        <w:jc w:val="both"/>
        <w:rPr>
          <w:rFonts w:ascii="Times New Roman" w:hAnsi="Times New Roman"/>
          <w:sz w:val="18"/>
          <w:szCs w:val="18"/>
          <w:lang w:val="sr-Cyrl-RS"/>
        </w:rPr>
      </w:pPr>
      <w:r w:rsidRPr="00890909">
        <w:rPr>
          <w:rStyle w:val="FootnoteReference"/>
          <w:rFonts w:ascii="Times New Roman" w:hAnsi="Times New Roman"/>
          <w:sz w:val="18"/>
          <w:szCs w:val="18"/>
        </w:rPr>
        <w:footnoteRef/>
      </w:r>
      <w:r w:rsidRPr="00890909">
        <w:rPr>
          <w:rFonts w:ascii="Times New Roman" w:hAnsi="Times New Roman"/>
          <w:sz w:val="18"/>
          <w:szCs w:val="18"/>
          <w:lang w:val="sr-Latn-RS"/>
        </w:rPr>
        <w:t xml:space="preserve"> </w:t>
      </w:r>
      <w:r>
        <w:rPr>
          <w:rFonts w:ascii="Times New Roman" w:hAnsi="Times New Roman"/>
          <w:sz w:val="18"/>
          <w:szCs w:val="18"/>
          <w:lang w:val="sr-Cyrl-RS"/>
        </w:rPr>
        <w:t>„</w:t>
      </w:r>
      <w:r w:rsidRPr="00890909">
        <w:rPr>
          <w:rStyle w:val="st1"/>
          <w:rFonts w:ascii="Times New Roman" w:hAnsi="Times New Roman"/>
          <w:sz w:val="18"/>
          <w:szCs w:val="18"/>
          <w:lang w:val="sr-Cyrl-RS"/>
        </w:rPr>
        <w:t>Службени</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lang w:val="sr-Cyrl-RS"/>
        </w:rPr>
        <w:t>гласник</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lang w:val="sr-Cyrl-RS"/>
        </w:rPr>
        <w:t>РС</w:t>
      </w:r>
      <w:r>
        <w:rPr>
          <w:rStyle w:val="st1"/>
          <w:rFonts w:ascii="Times New Roman" w:hAnsi="Times New Roman"/>
          <w:sz w:val="18"/>
          <w:szCs w:val="18"/>
          <w:lang w:val="sr-Cyrl-RS"/>
        </w:rPr>
        <w:t>”</w:t>
      </w:r>
      <w:r w:rsidRPr="007B2C53">
        <w:rPr>
          <w:rStyle w:val="st1"/>
          <w:rFonts w:ascii="Times New Roman" w:hAnsi="Times New Roman"/>
          <w:sz w:val="18"/>
          <w:szCs w:val="18"/>
          <w:lang w:val="sr-Latn-RS"/>
        </w:rPr>
        <w:t>,</w:t>
      </w:r>
      <w:r w:rsidRPr="00890909">
        <w:rPr>
          <w:rStyle w:val="st1"/>
          <w:rFonts w:ascii="Times New Roman" w:hAnsi="Times New Roman"/>
          <w:b/>
          <w:sz w:val="18"/>
          <w:szCs w:val="18"/>
          <w:lang w:val="sr-Latn-RS"/>
        </w:rPr>
        <w:t xml:space="preserve"> </w:t>
      </w:r>
      <w:r>
        <w:rPr>
          <w:rStyle w:val="st1"/>
          <w:rFonts w:ascii="Times New Roman" w:hAnsi="Times New Roman"/>
          <w:sz w:val="18"/>
          <w:szCs w:val="18"/>
          <w:lang w:val="sr-Cyrl-RS"/>
        </w:rPr>
        <w:t>број</w:t>
      </w:r>
      <w:r w:rsidRPr="00890909">
        <w:rPr>
          <w:rStyle w:val="st1"/>
          <w:rFonts w:ascii="Times New Roman" w:hAnsi="Times New Roman"/>
          <w:sz w:val="18"/>
          <w:szCs w:val="18"/>
          <w:lang w:val="sr-Latn-RS"/>
        </w:rPr>
        <w:t xml:space="preserve"> </w:t>
      </w:r>
      <w:r w:rsidRPr="00890909">
        <w:rPr>
          <w:rFonts w:ascii="Times New Roman" w:hAnsi="Times New Roman"/>
          <w:sz w:val="18"/>
          <w:szCs w:val="18"/>
          <w:lang w:val="sr-Cyrl-RS"/>
        </w:rPr>
        <w:t>15</w:t>
      </w:r>
      <w:r w:rsidRPr="00890909">
        <w:rPr>
          <w:rFonts w:ascii="Times New Roman" w:hAnsi="Times New Roman"/>
          <w:sz w:val="18"/>
          <w:szCs w:val="18"/>
          <w:lang w:val="sr-Latn-RS"/>
        </w:rPr>
        <w:t>/1</w:t>
      </w:r>
      <w:r w:rsidRPr="00890909">
        <w:rPr>
          <w:rFonts w:ascii="Times New Roman" w:hAnsi="Times New Roman"/>
          <w:sz w:val="18"/>
          <w:szCs w:val="18"/>
          <w:lang w:val="sr-Cyrl-RS"/>
        </w:rPr>
        <w:t>9 овом новом уредбом разрађен  је појам адм</w:t>
      </w:r>
      <w:r>
        <w:rPr>
          <w:rFonts w:ascii="Times New Roman" w:hAnsi="Times New Roman"/>
          <w:sz w:val="18"/>
          <w:szCs w:val="18"/>
          <w:lang w:val="sr-Cyrl-RS"/>
        </w:rPr>
        <w:t>и</w:t>
      </w:r>
      <w:r w:rsidRPr="00890909">
        <w:rPr>
          <w:rFonts w:ascii="Times New Roman" w:hAnsi="Times New Roman"/>
          <w:sz w:val="18"/>
          <w:szCs w:val="18"/>
          <w:lang w:val="sr-Cyrl-RS"/>
        </w:rPr>
        <w:t>нистративне провере и провере и проши</w:t>
      </w:r>
      <w:r>
        <w:rPr>
          <w:rFonts w:ascii="Times New Roman" w:hAnsi="Times New Roman"/>
          <w:sz w:val="18"/>
          <w:szCs w:val="18"/>
          <w:lang w:val="sr-Cyrl-RS"/>
        </w:rPr>
        <w:t>р</w:t>
      </w:r>
      <w:r w:rsidRPr="00890909">
        <w:rPr>
          <w:rFonts w:ascii="Times New Roman" w:hAnsi="Times New Roman"/>
          <w:sz w:val="18"/>
          <w:szCs w:val="18"/>
          <w:lang w:val="sr-Cyrl-RS"/>
        </w:rPr>
        <w:t>ен је обим послова Тела за сузбијање неправилности и превара у поступању са финансијским средствима Европске</w:t>
      </w:r>
      <w:r>
        <w:rPr>
          <w:rFonts w:ascii="Times New Roman" w:hAnsi="Times New Roman"/>
          <w:sz w:val="18"/>
          <w:szCs w:val="18"/>
          <w:lang w:val="sr-Cyrl-RS"/>
        </w:rPr>
        <w:t xml:space="preserve"> уније</w:t>
      </w:r>
    </w:p>
  </w:footnote>
  <w:footnote w:id="127">
    <w:p w:rsidR="00BB481C" w:rsidRPr="00890909" w:rsidRDefault="00BB481C" w:rsidP="001B6DE8">
      <w:pPr>
        <w:spacing w:before="0" w:after="0" w:line="240" w:lineRule="auto"/>
        <w:jc w:val="both"/>
        <w:rPr>
          <w:rFonts w:ascii="Times New Roman" w:hAnsi="Times New Roman"/>
          <w:sz w:val="18"/>
          <w:szCs w:val="18"/>
          <w:lang w:val="sr-Cyrl-RS"/>
        </w:rPr>
      </w:pPr>
      <w:r w:rsidRPr="00890909">
        <w:rPr>
          <w:rStyle w:val="FootnoteReference"/>
          <w:rFonts w:ascii="Times New Roman" w:hAnsi="Times New Roman"/>
          <w:sz w:val="18"/>
          <w:szCs w:val="18"/>
        </w:rPr>
        <w:footnoteRef/>
      </w:r>
      <w:r w:rsidRPr="00890909">
        <w:rPr>
          <w:rFonts w:ascii="Times New Roman" w:hAnsi="Times New Roman"/>
          <w:sz w:val="18"/>
          <w:szCs w:val="18"/>
          <w:lang w:val="sr-Latn-RS"/>
        </w:rPr>
        <w:t xml:space="preserve"> </w:t>
      </w:r>
      <w:r>
        <w:rPr>
          <w:rFonts w:ascii="Times New Roman" w:hAnsi="Times New Roman"/>
          <w:sz w:val="18"/>
          <w:szCs w:val="18"/>
          <w:lang w:val="sr-Cyrl-RS"/>
        </w:rPr>
        <w:t>„</w:t>
      </w:r>
      <w:r w:rsidRPr="00890909">
        <w:rPr>
          <w:rStyle w:val="st1"/>
          <w:rFonts w:ascii="Times New Roman" w:hAnsi="Times New Roman"/>
          <w:sz w:val="18"/>
          <w:szCs w:val="18"/>
          <w:lang w:val="sr-Cyrl-RS"/>
        </w:rPr>
        <w:t>Службени</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lang w:val="sr-Cyrl-RS"/>
        </w:rPr>
        <w:t>гласник</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lang w:val="sr-Cyrl-RS"/>
        </w:rPr>
        <w:t>РС</w:t>
      </w:r>
      <w:r>
        <w:rPr>
          <w:rStyle w:val="st1"/>
          <w:rFonts w:ascii="Times New Roman" w:hAnsi="Times New Roman"/>
          <w:sz w:val="18"/>
          <w:szCs w:val="18"/>
          <w:lang w:val="sr-Cyrl-RS"/>
        </w:rPr>
        <w:t>”</w:t>
      </w:r>
      <w:r w:rsidRPr="00890909">
        <w:rPr>
          <w:rStyle w:val="st1"/>
          <w:rFonts w:ascii="Times New Roman" w:hAnsi="Times New Roman"/>
          <w:b/>
          <w:sz w:val="18"/>
          <w:szCs w:val="18"/>
          <w:lang w:val="sr-Latn-RS"/>
        </w:rPr>
        <w:t xml:space="preserve">, </w:t>
      </w:r>
      <w:r>
        <w:rPr>
          <w:rStyle w:val="st1"/>
          <w:rFonts w:ascii="Times New Roman" w:hAnsi="Times New Roman"/>
          <w:sz w:val="18"/>
          <w:szCs w:val="18"/>
          <w:lang w:val="sr-Cyrl-RS"/>
        </w:rPr>
        <w:t>бр.</w:t>
      </w:r>
      <w:r w:rsidRPr="00890909">
        <w:rPr>
          <w:rStyle w:val="st1"/>
          <w:rFonts w:ascii="Times New Roman" w:hAnsi="Times New Roman"/>
          <w:sz w:val="18"/>
          <w:szCs w:val="18"/>
          <w:lang w:val="sr-Latn-RS"/>
        </w:rPr>
        <w:t xml:space="preserve"> </w:t>
      </w:r>
      <w:r w:rsidRPr="00890909">
        <w:rPr>
          <w:rFonts w:ascii="Times New Roman" w:hAnsi="Times New Roman"/>
          <w:sz w:val="18"/>
          <w:szCs w:val="18"/>
          <w:lang w:val="sr-Cyrl-RS"/>
        </w:rPr>
        <w:t>101/17, 68/18 и 3/19</w:t>
      </w:r>
    </w:p>
  </w:footnote>
  <w:footnote w:id="128">
    <w:p w:rsidR="00BB481C" w:rsidRPr="00890909" w:rsidRDefault="00BB481C" w:rsidP="001B6DE8">
      <w:pPr>
        <w:spacing w:before="0" w:after="0" w:line="240" w:lineRule="auto"/>
        <w:jc w:val="both"/>
        <w:rPr>
          <w:rFonts w:ascii="Times New Roman" w:hAnsi="Times New Roman"/>
          <w:sz w:val="18"/>
          <w:szCs w:val="18"/>
          <w:lang w:val="sr-Latn-RS"/>
        </w:rPr>
      </w:pPr>
      <w:r w:rsidRPr="00890909">
        <w:rPr>
          <w:rStyle w:val="FootnoteReference"/>
          <w:rFonts w:ascii="Times New Roman" w:hAnsi="Times New Roman"/>
          <w:sz w:val="18"/>
          <w:szCs w:val="18"/>
        </w:rPr>
        <w:footnoteRef/>
      </w:r>
      <w:r w:rsidRPr="00890909">
        <w:rPr>
          <w:rFonts w:ascii="Times New Roman" w:hAnsi="Times New Roman"/>
          <w:sz w:val="18"/>
          <w:szCs w:val="18"/>
          <w:lang w:val="sr-Latn-RS"/>
        </w:rPr>
        <w:t xml:space="preserve"> </w:t>
      </w:r>
      <w:r>
        <w:rPr>
          <w:rFonts w:ascii="Times New Roman" w:hAnsi="Times New Roman"/>
          <w:sz w:val="18"/>
          <w:szCs w:val="18"/>
          <w:lang w:val="sr-Cyrl-RS"/>
        </w:rPr>
        <w:t>„</w:t>
      </w:r>
      <w:r w:rsidRPr="00890909">
        <w:rPr>
          <w:rStyle w:val="st1"/>
          <w:rFonts w:ascii="Times New Roman" w:hAnsi="Times New Roman"/>
          <w:sz w:val="18"/>
          <w:szCs w:val="18"/>
          <w:lang w:val="sr-Cyrl-RS"/>
        </w:rPr>
        <w:t>Службени</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lang w:val="sr-Cyrl-RS"/>
        </w:rPr>
        <w:t>гласник</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lang w:val="sr-Cyrl-RS"/>
        </w:rPr>
        <w:t>РС</w:t>
      </w:r>
      <w:r>
        <w:rPr>
          <w:rStyle w:val="st1"/>
          <w:rFonts w:ascii="Times New Roman" w:hAnsi="Times New Roman"/>
          <w:sz w:val="18"/>
          <w:szCs w:val="18"/>
          <w:lang w:val="sr-Cyrl-RS"/>
        </w:rPr>
        <w:t>”</w:t>
      </w:r>
      <w:r w:rsidRPr="00890909">
        <w:rPr>
          <w:rStyle w:val="st1"/>
          <w:rFonts w:ascii="Times New Roman" w:hAnsi="Times New Roman"/>
          <w:b/>
          <w:sz w:val="18"/>
          <w:szCs w:val="18"/>
          <w:lang w:val="sr-Latn-RS"/>
        </w:rPr>
        <w:t xml:space="preserve">, </w:t>
      </w:r>
      <w:r>
        <w:rPr>
          <w:rStyle w:val="st1"/>
          <w:rFonts w:ascii="Times New Roman" w:hAnsi="Times New Roman"/>
          <w:sz w:val="18"/>
          <w:szCs w:val="18"/>
          <w:lang w:val="sr-Cyrl-RS"/>
        </w:rPr>
        <w:t>број</w:t>
      </w:r>
      <w:r w:rsidRPr="00890909">
        <w:rPr>
          <w:rFonts w:ascii="Times New Roman" w:hAnsi="Times New Roman"/>
          <w:sz w:val="18"/>
          <w:szCs w:val="18"/>
          <w:lang w:val="sr-Latn-RS"/>
        </w:rPr>
        <w:t xml:space="preserve"> </w:t>
      </w:r>
      <w:r w:rsidRPr="00890909">
        <w:rPr>
          <w:rFonts w:ascii="Times New Roman" w:hAnsi="Times New Roman"/>
          <w:sz w:val="18"/>
          <w:szCs w:val="18"/>
          <w:lang w:val="sr-Cyrl-RS"/>
        </w:rPr>
        <w:t>10</w:t>
      </w:r>
      <w:r w:rsidRPr="00890909">
        <w:rPr>
          <w:rFonts w:ascii="Times New Roman" w:hAnsi="Times New Roman"/>
          <w:sz w:val="18"/>
          <w:szCs w:val="18"/>
          <w:lang w:val="sr-Latn-RS"/>
        </w:rPr>
        <w:t>/</w:t>
      </w:r>
      <w:r w:rsidRPr="00890909">
        <w:rPr>
          <w:rFonts w:ascii="Times New Roman" w:hAnsi="Times New Roman"/>
          <w:sz w:val="18"/>
          <w:szCs w:val="18"/>
          <w:lang w:val="sr-Cyrl-RS"/>
        </w:rPr>
        <w:t>19</w:t>
      </w:r>
    </w:p>
  </w:footnote>
  <w:footnote w:id="129">
    <w:p w:rsidR="00BB481C" w:rsidRPr="00890909" w:rsidRDefault="00BB481C" w:rsidP="001B6DE8">
      <w:pPr>
        <w:spacing w:before="0" w:after="0" w:line="240" w:lineRule="auto"/>
        <w:jc w:val="both"/>
        <w:rPr>
          <w:rFonts w:ascii="Times New Roman" w:hAnsi="Times New Roman"/>
          <w:sz w:val="16"/>
          <w:szCs w:val="16"/>
          <w:lang w:val="sr-Latn-RS"/>
        </w:rPr>
      </w:pPr>
      <w:r w:rsidRPr="00890909">
        <w:rPr>
          <w:rStyle w:val="FootnoteReference"/>
          <w:rFonts w:ascii="Times New Roman" w:hAnsi="Times New Roman"/>
          <w:sz w:val="18"/>
          <w:szCs w:val="18"/>
        </w:rPr>
        <w:footnoteRef/>
      </w:r>
      <w:r w:rsidRPr="00890909">
        <w:rPr>
          <w:rFonts w:ascii="Times New Roman" w:hAnsi="Times New Roman"/>
          <w:sz w:val="18"/>
          <w:szCs w:val="18"/>
          <w:lang w:val="sr-Latn-RS"/>
        </w:rPr>
        <w:t xml:space="preserve"> </w:t>
      </w:r>
      <w:r>
        <w:rPr>
          <w:rFonts w:ascii="Times New Roman" w:hAnsi="Times New Roman"/>
          <w:sz w:val="18"/>
          <w:szCs w:val="18"/>
          <w:lang w:val="sr-Cyrl-RS"/>
        </w:rPr>
        <w:t>„</w:t>
      </w:r>
      <w:r w:rsidRPr="00890909">
        <w:rPr>
          <w:rStyle w:val="st1"/>
          <w:rFonts w:ascii="Times New Roman" w:hAnsi="Times New Roman"/>
          <w:sz w:val="18"/>
          <w:szCs w:val="18"/>
          <w:lang w:val="sr-Cyrl-RS"/>
        </w:rPr>
        <w:t>Службени</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lang w:val="sr-Cyrl-RS"/>
        </w:rPr>
        <w:t>гласник</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lang w:val="sr-Cyrl-RS"/>
        </w:rPr>
        <w:t>РС</w:t>
      </w:r>
      <w:r>
        <w:rPr>
          <w:rStyle w:val="st1"/>
          <w:rFonts w:ascii="Times New Roman" w:hAnsi="Times New Roman"/>
          <w:sz w:val="18"/>
          <w:szCs w:val="18"/>
          <w:lang w:val="sr-Cyrl-RS"/>
        </w:rPr>
        <w:t>”</w:t>
      </w:r>
      <w:r w:rsidRPr="00890909">
        <w:rPr>
          <w:rStyle w:val="st1"/>
          <w:rFonts w:ascii="Times New Roman" w:hAnsi="Times New Roman"/>
          <w:b/>
          <w:sz w:val="18"/>
          <w:szCs w:val="18"/>
          <w:lang w:val="sr-Latn-RS"/>
        </w:rPr>
        <w:t xml:space="preserve">, </w:t>
      </w:r>
      <w:r>
        <w:rPr>
          <w:rStyle w:val="st1"/>
          <w:rFonts w:ascii="Times New Roman" w:hAnsi="Times New Roman"/>
          <w:sz w:val="18"/>
          <w:szCs w:val="18"/>
          <w:lang w:val="sr-Cyrl-RS"/>
        </w:rPr>
        <w:t>број</w:t>
      </w:r>
      <w:r w:rsidRPr="00890909">
        <w:rPr>
          <w:rStyle w:val="st1"/>
          <w:rFonts w:ascii="Times New Roman" w:hAnsi="Times New Roman"/>
          <w:sz w:val="18"/>
          <w:szCs w:val="18"/>
          <w:lang w:val="sr-Latn-RS"/>
        </w:rPr>
        <w:t xml:space="preserve"> </w:t>
      </w:r>
      <w:r w:rsidRPr="00890909">
        <w:rPr>
          <w:rFonts w:ascii="Times New Roman" w:hAnsi="Times New Roman"/>
          <w:sz w:val="18"/>
          <w:szCs w:val="18"/>
          <w:lang w:val="sr-Cyrl-RS"/>
        </w:rPr>
        <w:t>26/19</w:t>
      </w:r>
      <w:r w:rsidRPr="00890909">
        <w:rPr>
          <w:rFonts w:ascii="Times New Roman" w:hAnsi="Times New Roman"/>
          <w:sz w:val="16"/>
          <w:szCs w:val="16"/>
          <w:lang w:val="sr-Latn-RS"/>
        </w:rPr>
        <w:t xml:space="preserve"> </w:t>
      </w:r>
    </w:p>
  </w:footnote>
  <w:footnote w:id="130">
    <w:p w:rsidR="00BB481C" w:rsidRPr="00890909" w:rsidRDefault="00BB481C" w:rsidP="001B6DE8">
      <w:pPr>
        <w:spacing w:before="0" w:after="0" w:line="240" w:lineRule="auto"/>
        <w:rPr>
          <w:sz w:val="18"/>
          <w:szCs w:val="18"/>
          <w:lang w:val="sr-Latn-RS"/>
        </w:rPr>
      </w:pPr>
      <w:r w:rsidRPr="00890909">
        <w:rPr>
          <w:rStyle w:val="FootnoteReference"/>
          <w:rFonts w:ascii="Times New Roman" w:hAnsi="Times New Roman"/>
          <w:sz w:val="18"/>
          <w:szCs w:val="18"/>
        </w:rPr>
        <w:footnoteRef/>
      </w:r>
      <w:r w:rsidRPr="00890909">
        <w:rPr>
          <w:rFonts w:ascii="Times New Roman" w:hAnsi="Times New Roman"/>
          <w:sz w:val="18"/>
          <w:szCs w:val="18"/>
          <w:lang w:val="sr-Latn-RS"/>
        </w:rPr>
        <w:t xml:space="preserve"> </w:t>
      </w:r>
      <w:r>
        <w:rPr>
          <w:rFonts w:ascii="Times New Roman" w:hAnsi="Times New Roman"/>
          <w:sz w:val="18"/>
          <w:szCs w:val="18"/>
          <w:lang w:val="sr-Cyrl-RS"/>
        </w:rPr>
        <w:t>„</w:t>
      </w:r>
      <w:r w:rsidRPr="00890909">
        <w:rPr>
          <w:rStyle w:val="st1"/>
          <w:rFonts w:ascii="Times New Roman" w:hAnsi="Times New Roman"/>
          <w:sz w:val="18"/>
          <w:szCs w:val="18"/>
        </w:rPr>
        <w:t>Службени</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rPr>
        <w:t>гласник</w:t>
      </w:r>
      <w:r w:rsidRPr="00890909">
        <w:rPr>
          <w:rStyle w:val="st1"/>
          <w:rFonts w:ascii="Times New Roman" w:hAnsi="Times New Roman"/>
          <w:sz w:val="18"/>
          <w:szCs w:val="18"/>
          <w:lang w:val="sr-Latn-RS"/>
        </w:rPr>
        <w:t xml:space="preserve"> </w:t>
      </w:r>
      <w:r w:rsidRPr="00890909">
        <w:rPr>
          <w:rStyle w:val="st1"/>
          <w:rFonts w:ascii="Times New Roman" w:hAnsi="Times New Roman"/>
          <w:sz w:val="18"/>
          <w:szCs w:val="18"/>
        </w:rPr>
        <w:t>РС</w:t>
      </w:r>
      <w:r>
        <w:rPr>
          <w:rStyle w:val="st1"/>
          <w:rFonts w:ascii="Times New Roman" w:hAnsi="Times New Roman"/>
          <w:sz w:val="18"/>
          <w:szCs w:val="18"/>
          <w:lang w:val="sr-Cyrl-RS"/>
        </w:rPr>
        <w:t>”</w:t>
      </w:r>
      <w:r w:rsidRPr="00890909">
        <w:rPr>
          <w:rStyle w:val="st1"/>
          <w:rFonts w:ascii="Times New Roman" w:hAnsi="Times New Roman"/>
          <w:b/>
          <w:sz w:val="18"/>
          <w:szCs w:val="18"/>
          <w:lang w:val="sr-Latn-RS"/>
        </w:rPr>
        <w:t xml:space="preserve">, </w:t>
      </w:r>
      <w:r>
        <w:rPr>
          <w:rStyle w:val="st1"/>
          <w:rFonts w:ascii="Times New Roman" w:hAnsi="Times New Roman"/>
          <w:sz w:val="18"/>
          <w:szCs w:val="18"/>
          <w:lang w:val="sr-Cyrl-RS"/>
        </w:rPr>
        <w:t>број</w:t>
      </w:r>
      <w:r w:rsidRPr="00890909">
        <w:rPr>
          <w:rStyle w:val="st1"/>
          <w:rFonts w:ascii="Times New Roman" w:hAnsi="Times New Roman"/>
          <w:sz w:val="18"/>
          <w:szCs w:val="18"/>
          <w:lang w:val="sr-Latn-RS"/>
        </w:rPr>
        <w:t xml:space="preserve"> </w:t>
      </w:r>
      <w:r w:rsidRPr="00890909">
        <w:rPr>
          <w:rFonts w:ascii="Times New Roman" w:hAnsi="Times New Roman"/>
          <w:sz w:val="18"/>
          <w:szCs w:val="18"/>
          <w:lang w:val="sr-Latn-RS"/>
        </w:rPr>
        <w:t>113/13</w:t>
      </w:r>
      <w:r w:rsidRPr="00890909">
        <w:rPr>
          <w:rFonts w:ascii="Cambria Math" w:hAnsi="Cambria Math"/>
          <w:sz w:val="18"/>
          <w:szCs w:val="18"/>
          <w:lang w:val="sr-Latn-RS"/>
        </w:rPr>
        <w:t xml:space="preserve"> </w:t>
      </w:r>
    </w:p>
  </w:footnote>
  <w:footnote w:id="131">
    <w:p w:rsidR="00BB481C" w:rsidRPr="00A25A0C"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Latn-RS"/>
        </w:rPr>
        <w:t xml:space="preserve"> https://www.mfin.gov.rs/wp-content/uploads/2019/10/Smernice-za-upravljanje-rizicima.pdf</w:t>
      </w:r>
    </w:p>
  </w:footnote>
  <w:footnote w:id="132">
    <w:p w:rsidR="00BB481C" w:rsidRPr="00A25A0C" w:rsidRDefault="00BB481C" w:rsidP="00E9460D">
      <w:pPr>
        <w:pStyle w:val="FootnoteText"/>
        <w:spacing w:before="0"/>
        <w:rPr>
          <w:sz w:val="18"/>
          <w:szCs w:val="18"/>
          <w:lang w:val="sr-Cyrl-RS"/>
        </w:rPr>
      </w:pPr>
      <w:r w:rsidRPr="00A25A0C">
        <w:rPr>
          <w:rStyle w:val="FootnoteReference"/>
          <w:rFonts w:ascii="Times New Roman" w:eastAsiaTheme="minorEastAsia" w:hAnsi="Times New Roman"/>
          <w:sz w:val="18"/>
          <w:szCs w:val="18"/>
        </w:rPr>
        <w:footnoteRef/>
      </w:r>
      <w:r>
        <w:rPr>
          <w:rFonts w:ascii="Times New Roman" w:hAnsi="Times New Roman"/>
          <w:sz w:val="18"/>
          <w:szCs w:val="18"/>
        </w:rPr>
        <w:t xml:space="preserve"> </w:t>
      </w:r>
      <w:r w:rsidRPr="00A25A0C">
        <w:rPr>
          <w:rFonts w:ascii="Times New Roman" w:hAnsi="Times New Roman"/>
          <w:sz w:val="18"/>
          <w:szCs w:val="18"/>
        </w:rPr>
        <w:t>https</w:t>
      </w:r>
      <w:r w:rsidRPr="00A25A0C">
        <w:rPr>
          <w:rFonts w:ascii="Times New Roman" w:hAnsi="Times New Roman"/>
          <w:sz w:val="18"/>
          <w:szCs w:val="18"/>
          <w:lang w:val="sr-Cyrl-RS"/>
        </w:rPr>
        <w:t>://</w:t>
      </w:r>
      <w:r w:rsidRPr="00A25A0C">
        <w:rPr>
          <w:rFonts w:ascii="Times New Roman" w:hAnsi="Times New Roman"/>
          <w:sz w:val="18"/>
          <w:szCs w:val="18"/>
        </w:rPr>
        <w:t>www</w:t>
      </w:r>
      <w:r w:rsidRPr="00A25A0C">
        <w:rPr>
          <w:rFonts w:ascii="Times New Roman" w:hAnsi="Times New Roman"/>
          <w:sz w:val="18"/>
          <w:szCs w:val="18"/>
          <w:lang w:val="sr-Cyrl-RS"/>
        </w:rPr>
        <w:t>.</w:t>
      </w:r>
      <w:r w:rsidRPr="00A25A0C">
        <w:rPr>
          <w:rFonts w:ascii="Times New Roman" w:hAnsi="Times New Roman"/>
          <w:sz w:val="18"/>
          <w:szCs w:val="18"/>
        </w:rPr>
        <w:t>mfin</w:t>
      </w:r>
      <w:r w:rsidRPr="00A25A0C">
        <w:rPr>
          <w:rFonts w:ascii="Times New Roman" w:hAnsi="Times New Roman"/>
          <w:sz w:val="18"/>
          <w:szCs w:val="18"/>
          <w:lang w:val="sr-Cyrl-RS"/>
        </w:rPr>
        <w:t>.</w:t>
      </w:r>
      <w:r w:rsidRPr="00A25A0C">
        <w:rPr>
          <w:rFonts w:ascii="Times New Roman" w:hAnsi="Times New Roman"/>
          <w:sz w:val="18"/>
          <w:szCs w:val="18"/>
        </w:rPr>
        <w:t>gov</w:t>
      </w:r>
      <w:r w:rsidRPr="00A25A0C">
        <w:rPr>
          <w:rFonts w:ascii="Times New Roman" w:hAnsi="Times New Roman"/>
          <w:sz w:val="18"/>
          <w:szCs w:val="18"/>
          <w:lang w:val="sr-Cyrl-RS"/>
        </w:rPr>
        <w:t>.</w:t>
      </w:r>
      <w:r w:rsidRPr="00A25A0C">
        <w:rPr>
          <w:rFonts w:ascii="Times New Roman" w:hAnsi="Times New Roman"/>
          <w:sz w:val="18"/>
          <w:szCs w:val="18"/>
        </w:rPr>
        <w:t>rs</w:t>
      </w:r>
      <w:r w:rsidRPr="00A25A0C">
        <w:rPr>
          <w:rFonts w:ascii="Times New Roman" w:hAnsi="Times New Roman"/>
          <w:sz w:val="18"/>
          <w:szCs w:val="18"/>
          <w:lang w:val="sr-Cyrl-RS"/>
        </w:rPr>
        <w:t>/</w:t>
      </w:r>
      <w:r w:rsidRPr="00A25A0C">
        <w:rPr>
          <w:rFonts w:ascii="Times New Roman" w:hAnsi="Times New Roman"/>
          <w:sz w:val="18"/>
          <w:szCs w:val="18"/>
        </w:rPr>
        <w:t>wp</w:t>
      </w:r>
      <w:r w:rsidRPr="00A25A0C">
        <w:rPr>
          <w:rFonts w:ascii="Times New Roman" w:hAnsi="Times New Roman"/>
          <w:sz w:val="18"/>
          <w:szCs w:val="18"/>
          <w:lang w:val="sr-Cyrl-RS"/>
        </w:rPr>
        <w:t>-</w:t>
      </w:r>
      <w:r w:rsidRPr="00A25A0C">
        <w:rPr>
          <w:rFonts w:ascii="Times New Roman" w:hAnsi="Times New Roman"/>
          <w:sz w:val="18"/>
          <w:szCs w:val="18"/>
        </w:rPr>
        <w:t>content</w:t>
      </w:r>
      <w:r w:rsidRPr="00A25A0C">
        <w:rPr>
          <w:rFonts w:ascii="Times New Roman" w:hAnsi="Times New Roman"/>
          <w:sz w:val="18"/>
          <w:szCs w:val="18"/>
          <w:lang w:val="sr-Cyrl-RS"/>
        </w:rPr>
        <w:t>/</w:t>
      </w:r>
      <w:r w:rsidRPr="00A25A0C">
        <w:rPr>
          <w:rFonts w:ascii="Times New Roman" w:hAnsi="Times New Roman"/>
          <w:sz w:val="18"/>
          <w:szCs w:val="18"/>
        </w:rPr>
        <w:t>uploads</w:t>
      </w:r>
      <w:r w:rsidRPr="00A25A0C">
        <w:rPr>
          <w:rFonts w:ascii="Times New Roman" w:hAnsi="Times New Roman"/>
          <w:sz w:val="18"/>
          <w:szCs w:val="18"/>
          <w:lang w:val="sr-Cyrl-RS"/>
        </w:rPr>
        <w:t>/2020/02/%</w:t>
      </w:r>
      <w:r w:rsidRPr="00A25A0C">
        <w:rPr>
          <w:rFonts w:ascii="Times New Roman" w:hAnsi="Times New Roman"/>
          <w:sz w:val="18"/>
          <w:szCs w:val="18"/>
        </w:rPr>
        <w:t>D</w:t>
      </w:r>
      <w:r w:rsidRPr="00A25A0C">
        <w:rPr>
          <w:rFonts w:ascii="Times New Roman" w:hAnsi="Times New Roman"/>
          <w:sz w:val="18"/>
          <w:szCs w:val="18"/>
          <w:lang w:val="sr-Cyrl-RS"/>
        </w:rPr>
        <w:t>0%9</w:t>
      </w:r>
      <w:r w:rsidRPr="00A25A0C">
        <w:rPr>
          <w:rFonts w:ascii="Times New Roman" w:hAnsi="Times New Roman"/>
          <w:sz w:val="18"/>
          <w:szCs w:val="18"/>
        </w:rPr>
        <w:t>C</w:t>
      </w:r>
      <w:r w:rsidRPr="00A25A0C">
        <w:rPr>
          <w:rFonts w:ascii="Times New Roman" w:hAnsi="Times New Roman"/>
          <w:sz w:val="18"/>
          <w:szCs w:val="18"/>
          <w:lang w:val="sr-Cyrl-RS"/>
        </w:rPr>
        <w:t>%</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BE</w:t>
      </w:r>
      <w:r w:rsidRPr="00A25A0C">
        <w:rPr>
          <w:rFonts w:ascii="Times New Roman" w:hAnsi="Times New Roman"/>
          <w:sz w:val="18"/>
          <w:szCs w:val="18"/>
          <w:lang w:val="sr-Cyrl-RS"/>
        </w:rPr>
        <w:t>%</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4%</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5%</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BB</w:t>
      </w:r>
      <w:r w:rsidRPr="00A25A0C">
        <w:rPr>
          <w:rFonts w:ascii="Times New Roman" w:hAnsi="Times New Roman"/>
          <w:sz w:val="18"/>
          <w:szCs w:val="18"/>
          <w:lang w:val="sr-Cyrl-RS"/>
        </w:rPr>
        <w:t>-%</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A</w:t>
      </w:r>
      <w:r w:rsidRPr="00A25A0C">
        <w:rPr>
          <w:rFonts w:ascii="Times New Roman" w:hAnsi="Times New Roman"/>
          <w:sz w:val="18"/>
          <w:szCs w:val="18"/>
          <w:lang w:val="sr-Cyrl-RS"/>
        </w:rPr>
        <w:t>1%</w:t>
      </w:r>
      <w:r w:rsidRPr="00A25A0C">
        <w:rPr>
          <w:rFonts w:ascii="Times New Roman" w:hAnsi="Times New Roman"/>
          <w:sz w:val="18"/>
          <w:szCs w:val="18"/>
        </w:rPr>
        <w:t>D</w:t>
      </w:r>
      <w:r w:rsidRPr="00A25A0C">
        <w:rPr>
          <w:rFonts w:ascii="Times New Roman" w:hAnsi="Times New Roman"/>
          <w:sz w:val="18"/>
          <w:szCs w:val="18"/>
          <w:lang w:val="sr-Cyrl-RS"/>
        </w:rPr>
        <w:t>1%82%</w:t>
      </w:r>
      <w:r w:rsidRPr="00A25A0C">
        <w:rPr>
          <w:rFonts w:ascii="Times New Roman" w:hAnsi="Times New Roman"/>
          <w:sz w:val="18"/>
          <w:szCs w:val="18"/>
        </w:rPr>
        <w:t>D</w:t>
      </w:r>
      <w:r w:rsidRPr="00A25A0C">
        <w:rPr>
          <w:rFonts w:ascii="Times New Roman" w:hAnsi="Times New Roman"/>
          <w:sz w:val="18"/>
          <w:szCs w:val="18"/>
          <w:lang w:val="sr-Cyrl-RS"/>
        </w:rPr>
        <w:t>1%80%</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0%</w:t>
      </w:r>
      <w:r w:rsidRPr="00A25A0C">
        <w:rPr>
          <w:rFonts w:ascii="Times New Roman" w:hAnsi="Times New Roman"/>
          <w:sz w:val="18"/>
          <w:szCs w:val="18"/>
        </w:rPr>
        <w:t>D</w:t>
      </w:r>
      <w:r w:rsidRPr="00A25A0C">
        <w:rPr>
          <w:rFonts w:ascii="Times New Roman" w:hAnsi="Times New Roman"/>
          <w:sz w:val="18"/>
          <w:szCs w:val="18"/>
          <w:lang w:val="sr-Cyrl-RS"/>
        </w:rPr>
        <w:t>1%82%</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5%</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3%</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8%</w:t>
      </w:r>
      <w:r w:rsidRPr="00A25A0C">
        <w:rPr>
          <w:rFonts w:ascii="Times New Roman" w:hAnsi="Times New Roman"/>
          <w:sz w:val="18"/>
          <w:szCs w:val="18"/>
        </w:rPr>
        <w:t>D</w:t>
      </w:r>
      <w:r w:rsidRPr="00A25A0C">
        <w:rPr>
          <w:rFonts w:ascii="Times New Roman" w:hAnsi="Times New Roman"/>
          <w:sz w:val="18"/>
          <w:szCs w:val="18"/>
          <w:lang w:val="sr-Cyrl-RS"/>
        </w:rPr>
        <w:t>1%98%</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5-%</w:t>
      </w:r>
      <w:r w:rsidRPr="00A25A0C">
        <w:rPr>
          <w:rFonts w:ascii="Times New Roman" w:hAnsi="Times New Roman"/>
          <w:sz w:val="18"/>
          <w:szCs w:val="18"/>
        </w:rPr>
        <w:t>D</w:t>
      </w:r>
      <w:r w:rsidRPr="00A25A0C">
        <w:rPr>
          <w:rFonts w:ascii="Times New Roman" w:hAnsi="Times New Roman"/>
          <w:sz w:val="18"/>
          <w:szCs w:val="18"/>
          <w:lang w:val="sr-Cyrl-RS"/>
        </w:rPr>
        <w:t>1%83%</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BF</w:t>
      </w:r>
      <w:r w:rsidRPr="00A25A0C">
        <w:rPr>
          <w:rFonts w:ascii="Times New Roman" w:hAnsi="Times New Roman"/>
          <w:sz w:val="18"/>
          <w:szCs w:val="18"/>
          <w:lang w:val="sr-Cyrl-RS"/>
        </w:rPr>
        <w:t>%</w:t>
      </w:r>
      <w:r w:rsidRPr="00A25A0C">
        <w:rPr>
          <w:rFonts w:ascii="Times New Roman" w:hAnsi="Times New Roman"/>
          <w:sz w:val="18"/>
          <w:szCs w:val="18"/>
        </w:rPr>
        <w:t>D</w:t>
      </w:r>
      <w:r w:rsidRPr="00A25A0C">
        <w:rPr>
          <w:rFonts w:ascii="Times New Roman" w:hAnsi="Times New Roman"/>
          <w:sz w:val="18"/>
          <w:szCs w:val="18"/>
          <w:lang w:val="sr-Cyrl-RS"/>
        </w:rPr>
        <w:t>1%80%</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0%</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2%</w:t>
      </w:r>
      <w:r w:rsidRPr="00A25A0C">
        <w:rPr>
          <w:rFonts w:ascii="Times New Roman" w:hAnsi="Times New Roman"/>
          <w:sz w:val="18"/>
          <w:szCs w:val="18"/>
        </w:rPr>
        <w:t>D</w:t>
      </w:r>
      <w:r w:rsidRPr="00A25A0C">
        <w:rPr>
          <w:rFonts w:ascii="Times New Roman" w:hAnsi="Times New Roman"/>
          <w:sz w:val="18"/>
          <w:szCs w:val="18"/>
          <w:lang w:val="sr-Cyrl-RS"/>
        </w:rPr>
        <w:t>1%99%</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0%</w:t>
      </w:r>
      <w:r w:rsidRPr="00A25A0C">
        <w:rPr>
          <w:rFonts w:ascii="Times New Roman" w:hAnsi="Times New Roman"/>
          <w:sz w:val="18"/>
          <w:szCs w:val="18"/>
        </w:rPr>
        <w:t>D</w:t>
      </w:r>
      <w:r w:rsidRPr="00A25A0C">
        <w:rPr>
          <w:rFonts w:ascii="Times New Roman" w:hAnsi="Times New Roman"/>
          <w:sz w:val="18"/>
          <w:szCs w:val="18"/>
          <w:lang w:val="sr-Cyrl-RS"/>
        </w:rPr>
        <w:t>1%9</w:t>
      </w:r>
      <w:r w:rsidRPr="00A25A0C">
        <w:rPr>
          <w:rFonts w:ascii="Times New Roman" w:hAnsi="Times New Roman"/>
          <w:sz w:val="18"/>
          <w:szCs w:val="18"/>
        </w:rPr>
        <w:t>A</w:t>
      </w:r>
      <w:r w:rsidRPr="00A25A0C">
        <w:rPr>
          <w:rFonts w:ascii="Times New Roman" w:hAnsi="Times New Roman"/>
          <w:sz w:val="18"/>
          <w:szCs w:val="18"/>
          <w:lang w:val="sr-Cyrl-RS"/>
        </w:rPr>
        <w:t>%</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0-%</w:t>
      </w:r>
      <w:r w:rsidRPr="00A25A0C">
        <w:rPr>
          <w:rFonts w:ascii="Times New Roman" w:hAnsi="Times New Roman"/>
          <w:sz w:val="18"/>
          <w:szCs w:val="18"/>
        </w:rPr>
        <w:t>D</w:t>
      </w:r>
      <w:r w:rsidRPr="00A25A0C">
        <w:rPr>
          <w:rFonts w:ascii="Times New Roman" w:hAnsi="Times New Roman"/>
          <w:sz w:val="18"/>
          <w:szCs w:val="18"/>
          <w:lang w:val="sr-Cyrl-RS"/>
        </w:rPr>
        <w:t>1%80%</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8%</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7%</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8%</w:t>
      </w:r>
      <w:r w:rsidRPr="00A25A0C">
        <w:rPr>
          <w:rFonts w:ascii="Times New Roman" w:hAnsi="Times New Roman"/>
          <w:sz w:val="18"/>
          <w:szCs w:val="18"/>
        </w:rPr>
        <w:t>D</w:t>
      </w:r>
      <w:r w:rsidRPr="00A25A0C">
        <w:rPr>
          <w:rFonts w:ascii="Times New Roman" w:hAnsi="Times New Roman"/>
          <w:sz w:val="18"/>
          <w:szCs w:val="18"/>
          <w:lang w:val="sr-Cyrl-RS"/>
        </w:rPr>
        <w:t>1%86%</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8%</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BC</w:t>
      </w:r>
      <w:r w:rsidRPr="00A25A0C">
        <w:rPr>
          <w:rFonts w:ascii="Times New Roman" w:hAnsi="Times New Roman"/>
          <w:sz w:val="18"/>
          <w:szCs w:val="18"/>
          <w:lang w:val="sr-Cyrl-RS"/>
        </w:rPr>
        <w:t>%</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0_%</w:t>
      </w:r>
      <w:r w:rsidRPr="00A25A0C">
        <w:rPr>
          <w:rFonts w:ascii="Times New Roman" w:hAnsi="Times New Roman"/>
          <w:sz w:val="18"/>
          <w:szCs w:val="18"/>
        </w:rPr>
        <w:t>D</w:t>
      </w:r>
      <w:r w:rsidRPr="00A25A0C">
        <w:rPr>
          <w:rFonts w:ascii="Times New Roman" w:hAnsi="Times New Roman"/>
          <w:sz w:val="18"/>
          <w:szCs w:val="18"/>
          <w:lang w:val="sr-Cyrl-RS"/>
        </w:rPr>
        <w:t>0%9</w:t>
      </w:r>
      <w:r w:rsidRPr="00A25A0C">
        <w:rPr>
          <w:rFonts w:ascii="Times New Roman" w:hAnsi="Times New Roman"/>
          <w:sz w:val="18"/>
          <w:szCs w:val="18"/>
        </w:rPr>
        <w:t>F</w:t>
      </w:r>
      <w:r w:rsidRPr="00A25A0C">
        <w:rPr>
          <w:rFonts w:ascii="Times New Roman" w:hAnsi="Times New Roman"/>
          <w:sz w:val="18"/>
          <w:szCs w:val="18"/>
          <w:lang w:val="sr-Cyrl-RS"/>
        </w:rPr>
        <w:t>%</w:t>
      </w:r>
      <w:r w:rsidRPr="00A25A0C">
        <w:rPr>
          <w:rFonts w:ascii="Times New Roman" w:hAnsi="Times New Roman"/>
          <w:sz w:val="18"/>
          <w:szCs w:val="18"/>
        </w:rPr>
        <w:t>D</w:t>
      </w:r>
      <w:r w:rsidRPr="00A25A0C">
        <w:rPr>
          <w:rFonts w:ascii="Times New Roman" w:hAnsi="Times New Roman"/>
          <w:sz w:val="18"/>
          <w:szCs w:val="18"/>
          <w:lang w:val="sr-Cyrl-RS"/>
        </w:rPr>
        <w:t>0%98%</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A</w:t>
      </w:r>
      <w:r w:rsidRPr="00A25A0C">
        <w:rPr>
          <w:rFonts w:ascii="Times New Roman" w:hAnsi="Times New Roman"/>
          <w:sz w:val="18"/>
          <w:szCs w:val="18"/>
          <w:lang w:val="sr-Cyrl-RS"/>
        </w:rPr>
        <w:t>4%</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A</w:t>
      </w:r>
      <w:r w:rsidRPr="00A25A0C">
        <w:rPr>
          <w:rFonts w:ascii="Times New Roman" w:hAnsi="Times New Roman"/>
          <w:sz w:val="18"/>
          <w:szCs w:val="18"/>
          <w:lang w:val="sr-Cyrl-RS"/>
        </w:rPr>
        <w:t>6-%</w:t>
      </w:r>
      <w:r w:rsidRPr="00A25A0C">
        <w:rPr>
          <w:rFonts w:ascii="Times New Roman" w:hAnsi="Times New Roman"/>
          <w:sz w:val="18"/>
          <w:szCs w:val="18"/>
        </w:rPr>
        <w:t>D</w:t>
      </w:r>
      <w:r w:rsidRPr="00A25A0C">
        <w:rPr>
          <w:rFonts w:ascii="Times New Roman" w:hAnsi="Times New Roman"/>
          <w:sz w:val="18"/>
          <w:szCs w:val="18"/>
          <w:lang w:val="sr-Cyrl-RS"/>
        </w:rPr>
        <w:t>1%82%</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2%</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8%</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BD</w:t>
      </w:r>
      <w:r w:rsidRPr="00A25A0C">
        <w:rPr>
          <w:rFonts w:ascii="Times New Roman" w:hAnsi="Times New Roman"/>
          <w:sz w:val="18"/>
          <w:szCs w:val="18"/>
          <w:lang w:val="sr-Cyrl-RS"/>
        </w:rPr>
        <w:t>%</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8%</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BD</w:t>
      </w:r>
      <w:r w:rsidRPr="00A25A0C">
        <w:rPr>
          <w:rFonts w:ascii="Times New Roman" w:hAnsi="Times New Roman"/>
          <w:sz w:val="18"/>
          <w:szCs w:val="18"/>
          <w:lang w:val="sr-Cyrl-RS"/>
        </w:rPr>
        <w:t>%</w:t>
      </w:r>
      <w:r w:rsidRPr="00A25A0C">
        <w:rPr>
          <w:rFonts w:ascii="Times New Roman" w:hAnsi="Times New Roman"/>
          <w:sz w:val="18"/>
          <w:szCs w:val="18"/>
        </w:rPr>
        <w:t>D</w:t>
      </w:r>
      <w:r w:rsidRPr="00A25A0C">
        <w:rPr>
          <w:rFonts w:ascii="Times New Roman" w:hAnsi="Times New Roman"/>
          <w:sz w:val="18"/>
          <w:szCs w:val="18"/>
          <w:lang w:val="sr-Cyrl-RS"/>
        </w:rPr>
        <w:t>0%</w:t>
      </w:r>
      <w:r w:rsidRPr="00A25A0C">
        <w:rPr>
          <w:rFonts w:ascii="Times New Roman" w:hAnsi="Times New Roman"/>
          <w:sz w:val="18"/>
          <w:szCs w:val="18"/>
        </w:rPr>
        <w:t>B</w:t>
      </w:r>
      <w:r w:rsidRPr="00A25A0C">
        <w:rPr>
          <w:rFonts w:ascii="Times New Roman" w:hAnsi="Times New Roman"/>
          <w:sz w:val="18"/>
          <w:szCs w:val="18"/>
          <w:lang w:val="sr-Cyrl-RS"/>
        </w:rPr>
        <w:t>3.</w:t>
      </w:r>
      <w:r w:rsidRPr="00A25A0C">
        <w:rPr>
          <w:rFonts w:ascii="Times New Roman" w:hAnsi="Times New Roman"/>
          <w:sz w:val="18"/>
          <w:szCs w:val="18"/>
        </w:rPr>
        <w:t>pdf</w:t>
      </w:r>
    </w:p>
  </w:footnote>
  <w:footnote w:id="133">
    <w:p w:rsidR="00BB481C" w:rsidRPr="00C0790B" w:rsidRDefault="00BB481C" w:rsidP="001B6DE8">
      <w:pPr>
        <w:pStyle w:val="FootnoteText"/>
        <w:spacing w:before="0"/>
        <w:jc w:val="both"/>
        <w:rPr>
          <w:rFonts w:ascii="Times New Roman" w:hAnsi="Times New Roman"/>
          <w:sz w:val="18"/>
          <w:szCs w:val="18"/>
          <w:lang w:val="sr-Cyrl-RS"/>
        </w:rPr>
      </w:pPr>
      <w:r w:rsidRPr="00A25A0C">
        <w:rPr>
          <w:rStyle w:val="FootnoteReference"/>
          <w:rFonts w:ascii="Times New Roman" w:eastAsiaTheme="minorEastAsia" w:hAnsi="Times New Roman"/>
          <w:sz w:val="18"/>
          <w:szCs w:val="18"/>
        </w:rPr>
        <w:footnoteRef/>
      </w:r>
      <w:r w:rsidRPr="00A25A0C">
        <w:rPr>
          <w:rFonts w:ascii="Times New Roman" w:hAnsi="Times New Roman"/>
          <w:sz w:val="18"/>
          <w:szCs w:val="18"/>
          <w:lang w:val="sr-Cyrl-RS"/>
        </w:rPr>
        <w:t xml:space="preserve"> Члан 30. Уредбе о методологији управљања јавним политикама, анализи ефеката јавних политика и прописа и садржају појединачних докумената јавних политика (</w:t>
      </w:r>
      <w:r>
        <w:rPr>
          <w:rFonts w:ascii="Times New Roman" w:hAnsi="Times New Roman"/>
          <w:sz w:val="18"/>
          <w:szCs w:val="18"/>
          <w:lang w:val="sr-Cyrl-RS"/>
        </w:rPr>
        <w:t>„</w:t>
      </w:r>
      <w:r w:rsidRPr="00A25A0C">
        <w:rPr>
          <w:rFonts w:ascii="Times New Roman" w:hAnsi="Times New Roman"/>
          <w:sz w:val="18"/>
          <w:szCs w:val="18"/>
          <w:lang w:val="sr-Cyrl-RS"/>
        </w:rPr>
        <w:t>Службени гласник РС</w:t>
      </w:r>
      <w:r>
        <w:rPr>
          <w:rFonts w:ascii="Times New Roman" w:hAnsi="Times New Roman"/>
          <w:sz w:val="18"/>
          <w:szCs w:val="18"/>
          <w:lang w:val="sr-Cyrl-RS"/>
        </w:rPr>
        <w:t>”</w:t>
      </w:r>
      <w:r w:rsidRPr="00A25A0C">
        <w:rPr>
          <w:rFonts w:ascii="Times New Roman" w:hAnsi="Times New Roman"/>
          <w:sz w:val="18"/>
          <w:szCs w:val="18"/>
          <w:lang w:val="sr-Cyrl-RS"/>
        </w:rPr>
        <w:t>, бр</w:t>
      </w:r>
      <w:r>
        <w:rPr>
          <w:rFonts w:ascii="Times New Roman" w:hAnsi="Times New Roman"/>
          <w:sz w:val="18"/>
          <w:szCs w:val="18"/>
          <w:lang w:val="sr-Cyrl-RS"/>
        </w:rPr>
        <w:t>ој</w:t>
      </w:r>
      <w:r w:rsidRPr="00A25A0C">
        <w:rPr>
          <w:rFonts w:ascii="Times New Roman" w:hAnsi="Times New Roman"/>
          <w:sz w:val="18"/>
          <w:szCs w:val="18"/>
          <w:lang w:val="sr-Cyrl-RS"/>
        </w:rPr>
        <w:t xml:space="preserve"> 8/19)</w:t>
      </w:r>
    </w:p>
  </w:footnote>
  <w:footnote w:id="134">
    <w:p w:rsidR="00BB481C" w:rsidRPr="00C0790B" w:rsidRDefault="00BB481C" w:rsidP="001B6DE8">
      <w:pPr>
        <w:pStyle w:val="FootnoteText"/>
        <w:spacing w:before="0"/>
        <w:jc w:val="both"/>
        <w:rPr>
          <w:rFonts w:ascii="Times New Roman" w:hAnsi="Times New Roman"/>
          <w:sz w:val="18"/>
          <w:szCs w:val="18"/>
          <w:lang w:val="sr-Cyrl-RS"/>
        </w:rPr>
      </w:pPr>
      <w:r w:rsidRPr="00C0790B">
        <w:rPr>
          <w:rStyle w:val="FootnoteReference"/>
          <w:rFonts w:ascii="Times New Roman" w:eastAsiaTheme="minorEastAsia" w:hAnsi="Times New Roman"/>
          <w:sz w:val="18"/>
          <w:szCs w:val="18"/>
        </w:rPr>
        <w:footnoteRef/>
      </w:r>
      <w:r w:rsidRPr="00C0790B">
        <w:rPr>
          <w:rFonts w:ascii="Times New Roman" w:hAnsi="Times New Roman"/>
          <w:sz w:val="18"/>
          <w:szCs w:val="18"/>
          <w:lang w:val="sr-Cyrl-RS"/>
        </w:rPr>
        <w:t xml:space="preserve"> </w:t>
      </w:r>
      <w:r>
        <w:rPr>
          <w:rFonts w:ascii="Times New Roman" w:hAnsi="Times New Roman"/>
          <w:sz w:val="18"/>
          <w:szCs w:val="18"/>
          <w:lang w:val="sr-Cyrl-RS"/>
        </w:rPr>
        <w:t>„</w:t>
      </w:r>
      <w:r w:rsidRPr="00C0790B">
        <w:rPr>
          <w:rFonts w:ascii="Times New Roman" w:hAnsi="Times New Roman"/>
          <w:sz w:val="18"/>
          <w:szCs w:val="18"/>
          <w:lang w:val="sr-Cyrl-RS"/>
        </w:rPr>
        <w:t>Службени гласник РС</w:t>
      </w:r>
      <w:r>
        <w:rPr>
          <w:rFonts w:ascii="Times New Roman" w:hAnsi="Times New Roman"/>
          <w:sz w:val="18"/>
          <w:szCs w:val="18"/>
          <w:lang w:val="sr-Cyrl-RS"/>
        </w:rPr>
        <w:t>”</w:t>
      </w:r>
      <w:r w:rsidRPr="00C0790B">
        <w:rPr>
          <w:rFonts w:ascii="Times New Roman" w:hAnsi="Times New Roman"/>
          <w:sz w:val="18"/>
          <w:szCs w:val="18"/>
          <w:lang w:val="sr-Cyrl-RS"/>
        </w:rPr>
        <w:t>, бр</w:t>
      </w:r>
      <w:r>
        <w:rPr>
          <w:rFonts w:ascii="Times New Roman" w:hAnsi="Times New Roman"/>
          <w:sz w:val="18"/>
          <w:szCs w:val="18"/>
          <w:lang w:val="sr-Cyrl-RS"/>
        </w:rPr>
        <w:t>ој</w:t>
      </w:r>
      <w:r w:rsidRPr="00C0790B">
        <w:rPr>
          <w:rFonts w:ascii="Times New Roman" w:hAnsi="Times New Roman"/>
          <w:sz w:val="18"/>
          <w:szCs w:val="18"/>
          <w:lang w:val="sr-Cyrl-RS"/>
        </w:rPr>
        <w:t xml:space="preserve"> 98/17</w:t>
      </w:r>
    </w:p>
  </w:footnote>
  <w:footnote w:id="135">
    <w:p w:rsidR="00BB481C" w:rsidRPr="00C0790B" w:rsidRDefault="00BB481C" w:rsidP="001B6DE8">
      <w:pPr>
        <w:pStyle w:val="FootnoteText"/>
        <w:spacing w:before="0"/>
        <w:jc w:val="both"/>
        <w:rPr>
          <w:rFonts w:ascii="Times New Roman" w:hAnsi="Times New Roman"/>
          <w:sz w:val="18"/>
          <w:szCs w:val="18"/>
          <w:lang w:val="sr-Cyrl-RS"/>
        </w:rPr>
      </w:pPr>
      <w:r w:rsidRPr="00C0790B">
        <w:rPr>
          <w:rStyle w:val="FootnoteReference"/>
          <w:rFonts w:ascii="Times New Roman" w:eastAsiaTheme="minorEastAsia" w:hAnsi="Times New Roman"/>
          <w:sz w:val="18"/>
          <w:szCs w:val="18"/>
        </w:rPr>
        <w:footnoteRef/>
      </w:r>
      <w:r w:rsidRPr="00C0790B">
        <w:rPr>
          <w:rFonts w:ascii="Times New Roman" w:hAnsi="Times New Roman"/>
          <w:sz w:val="18"/>
          <w:szCs w:val="18"/>
          <w:lang w:val="sr-Cyrl-RS"/>
        </w:rPr>
        <w:t xml:space="preserve"> </w:t>
      </w:r>
      <w:r w:rsidRPr="00C0790B">
        <w:rPr>
          <w:rFonts w:ascii="Times New Roman" w:hAnsi="Times New Roman"/>
          <w:sz w:val="18"/>
          <w:szCs w:val="18"/>
        </w:rPr>
        <w:t>https</w:t>
      </w:r>
      <w:r w:rsidRPr="00C0790B">
        <w:rPr>
          <w:rFonts w:ascii="Times New Roman" w:hAnsi="Times New Roman"/>
          <w:sz w:val="18"/>
          <w:szCs w:val="18"/>
          <w:lang w:val="sr-Cyrl-RS"/>
        </w:rPr>
        <w:t>://</w:t>
      </w:r>
      <w:r w:rsidRPr="00C0790B">
        <w:rPr>
          <w:rFonts w:ascii="Times New Roman" w:hAnsi="Times New Roman"/>
          <w:sz w:val="18"/>
          <w:szCs w:val="18"/>
        </w:rPr>
        <w:t>www</w:t>
      </w:r>
      <w:r w:rsidRPr="00C0790B">
        <w:rPr>
          <w:rFonts w:ascii="Times New Roman" w:hAnsi="Times New Roman"/>
          <w:sz w:val="18"/>
          <w:szCs w:val="18"/>
          <w:lang w:val="sr-Cyrl-RS"/>
        </w:rPr>
        <w:t>.</w:t>
      </w:r>
      <w:r w:rsidRPr="00C0790B">
        <w:rPr>
          <w:rFonts w:ascii="Times New Roman" w:hAnsi="Times New Roman"/>
          <w:sz w:val="18"/>
          <w:szCs w:val="18"/>
        </w:rPr>
        <w:t>mfin</w:t>
      </w:r>
      <w:r w:rsidRPr="00C0790B">
        <w:rPr>
          <w:rFonts w:ascii="Times New Roman" w:hAnsi="Times New Roman"/>
          <w:sz w:val="18"/>
          <w:szCs w:val="18"/>
          <w:lang w:val="sr-Cyrl-RS"/>
        </w:rPr>
        <w:t>.</w:t>
      </w:r>
      <w:r w:rsidRPr="00C0790B">
        <w:rPr>
          <w:rFonts w:ascii="Times New Roman" w:hAnsi="Times New Roman"/>
          <w:sz w:val="18"/>
          <w:szCs w:val="18"/>
        </w:rPr>
        <w:t>gov</w:t>
      </w:r>
      <w:r w:rsidRPr="00C0790B">
        <w:rPr>
          <w:rFonts w:ascii="Times New Roman" w:hAnsi="Times New Roman"/>
          <w:sz w:val="18"/>
          <w:szCs w:val="18"/>
          <w:lang w:val="sr-Cyrl-RS"/>
        </w:rPr>
        <w:t>.</w:t>
      </w:r>
      <w:r w:rsidRPr="00C0790B">
        <w:rPr>
          <w:rFonts w:ascii="Times New Roman" w:hAnsi="Times New Roman"/>
          <w:sz w:val="18"/>
          <w:szCs w:val="18"/>
        </w:rPr>
        <w:t>rs</w:t>
      </w:r>
      <w:r w:rsidRPr="00C0790B">
        <w:rPr>
          <w:rFonts w:ascii="Times New Roman" w:hAnsi="Times New Roman"/>
          <w:sz w:val="18"/>
          <w:szCs w:val="18"/>
          <w:lang w:val="sr-Cyrl-RS"/>
        </w:rPr>
        <w:t>/</w:t>
      </w:r>
      <w:r w:rsidRPr="00C0790B">
        <w:rPr>
          <w:rFonts w:ascii="Times New Roman" w:hAnsi="Times New Roman"/>
          <w:sz w:val="18"/>
          <w:szCs w:val="18"/>
        </w:rPr>
        <w:t>wp</w:t>
      </w:r>
      <w:r w:rsidRPr="00C0790B">
        <w:rPr>
          <w:rFonts w:ascii="Times New Roman" w:hAnsi="Times New Roman"/>
          <w:sz w:val="18"/>
          <w:szCs w:val="18"/>
          <w:lang w:val="sr-Cyrl-RS"/>
        </w:rPr>
        <w:t>-</w:t>
      </w:r>
      <w:r w:rsidRPr="00C0790B">
        <w:rPr>
          <w:rFonts w:ascii="Times New Roman" w:hAnsi="Times New Roman"/>
          <w:sz w:val="18"/>
          <w:szCs w:val="18"/>
        </w:rPr>
        <w:t>content</w:t>
      </w:r>
      <w:r w:rsidRPr="00C0790B">
        <w:rPr>
          <w:rFonts w:ascii="Times New Roman" w:hAnsi="Times New Roman"/>
          <w:sz w:val="18"/>
          <w:szCs w:val="18"/>
          <w:lang w:val="sr-Cyrl-RS"/>
        </w:rPr>
        <w:t>/</w:t>
      </w:r>
      <w:r w:rsidRPr="00C0790B">
        <w:rPr>
          <w:rFonts w:ascii="Times New Roman" w:hAnsi="Times New Roman"/>
          <w:sz w:val="18"/>
          <w:szCs w:val="18"/>
        </w:rPr>
        <w:t>uploads</w:t>
      </w:r>
      <w:r w:rsidRPr="00C0790B">
        <w:rPr>
          <w:rFonts w:ascii="Times New Roman" w:hAnsi="Times New Roman"/>
          <w:sz w:val="18"/>
          <w:szCs w:val="18"/>
          <w:lang w:val="sr-Cyrl-RS"/>
        </w:rPr>
        <w:t>/2019/10/</w:t>
      </w:r>
      <w:r w:rsidRPr="00C0790B">
        <w:rPr>
          <w:rFonts w:ascii="Times New Roman" w:hAnsi="Times New Roman"/>
          <w:sz w:val="18"/>
          <w:szCs w:val="18"/>
        </w:rPr>
        <w:t>zakljucak</w:t>
      </w:r>
      <w:r w:rsidRPr="00C0790B">
        <w:rPr>
          <w:rFonts w:ascii="Times New Roman" w:hAnsi="Times New Roman"/>
          <w:sz w:val="18"/>
          <w:szCs w:val="18"/>
          <w:lang w:val="sr-Cyrl-RS"/>
        </w:rPr>
        <w:t>-</w:t>
      </w:r>
      <w:r w:rsidRPr="00C0790B">
        <w:rPr>
          <w:rFonts w:ascii="Times New Roman" w:hAnsi="Times New Roman"/>
          <w:sz w:val="18"/>
          <w:szCs w:val="18"/>
        </w:rPr>
        <w:t>i</w:t>
      </w:r>
      <w:r w:rsidRPr="00C0790B">
        <w:rPr>
          <w:rFonts w:ascii="Times New Roman" w:hAnsi="Times New Roman"/>
          <w:sz w:val="18"/>
          <w:szCs w:val="18"/>
          <w:lang w:val="sr-Cyrl-RS"/>
        </w:rPr>
        <w:t>-</w:t>
      </w:r>
      <w:r w:rsidRPr="00C0790B">
        <w:rPr>
          <w:rFonts w:ascii="Times New Roman" w:hAnsi="Times New Roman"/>
          <w:sz w:val="18"/>
          <w:szCs w:val="18"/>
        </w:rPr>
        <w:t>izvestaj</w:t>
      </w:r>
      <w:r w:rsidRPr="00C0790B">
        <w:rPr>
          <w:rFonts w:ascii="Times New Roman" w:hAnsi="Times New Roman"/>
          <w:sz w:val="18"/>
          <w:szCs w:val="18"/>
          <w:lang w:val="sr-Cyrl-RS"/>
        </w:rPr>
        <w:t>-</w:t>
      </w:r>
      <w:r w:rsidRPr="00C0790B">
        <w:rPr>
          <w:rFonts w:ascii="Times New Roman" w:hAnsi="Times New Roman"/>
          <w:sz w:val="18"/>
          <w:szCs w:val="18"/>
        </w:rPr>
        <w:t>o</w:t>
      </w:r>
      <w:r w:rsidRPr="00C0790B">
        <w:rPr>
          <w:rFonts w:ascii="Times New Roman" w:hAnsi="Times New Roman"/>
          <w:sz w:val="18"/>
          <w:szCs w:val="18"/>
          <w:lang w:val="sr-Cyrl-RS"/>
        </w:rPr>
        <w:t>-</w:t>
      </w:r>
      <w:r w:rsidRPr="00C0790B">
        <w:rPr>
          <w:rFonts w:ascii="Times New Roman" w:hAnsi="Times New Roman"/>
          <w:sz w:val="18"/>
          <w:szCs w:val="18"/>
        </w:rPr>
        <w:t>radu</w:t>
      </w:r>
      <w:r w:rsidRPr="00C0790B">
        <w:rPr>
          <w:rFonts w:ascii="Times New Roman" w:hAnsi="Times New Roman"/>
          <w:sz w:val="18"/>
          <w:szCs w:val="18"/>
          <w:lang w:val="sr-Cyrl-RS"/>
        </w:rPr>
        <w:t>-</w:t>
      </w:r>
      <w:r w:rsidRPr="00C0790B">
        <w:rPr>
          <w:rFonts w:ascii="Times New Roman" w:hAnsi="Times New Roman"/>
          <w:sz w:val="18"/>
          <w:szCs w:val="18"/>
        </w:rPr>
        <w:t>AFKOSa</w:t>
      </w:r>
      <w:r w:rsidRPr="00C0790B">
        <w:rPr>
          <w:rFonts w:ascii="Times New Roman" w:hAnsi="Times New Roman"/>
          <w:sz w:val="18"/>
          <w:szCs w:val="18"/>
          <w:lang w:val="sr-Cyrl-RS"/>
        </w:rPr>
        <w:t>.</w:t>
      </w:r>
      <w:r w:rsidRPr="00C0790B">
        <w:rPr>
          <w:rFonts w:ascii="Times New Roman" w:hAnsi="Times New Roman"/>
          <w:sz w:val="18"/>
          <w:szCs w:val="18"/>
        </w:rPr>
        <w:t>pdf</w:t>
      </w:r>
    </w:p>
  </w:footnote>
  <w:footnote w:id="136">
    <w:p w:rsidR="00BB481C" w:rsidRPr="00C0790B" w:rsidRDefault="00BB481C" w:rsidP="001B6DE8">
      <w:pPr>
        <w:pStyle w:val="FootnoteText"/>
        <w:spacing w:before="0"/>
        <w:jc w:val="both"/>
        <w:rPr>
          <w:rFonts w:ascii="Times New Roman" w:hAnsi="Times New Roman"/>
          <w:sz w:val="18"/>
          <w:szCs w:val="18"/>
          <w:lang w:val="sr-Cyrl-RS"/>
        </w:rPr>
      </w:pPr>
      <w:r w:rsidRPr="00C0790B">
        <w:rPr>
          <w:rStyle w:val="FootnoteReference"/>
          <w:rFonts w:ascii="Times New Roman" w:eastAsiaTheme="minorEastAsia" w:hAnsi="Times New Roman"/>
          <w:sz w:val="18"/>
          <w:szCs w:val="18"/>
        </w:rPr>
        <w:footnoteRef/>
      </w:r>
      <w:r w:rsidRPr="00C0790B">
        <w:rPr>
          <w:rFonts w:ascii="Times New Roman" w:hAnsi="Times New Roman"/>
          <w:sz w:val="18"/>
          <w:szCs w:val="18"/>
          <w:lang w:val="sr-Cyrl-RS"/>
        </w:rPr>
        <w:t xml:space="preserve"> </w:t>
      </w:r>
      <w:r>
        <w:rPr>
          <w:rFonts w:ascii="Times New Roman" w:hAnsi="Times New Roman"/>
          <w:sz w:val="18"/>
          <w:szCs w:val="18"/>
          <w:lang w:val="sr-Cyrl-RS"/>
        </w:rPr>
        <w:t>„</w:t>
      </w:r>
      <w:r w:rsidRPr="00C0790B">
        <w:rPr>
          <w:rFonts w:ascii="Times New Roman" w:hAnsi="Times New Roman"/>
          <w:sz w:val="18"/>
          <w:szCs w:val="18"/>
          <w:lang w:val="sr-Cyrl-RS"/>
        </w:rPr>
        <w:t>Службени гласник РС</w:t>
      </w:r>
      <w:r>
        <w:rPr>
          <w:rFonts w:ascii="Times New Roman" w:hAnsi="Times New Roman"/>
          <w:sz w:val="18"/>
          <w:szCs w:val="18"/>
          <w:lang w:val="sr-Cyrl-RS"/>
        </w:rPr>
        <w:t>”</w:t>
      </w:r>
      <w:r w:rsidRPr="00C0790B">
        <w:rPr>
          <w:rFonts w:ascii="Times New Roman" w:hAnsi="Times New Roman"/>
          <w:sz w:val="18"/>
          <w:szCs w:val="18"/>
          <w:lang w:val="sr-Cyrl-RS"/>
        </w:rPr>
        <w:t>, бр</w:t>
      </w:r>
      <w:r>
        <w:rPr>
          <w:rFonts w:ascii="Times New Roman" w:hAnsi="Times New Roman"/>
          <w:sz w:val="18"/>
          <w:szCs w:val="18"/>
          <w:lang w:val="sr-Cyrl-RS"/>
        </w:rPr>
        <w:t>ој</w:t>
      </w:r>
      <w:r w:rsidRPr="00C0790B">
        <w:rPr>
          <w:rFonts w:ascii="Times New Roman" w:hAnsi="Times New Roman"/>
          <w:sz w:val="18"/>
          <w:szCs w:val="18"/>
          <w:lang w:val="sr-Cyrl-RS"/>
        </w:rPr>
        <w:t xml:space="preserve"> 27/18</w:t>
      </w:r>
    </w:p>
  </w:footnote>
  <w:footnote w:id="137">
    <w:p w:rsidR="00BB481C" w:rsidRPr="00C0790B" w:rsidRDefault="00BB481C" w:rsidP="001B6DE8">
      <w:pPr>
        <w:pStyle w:val="FootnoteText"/>
        <w:spacing w:before="0"/>
        <w:jc w:val="both"/>
        <w:rPr>
          <w:rFonts w:ascii="Times New Roman" w:hAnsi="Times New Roman"/>
          <w:sz w:val="18"/>
          <w:szCs w:val="18"/>
          <w:lang w:val="sr-Cyrl-RS"/>
        </w:rPr>
      </w:pPr>
      <w:r w:rsidRPr="00C0790B">
        <w:rPr>
          <w:rStyle w:val="FootnoteReference"/>
          <w:rFonts w:ascii="Times New Roman" w:eastAsiaTheme="minorEastAsia" w:hAnsi="Times New Roman"/>
          <w:sz w:val="18"/>
          <w:szCs w:val="18"/>
        </w:rPr>
        <w:footnoteRef/>
      </w:r>
      <w:r w:rsidRPr="00C0790B">
        <w:rPr>
          <w:rFonts w:ascii="Times New Roman" w:hAnsi="Times New Roman"/>
          <w:sz w:val="18"/>
          <w:szCs w:val="18"/>
          <w:lang w:val="sr-Cyrl-RS"/>
        </w:rPr>
        <w:t xml:space="preserve"> </w:t>
      </w:r>
      <w:r>
        <w:rPr>
          <w:rFonts w:ascii="Times New Roman" w:hAnsi="Times New Roman"/>
          <w:sz w:val="18"/>
          <w:szCs w:val="18"/>
          <w:lang w:val="sr-Cyrl-RS"/>
        </w:rPr>
        <w:t>„</w:t>
      </w:r>
      <w:r w:rsidRPr="00C0790B">
        <w:rPr>
          <w:rFonts w:ascii="Times New Roman" w:hAnsi="Times New Roman"/>
          <w:sz w:val="18"/>
          <w:szCs w:val="18"/>
          <w:lang w:val="sr-Cyrl-RS"/>
        </w:rPr>
        <w:t>Службени гласник РС</w:t>
      </w:r>
      <w:r>
        <w:rPr>
          <w:rFonts w:ascii="Times New Roman" w:hAnsi="Times New Roman"/>
          <w:sz w:val="18"/>
          <w:szCs w:val="18"/>
          <w:lang w:val="sr-Cyrl-RS"/>
        </w:rPr>
        <w:t>”</w:t>
      </w:r>
      <w:r w:rsidRPr="00C0790B">
        <w:rPr>
          <w:rFonts w:ascii="Times New Roman" w:hAnsi="Times New Roman"/>
          <w:sz w:val="18"/>
          <w:szCs w:val="18"/>
          <w:lang w:val="sr-Cyrl-RS"/>
        </w:rPr>
        <w:t>, бр. 6/16, 94/17 и 77/19</w:t>
      </w:r>
    </w:p>
  </w:footnote>
  <w:footnote w:id="138">
    <w:p w:rsidR="00BB481C" w:rsidRPr="002D3EC8" w:rsidRDefault="00BB481C" w:rsidP="001B6DE8">
      <w:pPr>
        <w:pStyle w:val="FootnoteText"/>
        <w:spacing w:before="0"/>
        <w:ind w:left="243" w:hanging="243"/>
        <w:jc w:val="both"/>
        <w:rPr>
          <w:sz w:val="18"/>
          <w:szCs w:val="18"/>
          <w:lang w:val="sr-Cyrl-RS"/>
        </w:rPr>
      </w:pPr>
      <w:r w:rsidRPr="00252548">
        <w:rPr>
          <w:rStyle w:val="FootnoteReference"/>
          <w:rFonts w:ascii="Times New Roman" w:eastAsiaTheme="minorEastAsia" w:hAnsi="Times New Roman"/>
          <w:sz w:val="18"/>
          <w:szCs w:val="18"/>
          <w:lang w:val="sr-Latn-RS"/>
        </w:rPr>
        <w:footnoteRef/>
      </w:r>
      <w:r w:rsidRPr="00252548">
        <w:rPr>
          <w:rFonts w:ascii="Times New Roman" w:hAnsi="Times New Roman"/>
          <w:sz w:val="18"/>
          <w:szCs w:val="18"/>
          <w:lang w:val="sr-Latn-RS"/>
        </w:rPr>
        <w:t xml:space="preserve"> </w:t>
      </w:r>
      <w:r w:rsidRPr="002D3EC8">
        <w:rPr>
          <w:rFonts w:ascii="Times New Roman" w:hAnsi="Times New Roman"/>
          <w:sz w:val="18"/>
          <w:szCs w:val="18"/>
          <w:lang w:val="sr-Latn-RS"/>
        </w:rPr>
        <w:t>Мера 2.1 Успостављање</w:t>
      </w:r>
      <w:r w:rsidRPr="00252548">
        <w:rPr>
          <w:rFonts w:ascii="Times New Roman" w:hAnsi="Times New Roman"/>
          <w:b/>
          <w:sz w:val="18"/>
          <w:szCs w:val="18"/>
          <w:lang w:val="sr-Latn-RS"/>
        </w:rPr>
        <w:t xml:space="preserve"> </w:t>
      </w:r>
      <w:r w:rsidRPr="00252548">
        <w:rPr>
          <w:rFonts w:ascii="Times New Roman" w:hAnsi="Times New Roman"/>
          <w:sz w:val="18"/>
          <w:szCs w:val="18"/>
          <w:lang w:val="sr-Latn-RS"/>
        </w:rPr>
        <w:t xml:space="preserve">снажних механизама координације који ће омогућити усклађен развој и рад електронске управе, као и стварање правног оквира и процедура за развој електронске управе, </w:t>
      </w:r>
      <w:r w:rsidRPr="002D3EC8">
        <w:rPr>
          <w:rFonts w:ascii="Times New Roman" w:hAnsi="Times New Roman"/>
          <w:sz w:val="18"/>
          <w:szCs w:val="18"/>
          <w:lang w:val="sr-Cyrl-RS"/>
        </w:rPr>
        <w:t>ПРУЈФ 2016-2020</w:t>
      </w:r>
    </w:p>
  </w:footnote>
  <w:footnote w:id="139">
    <w:p w:rsidR="00BB481C" w:rsidRPr="00252548" w:rsidRDefault="00BB481C" w:rsidP="001B6DE8">
      <w:pPr>
        <w:pStyle w:val="FootnoteText"/>
        <w:spacing w:before="0"/>
        <w:jc w:val="both"/>
        <w:rPr>
          <w:rFonts w:ascii="Times New Roman" w:hAnsi="Times New Roman"/>
          <w:sz w:val="18"/>
          <w:szCs w:val="18"/>
          <w:lang w:val="sr-Cyrl-RS"/>
        </w:rPr>
      </w:pPr>
      <w:r w:rsidRPr="00252548">
        <w:rPr>
          <w:rStyle w:val="FootnoteReference"/>
          <w:rFonts w:ascii="Times New Roman" w:eastAsiaTheme="minorEastAsia" w:hAnsi="Times New Roman"/>
          <w:sz w:val="18"/>
          <w:szCs w:val="18"/>
        </w:rPr>
        <w:footnoteRef/>
      </w:r>
      <w:r w:rsidRPr="00252548">
        <w:rPr>
          <w:rFonts w:ascii="Times New Roman" w:hAnsi="Times New Roman"/>
          <w:sz w:val="18"/>
          <w:szCs w:val="18"/>
          <w:lang w:val="sr-Latn-RS"/>
        </w:rPr>
        <w:t xml:space="preserve"> </w:t>
      </w:r>
      <w:r>
        <w:rPr>
          <w:rFonts w:ascii="Times New Roman" w:hAnsi="Times New Roman"/>
          <w:sz w:val="18"/>
          <w:szCs w:val="18"/>
          <w:lang w:val="sr-Cyrl-RS"/>
        </w:rPr>
        <w:t>„</w:t>
      </w:r>
      <w:r w:rsidRPr="00252548">
        <w:rPr>
          <w:rFonts w:ascii="Times New Roman" w:hAnsi="Times New Roman"/>
          <w:sz w:val="18"/>
          <w:szCs w:val="18"/>
          <w:lang w:val="sr-Cyrl-RS"/>
        </w:rPr>
        <w:t>Службени гласник РС</w:t>
      </w:r>
      <w:r>
        <w:rPr>
          <w:rFonts w:ascii="Times New Roman" w:hAnsi="Times New Roman"/>
          <w:sz w:val="18"/>
          <w:szCs w:val="18"/>
          <w:lang w:val="sr-Cyrl-RS"/>
        </w:rPr>
        <w:t>”</w:t>
      </w:r>
      <w:r w:rsidRPr="00252548">
        <w:rPr>
          <w:rFonts w:ascii="Times New Roman" w:hAnsi="Times New Roman"/>
          <w:sz w:val="18"/>
          <w:szCs w:val="18"/>
          <w:lang w:val="sr-Cyrl-RS"/>
        </w:rPr>
        <w:t>, бр</w:t>
      </w:r>
      <w:r>
        <w:rPr>
          <w:rFonts w:ascii="Times New Roman" w:hAnsi="Times New Roman"/>
          <w:sz w:val="18"/>
          <w:szCs w:val="18"/>
          <w:lang w:val="sr-Cyrl-RS"/>
        </w:rPr>
        <w:t>ој</w:t>
      </w:r>
      <w:r w:rsidRPr="00252548">
        <w:rPr>
          <w:rFonts w:ascii="Times New Roman" w:hAnsi="Times New Roman"/>
          <w:sz w:val="18"/>
          <w:szCs w:val="18"/>
          <w:lang w:val="sr-Cyrl-RS"/>
        </w:rPr>
        <w:t xml:space="preserve"> 8/19</w:t>
      </w:r>
      <w:r>
        <w:rPr>
          <w:rFonts w:ascii="Times New Roman" w:hAnsi="Times New Roman"/>
          <w:sz w:val="18"/>
          <w:szCs w:val="18"/>
          <w:lang w:val="sr-Cyrl-RS"/>
        </w:rPr>
        <w:t>,</w:t>
      </w:r>
      <w:r w:rsidRPr="00252548">
        <w:rPr>
          <w:rFonts w:ascii="Times New Roman" w:hAnsi="Times New Roman"/>
          <w:sz w:val="18"/>
          <w:szCs w:val="18"/>
          <w:lang w:val="sr-Cyrl-RS"/>
        </w:rPr>
        <w:t xml:space="preserve"> члан 18</w:t>
      </w:r>
      <w:r>
        <w:rPr>
          <w:rFonts w:ascii="Times New Roman" w:hAnsi="Times New Roman"/>
          <w:sz w:val="18"/>
          <w:szCs w:val="18"/>
          <w:lang w:val="sr-Cyrl-RS"/>
        </w:rPr>
        <w:t>.</w:t>
      </w:r>
    </w:p>
  </w:footnote>
  <w:footnote w:id="140">
    <w:p w:rsidR="00BB481C" w:rsidRPr="00252548" w:rsidRDefault="00BB481C" w:rsidP="001B6DE8">
      <w:pPr>
        <w:pStyle w:val="FootnoteText"/>
        <w:spacing w:before="0"/>
        <w:jc w:val="both"/>
        <w:rPr>
          <w:rFonts w:ascii="Times New Roman" w:hAnsi="Times New Roman"/>
          <w:sz w:val="18"/>
          <w:szCs w:val="18"/>
          <w:lang w:val="sr-Latn-RS"/>
        </w:rPr>
      </w:pPr>
      <w:r w:rsidRPr="00252548">
        <w:rPr>
          <w:rStyle w:val="FootnoteReference"/>
          <w:rFonts w:ascii="Times New Roman" w:eastAsiaTheme="minorEastAsia" w:hAnsi="Times New Roman"/>
          <w:sz w:val="18"/>
          <w:szCs w:val="18"/>
          <w:lang w:val="sr-Latn-RS"/>
        </w:rPr>
        <w:footnoteRef/>
      </w:r>
      <w:r w:rsidRPr="00252548">
        <w:rPr>
          <w:rFonts w:ascii="Times New Roman" w:hAnsi="Times New Roman"/>
          <w:sz w:val="18"/>
          <w:szCs w:val="18"/>
          <w:lang w:val="sr-Latn-RS"/>
        </w:rPr>
        <w:t xml:space="preserve"> Посебне мере су дефинисане у оквиру </w:t>
      </w:r>
      <w:r w:rsidRPr="003B3853">
        <w:rPr>
          <w:rFonts w:ascii="Times New Roman" w:hAnsi="Times New Roman"/>
          <w:sz w:val="18"/>
          <w:szCs w:val="18"/>
          <w:lang w:val="sr-Latn-RS"/>
        </w:rPr>
        <w:t xml:space="preserve">стубова 3 и 5 </w:t>
      </w:r>
      <w:r>
        <w:rPr>
          <w:rFonts w:ascii="Times New Roman" w:hAnsi="Times New Roman"/>
          <w:sz w:val="18"/>
          <w:szCs w:val="18"/>
          <w:lang w:val="sr-Cyrl-RS"/>
        </w:rPr>
        <w:t>ПРУЈФ</w:t>
      </w:r>
      <w:r w:rsidRPr="00252548">
        <w:rPr>
          <w:rFonts w:ascii="Times New Roman" w:hAnsi="Times New Roman"/>
          <w:sz w:val="18"/>
          <w:szCs w:val="18"/>
          <w:lang w:val="sr-Latn-RS"/>
        </w:rPr>
        <w:t xml:space="preserve"> које решавају системске проблеме који захтевају унапређење јавних набавки, рачуноводства, праћења </w:t>
      </w:r>
      <w:r w:rsidRPr="00252548">
        <w:rPr>
          <w:rFonts w:ascii="Times New Roman" w:hAnsi="Times New Roman"/>
          <w:sz w:val="18"/>
          <w:szCs w:val="18"/>
          <w:lang w:val="sr-Cyrl-RS"/>
        </w:rPr>
        <w:t>и</w:t>
      </w:r>
      <w:r w:rsidRPr="00252548">
        <w:rPr>
          <w:rFonts w:ascii="Times New Roman" w:hAnsi="Times New Roman"/>
          <w:sz w:val="18"/>
          <w:szCs w:val="18"/>
          <w:lang w:val="sr-Latn-RS"/>
        </w:rPr>
        <w:t xml:space="preserve"> извештавање</w:t>
      </w:r>
    </w:p>
  </w:footnote>
  <w:footnote w:id="141">
    <w:p w:rsidR="00BB481C" w:rsidRPr="00252548" w:rsidRDefault="00BB481C" w:rsidP="001B6DE8">
      <w:pPr>
        <w:pStyle w:val="FootnoteText"/>
        <w:spacing w:before="0"/>
        <w:jc w:val="both"/>
        <w:rPr>
          <w:rFonts w:ascii="Times New Roman" w:hAnsi="Times New Roman"/>
          <w:sz w:val="18"/>
          <w:szCs w:val="18"/>
          <w:lang w:val="sr-Cyrl-RS"/>
        </w:rPr>
      </w:pPr>
      <w:r w:rsidRPr="00252548">
        <w:rPr>
          <w:rStyle w:val="FootnoteReference"/>
          <w:rFonts w:ascii="Times New Roman" w:eastAsiaTheme="minorEastAsia" w:hAnsi="Times New Roman"/>
          <w:sz w:val="18"/>
          <w:szCs w:val="18"/>
        </w:rPr>
        <w:footnoteRef/>
      </w:r>
      <w:r w:rsidRPr="00252548">
        <w:rPr>
          <w:rFonts w:ascii="Times New Roman" w:hAnsi="Times New Roman"/>
          <w:sz w:val="18"/>
          <w:szCs w:val="18"/>
          <w:lang w:val="sr-Latn-RS"/>
        </w:rPr>
        <w:t xml:space="preserve"> </w:t>
      </w:r>
      <w:r w:rsidRPr="00252548">
        <w:rPr>
          <w:rFonts w:ascii="Times New Roman" w:hAnsi="Times New Roman"/>
          <w:sz w:val="18"/>
          <w:szCs w:val="18"/>
          <w:lang w:val="sr-Cyrl-RS"/>
        </w:rPr>
        <w:t>Извор је КГИ за 2019</w:t>
      </w:r>
      <w:r w:rsidRPr="00130298">
        <w:rPr>
          <w:rFonts w:ascii="Times New Roman" w:hAnsi="Times New Roman"/>
          <w:sz w:val="18"/>
          <w:szCs w:val="18"/>
          <w:lang w:val="sr-Cyrl-RS"/>
        </w:rPr>
        <w:t>.</w:t>
      </w:r>
      <w:r w:rsidRPr="00252548">
        <w:rPr>
          <w:rFonts w:ascii="Times New Roman" w:hAnsi="Times New Roman"/>
          <w:sz w:val="18"/>
          <w:szCs w:val="18"/>
          <w:lang w:val="sr-Cyrl-RS"/>
        </w:rPr>
        <w:t xml:space="preserve"> годину</w:t>
      </w:r>
      <w:r>
        <w:rPr>
          <w:rFonts w:ascii="Times New Roman" w:hAnsi="Times New Roman"/>
          <w:sz w:val="18"/>
          <w:szCs w:val="18"/>
          <w:lang w:val="sr-Cyrl-RS"/>
        </w:rPr>
        <w:t>.</w:t>
      </w:r>
    </w:p>
  </w:footnote>
  <w:footnote w:id="142">
    <w:p w:rsidR="00BB481C" w:rsidRPr="00252548" w:rsidRDefault="00BB481C" w:rsidP="001B6DE8">
      <w:pPr>
        <w:pStyle w:val="FootnoteText"/>
        <w:spacing w:before="0"/>
        <w:jc w:val="both"/>
        <w:rPr>
          <w:rFonts w:ascii="Times New Roman" w:hAnsi="Times New Roman"/>
          <w:sz w:val="18"/>
          <w:szCs w:val="18"/>
          <w:lang w:val="sr-Cyrl-RS"/>
        </w:rPr>
      </w:pPr>
      <w:r w:rsidRPr="00252548">
        <w:rPr>
          <w:rStyle w:val="FootnoteReference"/>
          <w:rFonts w:ascii="Times New Roman" w:eastAsiaTheme="minorEastAsia" w:hAnsi="Times New Roman"/>
          <w:sz w:val="18"/>
          <w:szCs w:val="18"/>
        </w:rPr>
        <w:footnoteRef/>
      </w:r>
      <w:r w:rsidRPr="00252548">
        <w:rPr>
          <w:rFonts w:ascii="Times New Roman" w:hAnsi="Times New Roman"/>
          <w:sz w:val="18"/>
          <w:szCs w:val="18"/>
          <w:lang w:val="sr-Cyrl-RS"/>
        </w:rPr>
        <w:t xml:space="preserve"> У току је припрема он лине обуке у сарадњи са НАЈУ и РЕЛОФ пројектом – Финансијско управљање и контрола, која је предложена у оквиру Програма обуке руководилаца, где је у циљу подизања усаглашености са међународним принципима ФУК</w:t>
      </w:r>
      <w:r>
        <w:rPr>
          <w:rFonts w:ascii="Times New Roman" w:hAnsi="Times New Roman"/>
          <w:sz w:val="18"/>
          <w:szCs w:val="18"/>
          <w:lang w:val="sr-Cyrl-RS"/>
        </w:rPr>
        <w:t>-</w:t>
      </w:r>
      <w:r w:rsidRPr="00252548">
        <w:rPr>
          <w:rFonts w:ascii="Times New Roman" w:hAnsi="Times New Roman"/>
          <w:sz w:val="18"/>
          <w:szCs w:val="18"/>
          <w:lang w:val="sr-Cyrl-RS"/>
        </w:rPr>
        <w:t>а али и управљачке одговорности предложено да циљна група буду сви руководиоци</w:t>
      </w:r>
      <w:r>
        <w:rPr>
          <w:rFonts w:ascii="Times New Roman" w:hAnsi="Times New Roman"/>
          <w:sz w:val="18"/>
          <w:szCs w:val="18"/>
          <w:lang w:val="sr-Cyrl-RS"/>
        </w:rPr>
        <w:t>,</w:t>
      </w:r>
      <w:r w:rsidRPr="00252548">
        <w:rPr>
          <w:rFonts w:ascii="Times New Roman" w:hAnsi="Times New Roman"/>
          <w:sz w:val="18"/>
          <w:szCs w:val="18"/>
          <w:lang w:val="sr-Cyrl-RS"/>
        </w:rPr>
        <w:t xml:space="preserve"> односно </w:t>
      </w:r>
      <w:r w:rsidRPr="00252548">
        <w:rPr>
          <w:rFonts w:ascii="Times New Roman" w:hAnsi="Times New Roman"/>
          <w:color w:val="000000"/>
          <w:sz w:val="18"/>
          <w:szCs w:val="18"/>
          <w:lang w:val="sr-Cyrl-RS"/>
        </w:rPr>
        <w:t xml:space="preserve">лица на положају, </w:t>
      </w:r>
      <w:r w:rsidRPr="00252548">
        <w:rPr>
          <w:rFonts w:ascii="Times New Roman" w:hAnsi="Times New Roman"/>
          <w:sz w:val="18"/>
          <w:szCs w:val="18"/>
          <w:lang w:val="sr-Cyrl-RS"/>
        </w:rPr>
        <w:t>руководиоци ужих унутрашњих јединица</w:t>
      </w:r>
      <w:r w:rsidRPr="00252548">
        <w:rPr>
          <w:rFonts w:ascii="Times New Roman" w:hAnsi="Times New Roman"/>
          <w:color w:val="000000"/>
          <w:sz w:val="18"/>
          <w:szCs w:val="18"/>
          <w:lang w:val="sr-Cyrl-RS"/>
        </w:rPr>
        <w:t xml:space="preserve"> </w:t>
      </w:r>
      <w:r w:rsidRPr="00252548">
        <w:rPr>
          <w:rFonts w:ascii="Times New Roman" w:hAnsi="Times New Roman"/>
          <w:bCs/>
          <w:color w:val="000000"/>
          <w:sz w:val="18"/>
          <w:szCs w:val="18"/>
          <w:lang w:val="sr-Cyrl-RS"/>
        </w:rPr>
        <w:t xml:space="preserve">и </w:t>
      </w:r>
      <w:r w:rsidRPr="00252548">
        <w:rPr>
          <w:rFonts w:ascii="Times New Roman" w:hAnsi="Times New Roman"/>
          <w:sz w:val="18"/>
          <w:szCs w:val="18"/>
          <w:lang w:val="sr-Cyrl-RS"/>
        </w:rPr>
        <w:t>координатори за финансијско управљање и контролу</w:t>
      </w:r>
    </w:p>
  </w:footnote>
  <w:footnote w:id="143">
    <w:p w:rsidR="00BB481C" w:rsidRPr="00252548" w:rsidRDefault="00BB481C" w:rsidP="001B6DE8">
      <w:pPr>
        <w:pStyle w:val="FootnoteText"/>
        <w:spacing w:before="0"/>
        <w:jc w:val="both"/>
        <w:rPr>
          <w:rFonts w:ascii="Times New Roman" w:hAnsi="Times New Roman"/>
          <w:sz w:val="18"/>
          <w:szCs w:val="18"/>
          <w:lang w:val="sr-Cyrl-RS"/>
        </w:rPr>
      </w:pPr>
      <w:r w:rsidRPr="00252548">
        <w:rPr>
          <w:rStyle w:val="FootnoteReference"/>
          <w:rFonts w:ascii="Times New Roman" w:eastAsiaTheme="minorEastAsia" w:hAnsi="Times New Roman"/>
          <w:sz w:val="18"/>
          <w:szCs w:val="18"/>
        </w:rPr>
        <w:footnoteRef/>
      </w:r>
      <w:r w:rsidRPr="00252548">
        <w:rPr>
          <w:rFonts w:ascii="Times New Roman" w:hAnsi="Times New Roman"/>
          <w:sz w:val="18"/>
          <w:szCs w:val="18"/>
          <w:lang w:val="sr-Cyrl-RS"/>
        </w:rPr>
        <w:t xml:space="preserve"> „Службени гласник РС</w:t>
      </w:r>
      <w:r>
        <w:rPr>
          <w:rFonts w:ascii="Times New Roman" w:hAnsi="Times New Roman"/>
          <w:sz w:val="18"/>
          <w:szCs w:val="18"/>
          <w:lang w:val="sr-Cyrl-RS"/>
        </w:rPr>
        <w:t>”</w:t>
      </w:r>
      <w:r w:rsidRPr="00252548">
        <w:rPr>
          <w:rFonts w:ascii="Times New Roman" w:hAnsi="Times New Roman"/>
          <w:sz w:val="18"/>
          <w:szCs w:val="18"/>
          <w:lang w:val="sr-Cyrl-RS"/>
        </w:rPr>
        <w:t>, бр</w:t>
      </w:r>
      <w:r>
        <w:rPr>
          <w:rFonts w:ascii="Times New Roman" w:hAnsi="Times New Roman"/>
          <w:sz w:val="18"/>
          <w:szCs w:val="18"/>
          <w:lang w:val="sr-Cyrl-RS"/>
        </w:rPr>
        <w:t>ој</w:t>
      </w:r>
      <w:r w:rsidRPr="00252548">
        <w:rPr>
          <w:rFonts w:ascii="Times New Roman" w:hAnsi="Times New Roman"/>
          <w:sz w:val="18"/>
          <w:szCs w:val="18"/>
          <w:lang w:val="sr-Cyrl-RS"/>
        </w:rPr>
        <w:t xml:space="preserve"> 15/19</w:t>
      </w:r>
    </w:p>
  </w:footnote>
  <w:footnote w:id="144">
    <w:p w:rsidR="00BB481C" w:rsidRPr="00252548" w:rsidRDefault="00BB481C" w:rsidP="001B6DE8">
      <w:pPr>
        <w:spacing w:before="0" w:after="0" w:line="240" w:lineRule="auto"/>
        <w:jc w:val="both"/>
        <w:rPr>
          <w:rFonts w:ascii="Times New Roman" w:hAnsi="Times New Roman"/>
          <w:sz w:val="18"/>
          <w:szCs w:val="18"/>
          <w:lang w:val="sr-Latn-RS"/>
        </w:rPr>
      </w:pPr>
      <w:r w:rsidRPr="00252548">
        <w:rPr>
          <w:rStyle w:val="FootnoteReference"/>
          <w:rFonts w:ascii="Times New Roman" w:hAnsi="Times New Roman"/>
          <w:sz w:val="18"/>
          <w:szCs w:val="18"/>
        </w:rPr>
        <w:footnoteRef/>
      </w:r>
      <w:r w:rsidRPr="00252548">
        <w:rPr>
          <w:rFonts w:ascii="Times New Roman" w:hAnsi="Times New Roman"/>
          <w:sz w:val="18"/>
          <w:szCs w:val="18"/>
          <w:lang w:val="sr-Latn-RS"/>
        </w:rPr>
        <w:t xml:space="preserve"> </w:t>
      </w:r>
      <w:r>
        <w:rPr>
          <w:rFonts w:ascii="Times New Roman" w:hAnsi="Times New Roman"/>
          <w:sz w:val="18"/>
          <w:szCs w:val="18"/>
          <w:lang w:val="sr-Cyrl-RS"/>
        </w:rPr>
        <w:t>„</w:t>
      </w:r>
      <w:r w:rsidRPr="00252548">
        <w:rPr>
          <w:rStyle w:val="st1"/>
          <w:rFonts w:ascii="Times New Roman" w:hAnsi="Times New Roman"/>
          <w:sz w:val="18"/>
          <w:szCs w:val="18"/>
          <w:lang w:val="sr-Cyrl-RS"/>
        </w:rPr>
        <w:t>Службени</w:t>
      </w:r>
      <w:r w:rsidRPr="00252548">
        <w:rPr>
          <w:rStyle w:val="st1"/>
          <w:rFonts w:ascii="Times New Roman" w:hAnsi="Times New Roman"/>
          <w:sz w:val="18"/>
          <w:szCs w:val="18"/>
          <w:lang w:val="sr-Latn-RS"/>
        </w:rPr>
        <w:t xml:space="preserve"> </w:t>
      </w:r>
      <w:r w:rsidRPr="00252548">
        <w:rPr>
          <w:rStyle w:val="st1"/>
          <w:rFonts w:ascii="Times New Roman" w:hAnsi="Times New Roman"/>
          <w:sz w:val="18"/>
          <w:szCs w:val="18"/>
          <w:lang w:val="sr-Cyrl-RS"/>
        </w:rPr>
        <w:t>гласник</w:t>
      </w:r>
      <w:r w:rsidRPr="00252548">
        <w:rPr>
          <w:rStyle w:val="st1"/>
          <w:rFonts w:ascii="Times New Roman" w:hAnsi="Times New Roman"/>
          <w:sz w:val="18"/>
          <w:szCs w:val="18"/>
          <w:lang w:val="sr-Latn-RS"/>
        </w:rPr>
        <w:t xml:space="preserve"> </w:t>
      </w:r>
      <w:r w:rsidRPr="00252548">
        <w:rPr>
          <w:rStyle w:val="st1"/>
          <w:rFonts w:ascii="Times New Roman" w:hAnsi="Times New Roman"/>
          <w:sz w:val="18"/>
          <w:szCs w:val="18"/>
          <w:lang w:val="sr-Cyrl-RS"/>
        </w:rPr>
        <w:t>РС</w:t>
      </w:r>
      <w:r>
        <w:rPr>
          <w:rStyle w:val="st1"/>
          <w:rFonts w:ascii="Times New Roman" w:hAnsi="Times New Roman"/>
          <w:sz w:val="18"/>
          <w:szCs w:val="18"/>
          <w:lang w:val="sr-Cyrl-RS"/>
        </w:rPr>
        <w:t>”</w:t>
      </w:r>
      <w:r w:rsidRPr="00252548">
        <w:rPr>
          <w:rStyle w:val="st1"/>
          <w:rFonts w:ascii="Times New Roman" w:hAnsi="Times New Roman"/>
          <w:sz w:val="18"/>
          <w:szCs w:val="18"/>
          <w:lang w:val="sr-Latn-RS"/>
        </w:rPr>
        <w:t xml:space="preserve">, </w:t>
      </w:r>
      <w:r w:rsidRPr="00252548">
        <w:rPr>
          <w:rStyle w:val="st1"/>
          <w:rFonts w:ascii="Times New Roman" w:hAnsi="Times New Roman"/>
          <w:sz w:val="18"/>
          <w:szCs w:val="18"/>
          <w:lang w:val="sr-Cyrl-RS"/>
        </w:rPr>
        <w:t>бр</w:t>
      </w:r>
      <w:r>
        <w:rPr>
          <w:rStyle w:val="st1"/>
          <w:rFonts w:ascii="Times New Roman" w:hAnsi="Times New Roman"/>
          <w:sz w:val="18"/>
          <w:szCs w:val="18"/>
          <w:lang w:val="sr-Cyrl-RS"/>
        </w:rPr>
        <w:t>ој</w:t>
      </w:r>
      <w:r w:rsidRPr="00252548">
        <w:rPr>
          <w:rStyle w:val="st1"/>
          <w:rFonts w:ascii="Times New Roman" w:hAnsi="Times New Roman"/>
          <w:sz w:val="18"/>
          <w:szCs w:val="18"/>
          <w:lang w:val="sr-Latn-RS"/>
        </w:rPr>
        <w:t xml:space="preserve"> </w:t>
      </w:r>
      <w:r w:rsidRPr="00252548">
        <w:rPr>
          <w:rFonts w:ascii="Times New Roman" w:hAnsi="Times New Roman"/>
          <w:sz w:val="18"/>
          <w:szCs w:val="18"/>
          <w:lang w:val="sr-Latn-RS"/>
        </w:rPr>
        <w:t>140/14</w:t>
      </w:r>
    </w:p>
  </w:footnote>
  <w:footnote w:id="145">
    <w:p w:rsidR="00BB481C" w:rsidRPr="00252548" w:rsidRDefault="00BB481C" w:rsidP="001B6DE8">
      <w:pPr>
        <w:spacing w:before="0" w:after="0" w:line="240" w:lineRule="auto"/>
        <w:jc w:val="both"/>
        <w:rPr>
          <w:rFonts w:ascii="Cambria Math" w:hAnsi="Cambria Math"/>
          <w:sz w:val="18"/>
          <w:szCs w:val="18"/>
          <w:lang w:val="sr-Latn-RS"/>
        </w:rPr>
      </w:pPr>
      <w:r w:rsidRPr="00252548">
        <w:rPr>
          <w:rStyle w:val="FootnoteReference"/>
          <w:rFonts w:ascii="Times New Roman" w:hAnsi="Times New Roman"/>
          <w:sz w:val="18"/>
          <w:szCs w:val="18"/>
        </w:rPr>
        <w:footnoteRef/>
      </w:r>
      <w:r w:rsidRPr="00252548">
        <w:rPr>
          <w:rFonts w:ascii="Times New Roman" w:hAnsi="Times New Roman"/>
          <w:sz w:val="18"/>
          <w:szCs w:val="18"/>
          <w:lang w:val="sr-Latn-RS"/>
        </w:rPr>
        <w:t xml:space="preserve"> </w:t>
      </w:r>
      <w:r>
        <w:rPr>
          <w:rFonts w:ascii="Times New Roman" w:hAnsi="Times New Roman"/>
          <w:sz w:val="18"/>
          <w:szCs w:val="18"/>
          <w:lang w:val="sr-Cyrl-RS"/>
        </w:rPr>
        <w:t>„</w:t>
      </w:r>
      <w:r w:rsidRPr="00252548">
        <w:rPr>
          <w:rFonts w:ascii="Times New Roman" w:hAnsi="Times New Roman"/>
          <w:sz w:val="18"/>
          <w:szCs w:val="18"/>
        </w:rPr>
        <w:t>Службени</w:t>
      </w:r>
      <w:r w:rsidRPr="00252548">
        <w:rPr>
          <w:rFonts w:ascii="Times New Roman" w:hAnsi="Times New Roman"/>
          <w:sz w:val="18"/>
          <w:szCs w:val="18"/>
          <w:lang w:val="sr-Latn-RS"/>
        </w:rPr>
        <w:t xml:space="preserve"> </w:t>
      </w:r>
      <w:r w:rsidRPr="00252548">
        <w:rPr>
          <w:rFonts w:ascii="Times New Roman" w:hAnsi="Times New Roman"/>
          <w:sz w:val="18"/>
          <w:szCs w:val="18"/>
        </w:rPr>
        <w:t>гласник</w:t>
      </w:r>
      <w:r w:rsidRPr="00252548">
        <w:rPr>
          <w:rFonts w:ascii="Times New Roman" w:hAnsi="Times New Roman"/>
          <w:sz w:val="18"/>
          <w:szCs w:val="18"/>
          <w:lang w:val="sr-Latn-RS"/>
        </w:rPr>
        <w:t xml:space="preserve"> </w:t>
      </w:r>
      <w:r w:rsidRPr="00252548">
        <w:rPr>
          <w:rFonts w:ascii="Times New Roman" w:hAnsi="Times New Roman"/>
          <w:sz w:val="18"/>
          <w:szCs w:val="18"/>
        </w:rPr>
        <w:t>РС</w:t>
      </w:r>
      <w:r>
        <w:rPr>
          <w:rFonts w:ascii="Times New Roman" w:hAnsi="Times New Roman"/>
          <w:sz w:val="18"/>
          <w:szCs w:val="18"/>
          <w:lang w:val="sr-Cyrl-RS"/>
        </w:rPr>
        <w:t>”</w:t>
      </w:r>
      <w:r w:rsidRPr="00252548">
        <w:rPr>
          <w:rFonts w:ascii="Times New Roman" w:hAnsi="Times New Roman"/>
          <w:sz w:val="18"/>
          <w:szCs w:val="18"/>
          <w:lang w:val="sr-Latn-RS"/>
        </w:rPr>
        <w:t xml:space="preserve">, </w:t>
      </w:r>
      <w:r w:rsidRPr="00252548">
        <w:rPr>
          <w:rFonts w:ascii="Times New Roman" w:hAnsi="Times New Roman"/>
          <w:sz w:val="18"/>
          <w:szCs w:val="18"/>
        </w:rPr>
        <w:t>бр</w:t>
      </w:r>
      <w:r>
        <w:rPr>
          <w:rFonts w:ascii="Times New Roman" w:hAnsi="Times New Roman"/>
          <w:sz w:val="18"/>
          <w:szCs w:val="18"/>
          <w:lang w:val="sr-Cyrl-RS"/>
        </w:rPr>
        <w:t>ој</w:t>
      </w:r>
      <w:r w:rsidRPr="00252548">
        <w:rPr>
          <w:rFonts w:ascii="Times New Roman" w:hAnsi="Times New Roman"/>
          <w:sz w:val="18"/>
          <w:szCs w:val="18"/>
          <w:lang w:val="sr-Latn-RS"/>
        </w:rPr>
        <w:t xml:space="preserve"> 86/15</w:t>
      </w:r>
    </w:p>
  </w:footnote>
  <w:footnote w:id="146">
    <w:p w:rsidR="00BB481C" w:rsidRPr="00E23043" w:rsidRDefault="00BB481C" w:rsidP="001B6DE8">
      <w:pPr>
        <w:pStyle w:val="FootnoteText"/>
        <w:tabs>
          <w:tab w:val="left" w:pos="180"/>
        </w:tabs>
        <w:spacing w:before="0"/>
        <w:ind w:left="172" w:hanging="158"/>
        <w:jc w:val="both"/>
        <w:rPr>
          <w:sz w:val="18"/>
          <w:szCs w:val="18"/>
          <w:lang w:val="sr-Latn-RS"/>
        </w:rPr>
      </w:pPr>
      <w:r w:rsidRPr="00E23043">
        <w:rPr>
          <w:rStyle w:val="FootnoteReference"/>
          <w:rFonts w:ascii="Times New Roman" w:eastAsiaTheme="minorEastAsia" w:hAnsi="Times New Roman"/>
          <w:sz w:val="18"/>
          <w:szCs w:val="18"/>
          <w:lang w:val="sr-Latn-RS"/>
        </w:rPr>
        <w:footnoteRef/>
      </w:r>
      <w:r w:rsidRPr="00E23043">
        <w:rPr>
          <w:rFonts w:ascii="Times New Roman" w:hAnsi="Times New Roman"/>
          <w:sz w:val="18"/>
          <w:szCs w:val="18"/>
          <w:lang w:val="sr-Latn-RS"/>
        </w:rPr>
        <w:t xml:space="preserve"> </w:t>
      </w:r>
      <w:r w:rsidRPr="00FD3F15">
        <w:rPr>
          <w:rFonts w:ascii="Times New Roman" w:hAnsi="Times New Roman"/>
          <w:sz w:val="18"/>
          <w:szCs w:val="18"/>
          <w:lang w:val="sr-Latn-RS"/>
        </w:rPr>
        <w:t>Резултат 6.2</w:t>
      </w:r>
      <w:r w:rsidRPr="00E23043">
        <w:rPr>
          <w:rFonts w:ascii="Times New Roman" w:hAnsi="Times New Roman"/>
          <w:sz w:val="18"/>
          <w:szCs w:val="18"/>
          <w:lang w:val="sr-Latn-RS"/>
        </w:rPr>
        <w:t xml:space="preserve"> Јединице за анализу и планирање у државним органима уведене да подрже повезано планирање буџета и политика, </w:t>
      </w:r>
      <w:r>
        <w:rPr>
          <w:rFonts w:ascii="Times New Roman" w:hAnsi="Times New Roman"/>
          <w:sz w:val="18"/>
          <w:szCs w:val="18"/>
          <w:lang w:val="sr-Cyrl-RS"/>
        </w:rPr>
        <w:t>ПРУЈФ 2016-2020</w:t>
      </w:r>
      <w:r w:rsidRPr="00E23043">
        <w:rPr>
          <w:rFonts w:ascii="Cambria" w:hAnsi="Cambria"/>
          <w:b/>
          <w:sz w:val="18"/>
          <w:szCs w:val="18"/>
          <w:lang w:val="sr-Latn-RS"/>
        </w:rPr>
        <w:t xml:space="preserve"> </w:t>
      </w:r>
    </w:p>
  </w:footnote>
  <w:footnote w:id="147">
    <w:p w:rsidR="00BB481C" w:rsidRPr="007738AE" w:rsidRDefault="00BB481C" w:rsidP="004D0595">
      <w:pPr>
        <w:pStyle w:val="FootnoteText"/>
        <w:spacing w:before="0"/>
        <w:jc w:val="both"/>
        <w:rPr>
          <w:rFonts w:ascii="Times New Roman" w:hAnsi="Times New Roman"/>
          <w:sz w:val="18"/>
          <w:szCs w:val="18"/>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„Службени гласник РС</w:t>
      </w:r>
      <w:r>
        <w:rPr>
          <w:rFonts w:ascii="Times New Roman" w:hAnsi="Times New Roman"/>
          <w:sz w:val="18"/>
          <w:szCs w:val="18"/>
        </w:rPr>
        <w:t>”</w:t>
      </w:r>
      <w:r w:rsidRPr="007738AE">
        <w:rPr>
          <w:rFonts w:ascii="Times New Roman" w:hAnsi="Times New Roman"/>
          <w:sz w:val="18"/>
          <w:szCs w:val="18"/>
        </w:rPr>
        <w:t>, бр. 125/03, 12/06 и 27/20</w:t>
      </w:r>
    </w:p>
  </w:footnote>
  <w:footnote w:id="148">
    <w:p w:rsidR="00BB481C" w:rsidRPr="007738AE" w:rsidRDefault="00BB481C" w:rsidP="004D0595">
      <w:pPr>
        <w:pStyle w:val="FootnoteText"/>
        <w:spacing w:before="0"/>
        <w:jc w:val="both"/>
        <w:rPr>
          <w:rFonts w:ascii="Times New Roman" w:hAnsi="Times New Roman"/>
          <w:sz w:val="18"/>
          <w:szCs w:val="18"/>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„Службени гласник РС</w:t>
      </w:r>
      <w:r>
        <w:rPr>
          <w:rFonts w:ascii="Times New Roman" w:hAnsi="Times New Roman"/>
          <w:sz w:val="18"/>
          <w:szCs w:val="18"/>
        </w:rPr>
        <w:t>”</w:t>
      </w:r>
      <w:r w:rsidRPr="007738AE">
        <w:rPr>
          <w:rFonts w:ascii="Times New Roman" w:hAnsi="Times New Roman"/>
          <w:sz w:val="18"/>
          <w:szCs w:val="18"/>
        </w:rPr>
        <w:t>, бр. 49/10 и 63/16</w:t>
      </w:r>
    </w:p>
  </w:footnote>
  <w:footnote w:id="149">
    <w:p w:rsidR="00BB481C" w:rsidRPr="007738AE" w:rsidRDefault="00BB481C" w:rsidP="004D0595">
      <w:pPr>
        <w:pStyle w:val="FootnoteText"/>
        <w:spacing w:before="0"/>
        <w:jc w:val="both"/>
        <w:rPr>
          <w:rFonts w:ascii="Times New Roman" w:hAnsi="Times New Roman"/>
          <w:sz w:val="18"/>
          <w:szCs w:val="18"/>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w:t>
      </w:r>
      <w:r w:rsidRPr="007738AE">
        <w:rPr>
          <w:rFonts w:ascii="Times New Roman" w:hAnsi="Times New Roman"/>
          <w:i/>
          <w:sz w:val="18"/>
          <w:szCs w:val="18"/>
        </w:rPr>
        <w:t>Serbia - Public sector accounting review: report on the enhancement of public sector financial reporting (English),</w:t>
      </w:r>
      <w:r w:rsidRPr="007738AE">
        <w:rPr>
          <w:rFonts w:ascii="Times New Roman" w:hAnsi="Times New Roman"/>
          <w:sz w:val="18"/>
          <w:szCs w:val="18"/>
        </w:rPr>
        <w:t xml:space="preserve"> (Report on the Enhancement of Public Sector Financial Reporting– REPF) </w:t>
      </w:r>
      <w:hyperlink r:id="rId29" w:history="1">
        <w:r w:rsidRPr="007738AE">
          <w:rPr>
            <w:rStyle w:val="Hyperlink"/>
            <w:rFonts w:ascii="Times New Roman" w:hAnsi="Times New Roman"/>
            <w:sz w:val="18"/>
            <w:szCs w:val="18"/>
          </w:rPr>
          <w:t>http://documents.worldbank.org/curated/en/637021520634430574/Serbia-Public-sector-accounting-review-report-on-the-enhancement-of-public-sector-financial-reporting</w:t>
        </w:r>
      </w:hyperlink>
    </w:p>
  </w:footnote>
  <w:footnote w:id="150">
    <w:p w:rsidR="00BB481C" w:rsidRPr="007738AE" w:rsidRDefault="00BB481C" w:rsidP="004D0595">
      <w:pPr>
        <w:pStyle w:val="FootnoteText"/>
        <w:spacing w:before="0"/>
        <w:jc w:val="both"/>
        <w:rPr>
          <w:rFonts w:ascii="Times New Roman" w:hAnsi="Times New Roman"/>
          <w:sz w:val="18"/>
          <w:szCs w:val="18"/>
        </w:rPr>
      </w:pPr>
      <w:r w:rsidRPr="0066422B">
        <w:rPr>
          <w:rStyle w:val="FootnoteReference"/>
          <w:rFonts w:ascii="Times New Roman" w:hAnsi="Times New Roman"/>
          <w:sz w:val="18"/>
          <w:szCs w:val="18"/>
        </w:rPr>
        <w:footnoteRef/>
      </w:r>
      <w:r w:rsidRPr="0066422B">
        <w:rPr>
          <w:rFonts w:ascii="Times New Roman" w:hAnsi="Times New Roman"/>
          <w:sz w:val="18"/>
          <w:szCs w:val="18"/>
        </w:rPr>
        <w:t xml:space="preserve"> У Уредби о примени МРС ЈС прописује се коришћење готовинске основе, али се суштински примењује нека врста модификоване основе, при чему то није ни модификована готовинска, ни</w:t>
      </w:r>
      <w:r>
        <w:rPr>
          <w:rFonts w:ascii="Times New Roman" w:hAnsi="Times New Roman"/>
          <w:sz w:val="18"/>
          <w:szCs w:val="18"/>
        </w:rPr>
        <w:t xml:space="preserve"> модификована обрачунска основа.</w:t>
      </w:r>
    </w:p>
  </w:footnote>
  <w:footnote w:id="151">
    <w:p w:rsidR="00BB481C" w:rsidRPr="007738AE" w:rsidRDefault="00BB481C" w:rsidP="004D0595">
      <w:pPr>
        <w:pStyle w:val="FootnoteText"/>
        <w:spacing w:before="0"/>
        <w:jc w:val="both"/>
        <w:rPr>
          <w:rFonts w:ascii="Times New Roman" w:hAnsi="Times New Roman"/>
          <w:sz w:val="18"/>
          <w:szCs w:val="18"/>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w:t>
      </w:r>
      <w:r w:rsidRPr="007738AE">
        <w:rPr>
          <w:rFonts w:ascii="Times New Roman" w:hAnsi="Times New Roman"/>
          <w:iCs/>
          <w:color w:val="000000"/>
          <w:sz w:val="18"/>
          <w:szCs w:val="18"/>
        </w:rPr>
        <w:t xml:space="preserve">Програм је развио британски Институт за јавне финансије и рачуноводство – </w:t>
      </w:r>
      <w:r w:rsidRPr="007738AE">
        <w:rPr>
          <w:rFonts w:ascii="Times New Roman" w:hAnsi="Times New Roman"/>
          <w:i/>
          <w:iCs/>
          <w:color w:val="000000"/>
          <w:sz w:val="18"/>
          <w:szCs w:val="18"/>
        </w:rPr>
        <w:t xml:space="preserve">CIPFA </w:t>
      </w:r>
      <w:r w:rsidRPr="007738AE">
        <w:rPr>
          <w:rFonts w:ascii="Times New Roman" w:hAnsi="Times New Roman"/>
          <w:iCs/>
          <w:color w:val="000000"/>
          <w:sz w:val="18"/>
          <w:szCs w:val="18"/>
        </w:rPr>
        <w:t>(</w:t>
      </w:r>
      <w:r w:rsidRPr="007738AE">
        <w:rPr>
          <w:rFonts w:ascii="Times New Roman" w:hAnsi="Times New Roman"/>
          <w:i/>
          <w:iCs/>
          <w:color w:val="000000"/>
          <w:sz w:val="18"/>
          <w:szCs w:val="18"/>
        </w:rPr>
        <w:t>Chartered Institute of Public Finance and Accountancy</w:t>
      </w:r>
      <w:r w:rsidRPr="007738AE">
        <w:rPr>
          <w:rFonts w:ascii="Times New Roman" w:hAnsi="Times New Roman"/>
          <w:iCs/>
          <w:color w:val="000000"/>
          <w:sz w:val="18"/>
          <w:szCs w:val="18"/>
        </w:rPr>
        <w:t xml:space="preserve">, Лондон), а који је је реализован у сарадњи са Центром за финансијску изузетност из Љубљане </w:t>
      </w:r>
      <w:r w:rsidRPr="007738AE">
        <w:rPr>
          <w:rFonts w:ascii="Times New Roman" w:hAnsi="Times New Roman"/>
          <w:i/>
          <w:iCs/>
          <w:color w:val="000000"/>
          <w:sz w:val="18"/>
          <w:szCs w:val="18"/>
        </w:rPr>
        <w:t>– CEF</w:t>
      </w:r>
      <w:r w:rsidRPr="007738AE">
        <w:rPr>
          <w:rFonts w:ascii="Times New Roman" w:hAnsi="Times New Roman"/>
          <w:iCs/>
          <w:color w:val="000000"/>
          <w:sz w:val="18"/>
          <w:szCs w:val="18"/>
        </w:rPr>
        <w:t xml:space="preserve"> (</w:t>
      </w:r>
      <w:r w:rsidRPr="007738AE">
        <w:rPr>
          <w:rFonts w:ascii="Times New Roman" w:hAnsi="Times New Roman"/>
          <w:i/>
          <w:iCs/>
          <w:color w:val="000000"/>
          <w:sz w:val="18"/>
          <w:szCs w:val="18"/>
        </w:rPr>
        <w:t>Center for Excellence in Finance</w:t>
      </w:r>
      <w:r w:rsidRPr="007738AE">
        <w:rPr>
          <w:rFonts w:ascii="Times New Roman" w:hAnsi="Times New Roman"/>
          <w:iCs/>
          <w:color w:val="000000"/>
          <w:sz w:val="18"/>
          <w:szCs w:val="18"/>
        </w:rPr>
        <w:t xml:space="preserve">), a финансиран од стране Министарства спољних послова Републике Словеније и </w:t>
      </w:r>
      <w:r w:rsidRPr="007738AE">
        <w:rPr>
          <w:rFonts w:ascii="Times New Roman" w:hAnsi="Times New Roman"/>
          <w:i/>
          <w:iCs/>
          <w:color w:val="000000"/>
          <w:sz w:val="18"/>
          <w:szCs w:val="18"/>
        </w:rPr>
        <w:t>USAID</w:t>
      </w:r>
      <w:r w:rsidRPr="007738AE">
        <w:rPr>
          <w:rFonts w:ascii="Times New Roman" w:hAnsi="Times New Roman"/>
          <w:iCs/>
          <w:color w:val="000000"/>
          <w:sz w:val="18"/>
          <w:szCs w:val="18"/>
        </w:rPr>
        <w:t>-а.</w:t>
      </w:r>
    </w:p>
  </w:footnote>
  <w:footnote w:id="152">
    <w:p w:rsidR="00BB481C" w:rsidRPr="007738AE" w:rsidRDefault="00BB481C" w:rsidP="004D0595">
      <w:pPr>
        <w:pStyle w:val="FootnoteText"/>
        <w:spacing w:before="0"/>
        <w:jc w:val="both"/>
        <w:rPr>
          <w:rFonts w:ascii="Times New Roman" w:hAnsi="Times New Roman"/>
          <w:sz w:val="18"/>
          <w:szCs w:val="18"/>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Интернет страна: </w:t>
      </w:r>
      <w:hyperlink r:id="rId30" w:history="1">
        <w:r w:rsidRPr="007738AE">
          <w:rPr>
            <w:rStyle w:val="Hyperlink"/>
            <w:rFonts w:ascii="Times New Roman" w:hAnsi="Times New Roman"/>
            <w:sz w:val="18"/>
            <w:szCs w:val="18"/>
          </w:rPr>
          <w:t>http://www.epsas.eu</w:t>
        </w:r>
      </w:hyperlink>
    </w:p>
  </w:footnote>
  <w:footnote w:id="153">
    <w:p w:rsidR="00BB481C" w:rsidRPr="007738AE" w:rsidRDefault="00BB481C" w:rsidP="004D0595">
      <w:pPr>
        <w:pStyle w:val="FootnoteText"/>
        <w:spacing w:before="0"/>
        <w:jc w:val="both"/>
        <w:rPr>
          <w:rFonts w:ascii="Times New Roman" w:hAnsi="Times New Roman"/>
          <w:sz w:val="18"/>
          <w:szCs w:val="18"/>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„Службени гласник РС</w:t>
      </w:r>
      <w:r>
        <w:rPr>
          <w:rFonts w:ascii="Times New Roman" w:hAnsi="Times New Roman"/>
          <w:sz w:val="18"/>
          <w:szCs w:val="18"/>
        </w:rPr>
        <w:t>”</w:t>
      </w:r>
      <w:r w:rsidRPr="007738AE">
        <w:rPr>
          <w:rFonts w:ascii="Times New Roman" w:hAnsi="Times New Roman"/>
          <w:sz w:val="18"/>
          <w:szCs w:val="18"/>
        </w:rPr>
        <w:t>, бр. 20/20 и 151/20</w:t>
      </w:r>
    </w:p>
  </w:footnote>
  <w:footnote w:id="154">
    <w:p w:rsidR="00BB481C" w:rsidRPr="007738AE" w:rsidRDefault="00BB481C" w:rsidP="004D0595">
      <w:pPr>
        <w:pStyle w:val="FootnoteText"/>
        <w:spacing w:before="0"/>
        <w:jc w:val="both"/>
        <w:rPr>
          <w:rFonts w:ascii="Times New Roman" w:hAnsi="Times New Roman"/>
          <w:sz w:val="18"/>
          <w:szCs w:val="18"/>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Изменама и допунама Закона о роковима измирења новчаних обавеза у комерцијалним трансакцијама („Службени гласник РС</w:t>
      </w:r>
      <w:r>
        <w:rPr>
          <w:rFonts w:ascii="Times New Roman" w:hAnsi="Times New Roman"/>
          <w:sz w:val="18"/>
          <w:szCs w:val="18"/>
        </w:rPr>
        <w:t>”</w:t>
      </w:r>
      <w:r w:rsidRPr="007738AE">
        <w:rPr>
          <w:rFonts w:ascii="Times New Roman" w:hAnsi="Times New Roman"/>
          <w:sz w:val="18"/>
          <w:szCs w:val="18"/>
        </w:rPr>
        <w:t>, бр. 119/12, 68/15, 113/17 и 91/19) прописана је, између осталог, обавеза регистровања фактура и других захтевa за исплату, издатих од стране поверилаца у комерцијалним трансакцијама између јавног сектора и привредних субјеката, односно између субјеката јавног сектора, у којима су субјекти јавног сектора дужници.</w:t>
      </w:r>
    </w:p>
  </w:footnote>
  <w:footnote w:id="155">
    <w:p w:rsidR="00BB481C" w:rsidRPr="007738AE" w:rsidRDefault="00BB481C" w:rsidP="004D0595">
      <w:pPr>
        <w:pStyle w:val="FootnoteText"/>
        <w:spacing w:before="0"/>
        <w:jc w:val="both"/>
        <w:rPr>
          <w:rFonts w:asciiTheme="majorBidi" w:hAnsiTheme="majorBidi" w:cstheme="majorBidi"/>
          <w:sz w:val="18"/>
          <w:szCs w:val="18"/>
        </w:rPr>
      </w:pPr>
      <w:r w:rsidRPr="007738AE">
        <w:rPr>
          <w:rStyle w:val="FootnoteReference"/>
          <w:rFonts w:asciiTheme="majorBidi" w:hAnsiTheme="majorBidi" w:cstheme="majorBidi"/>
          <w:sz w:val="18"/>
          <w:szCs w:val="18"/>
        </w:rPr>
        <w:footnoteRef/>
      </w:r>
      <w:r w:rsidRPr="007738AE">
        <w:rPr>
          <w:rFonts w:asciiTheme="majorBidi" w:hAnsiTheme="majorBidi" w:cstheme="majorBidi"/>
          <w:sz w:val="18"/>
          <w:szCs w:val="18"/>
        </w:rPr>
        <w:t xml:space="preserve"> Измене и допуне Правилника о начину и поступку обављања платног промета у оквиру консолидованог рачуна трезора („Службени гласник РС</w:t>
      </w:r>
      <w:r>
        <w:rPr>
          <w:rFonts w:asciiTheme="majorBidi" w:hAnsiTheme="majorBidi" w:cstheme="majorBidi"/>
          <w:sz w:val="18"/>
          <w:szCs w:val="18"/>
        </w:rPr>
        <w:t>”</w:t>
      </w:r>
      <w:r w:rsidRPr="007738AE">
        <w:rPr>
          <w:rFonts w:asciiTheme="majorBidi" w:hAnsiTheme="majorBidi" w:cstheme="majorBidi"/>
          <w:sz w:val="18"/>
          <w:szCs w:val="18"/>
        </w:rPr>
        <w:t>, број 91/20)</w:t>
      </w:r>
    </w:p>
  </w:footnote>
  <w:footnote w:id="156">
    <w:p w:rsidR="00BB481C" w:rsidRPr="007738AE" w:rsidRDefault="00BB481C" w:rsidP="004D0595">
      <w:pPr>
        <w:pStyle w:val="FootnoteText"/>
        <w:spacing w:before="0"/>
        <w:jc w:val="both"/>
        <w:rPr>
          <w:rFonts w:asciiTheme="majorBidi" w:hAnsiTheme="majorBidi" w:cstheme="majorBidi"/>
          <w:sz w:val="18"/>
          <w:szCs w:val="18"/>
        </w:rPr>
      </w:pPr>
      <w:r w:rsidRPr="007738AE">
        <w:rPr>
          <w:rStyle w:val="FootnoteReference"/>
          <w:rFonts w:asciiTheme="majorBidi" w:hAnsiTheme="majorBidi" w:cstheme="majorBidi"/>
          <w:sz w:val="18"/>
          <w:szCs w:val="18"/>
        </w:rPr>
        <w:footnoteRef/>
      </w:r>
      <w:r w:rsidRPr="007738AE">
        <w:rPr>
          <w:rFonts w:asciiTheme="majorBidi" w:hAnsiTheme="majorBidi" w:cstheme="majorBidi"/>
          <w:sz w:val="18"/>
          <w:szCs w:val="18"/>
        </w:rPr>
        <w:t xml:space="preserve"> Правилник о систему извршења буџета аутономних покрајина и јединица локалне самоуправе („Службени гласник РС</w:t>
      </w:r>
      <w:r>
        <w:rPr>
          <w:rFonts w:asciiTheme="majorBidi" w:hAnsiTheme="majorBidi" w:cstheme="majorBidi"/>
          <w:sz w:val="18"/>
          <w:szCs w:val="18"/>
        </w:rPr>
        <w:t>”</w:t>
      </w:r>
      <w:r w:rsidRPr="007738AE">
        <w:rPr>
          <w:rFonts w:asciiTheme="majorBidi" w:hAnsiTheme="majorBidi" w:cstheme="majorBidi"/>
          <w:sz w:val="18"/>
          <w:szCs w:val="18"/>
        </w:rPr>
        <w:t>, број 154/20)</w:t>
      </w:r>
    </w:p>
  </w:footnote>
  <w:footnote w:id="157">
    <w:p w:rsidR="00BB481C" w:rsidRPr="00B25F76" w:rsidRDefault="00BB481C" w:rsidP="00B25F76">
      <w:pPr>
        <w:pStyle w:val="FootnoteText"/>
        <w:spacing w:before="0"/>
        <w:jc w:val="both"/>
        <w:rPr>
          <w:rFonts w:asciiTheme="majorBidi" w:hAnsiTheme="majorBidi"/>
          <w:sz w:val="18"/>
          <w:szCs w:val="18"/>
          <w:lang w:val="sr-Cyrl-RS"/>
        </w:rPr>
      </w:pPr>
      <w:r w:rsidRPr="00B25F76">
        <w:rPr>
          <w:rStyle w:val="FootnoteReference"/>
          <w:rFonts w:asciiTheme="majorBidi" w:hAnsiTheme="majorBidi"/>
          <w:sz w:val="18"/>
          <w:szCs w:val="18"/>
        </w:rPr>
        <w:footnoteRef/>
      </w:r>
      <w:r w:rsidRPr="00B25F76">
        <w:rPr>
          <w:rFonts w:asciiTheme="majorBidi" w:hAnsiTheme="majorBidi"/>
          <w:sz w:val="18"/>
          <w:szCs w:val="18"/>
          <w:lang w:val="sr-Cyrl-RS"/>
        </w:rPr>
        <w:t xml:space="preserve"> Имајући у виду више од 11.000 потенцијалних субјеката ревизије и постојеће капацитете (пословни простор, број и структура запослених и др.)</w:t>
      </w:r>
    </w:p>
  </w:footnote>
  <w:footnote w:id="158">
    <w:p w:rsidR="00BB481C" w:rsidRPr="007738AE" w:rsidRDefault="00BB481C" w:rsidP="007738AE">
      <w:pPr>
        <w:pStyle w:val="FootnoteText"/>
        <w:spacing w:before="0"/>
        <w:jc w:val="both"/>
        <w:rPr>
          <w:rFonts w:ascii="Times New Roman" w:hAnsi="Times New Roman"/>
          <w:sz w:val="18"/>
          <w:szCs w:val="18"/>
          <w:lang w:val="sr-Cyrl-RS"/>
        </w:rPr>
      </w:pPr>
      <w:r w:rsidRPr="007738AE">
        <w:rPr>
          <w:rStyle w:val="FootnoteReference"/>
          <w:rFonts w:ascii="Times New Roman" w:hAnsi="Times New Roman"/>
          <w:sz w:val="18"/>
          <w:szCs w:val="18"/>
        </w:rPr>
        <w:footnoteRef/>
      </w:r>
      <w:r w:rsidRPr="007738AE">
        <w:rPr>
          <w:rFonts w:ascii="Times New Roman" w:hAnsi="Times New Roman"/>
          <w:sz w:val="18"/>
          <w:szCs w:val="18"/>
          <w:lang w:val="sr-Cyrl-RS"/>
        </w:rPr>
        <w:t xml:space="preserve"> Овај приручник је резултат </w:t>
      </w:r>
      <w:r w:rsidRPr="007738AE">
        <w:rPr>
          <w:rFonts w:ascii="Times New Roman" w:hAnsi="Times New Roman"/>
          <w:i/>
          <w:iCs/>
          <w:sz w:val="18"/>
          <w:szCs w:val="18"/>
          <w:lang w:val="sr-Cyrl-RS"/>
        </w:rPr>
        <w:t>Тwinning light</w:t>
      </w:r>
      <w:r w:rsidRPr="007738AE">
        <w:rPr>
          <w:rFonts w:ascii="Times New Roman" w:hAnsi="Times New Roman"/>
          <w:sz w:val="18"/>
          <w:szCs w:val="18"/>
          <w:lang w:val="sr-Cyrl-RS"/>
        </w:rPr>
        <w:t xml:space="preserve"> пројекта „Контрола квалитета ревизије у Државној ревизорској институцији</w:t>
      </w:r>
      <w:r>
        <w:rPr>
          <w:rFonts w:ascii="Times New Roman" w:hAnsi="Times New Roman"/>
          <w:sz w:val="18"/>
          <w:szCs w:val="18"/>
          <w:lang w:val="sr-Cyrl-RS"/>
        </w:rPr>
        <w:t>”</w:t>
      </w:r>
      <w:r w:rsidRPr="007738AE">
        <w:rPr>
          <w:rFonts w:ascii="Times New Roman" w:hAnsi="Times New Roman"/>
          <w:sz w:val="18"/>
          <w:szCs w:val="18"/>
          <w:lang w:val="sr-Cyrl-RS"/>
        </w:rPr>
        <w:t xml:space="preserve"> и финансиран је из ИПА 2013.</w:t>
      </w:r>
    </w:p>
  </w:footnote>
  <w:footnote w:id="159">
    <w:p w:rsidR="00BB481C" w:rsidRPr="007738AE" w:rsidRDefault="00BB481C" w:rsidP="007738AE">
      <w:pPr>
        <w:pStyle w:val="FootnoteText"/>
        <w:spacing w:before="0"/>
        <w:jc w:val="both"/>
        <w:rPr>
          <w:rFonts w:ascii="Times New Roman" w:hAnsi="Times New Roman"/>
          <w:sz w:val="18"/>
          <w:szCs w:val="18"/>
          <w:lang w:val="sr-Cyrl-RS"/>
        </w:rPr>
      </w:pPr>
      <w:r w:rsidRPr="007738AE">
        <w:rPr>
          <w:rStyle w:val="FootnoteReference"/>
          <w:rFonts w:ascii="Times New Roman" w:hAnsi="Times New Roman"/>
          <w:sz w:val="18"/>
          <w:szCs w:val="18"/>
        </w:rPr>
        <w:footnoteRef/>
      </w:r>
      <w:r w:rsidRPr="007738AE">
        <w:rPr>
          <w:rFonts w:ascii="Times New Roman" w:hAnsi="Times New Roman"/>
          <w:sz w:val="18"/>
          <w:szCs w:val="18"/>
          <w:lang w:val="sr-Cyrl-RS"/>
        </w:rPr>
        <w:t xml:space="preserve"> </w:t>
      </w:r>
      <w:r w:rsidRPr="007738AE">
        <w:rPr>
          <w:rFonts w:ascii="Times New Roman" w:hAnsi="Times New Roman"/>
          <w:sz w:val="18"/>
          <w:szCs w:val="18"/>
        </w:rPr>
        <w:t>Међународна организација врховних ревизорских институција</w:t>
      </w:r>
    </w:p>
  </w:footnote>
  <w:footnote w:id="160">
    <w:p w:rsidR="00BB481C" w:rsidRPr="007738AE" w:rsidRDefault="00BB481C" w:rsidP="007738AE">
      <w:pPr>
        <w:pStyle w:val="FootnoteText"/>
        <w:spacing w:before="0"/>
        <w:jc w:val="both"/>
        <w:rPr>
          <w:rFonts w:ascii="Times New Roman" w:hAnsi="Times New Roman"/>
          <w:sz w:val="18"/>
          <w:szCs w:val="18"/>
          <w:lang w:val="en-GB"/>
        </w:rPr>
      </w:pPr>
      <w:r w:rsidRPr="007738AE">
        <w:rPr>
          <w:rStyle w:val="FootnoteReference"/>
          <w:rFonts w:ascii="Times New Roman" w:hAnsi="Times New Roman"/>
          <w:sz w:val="18"/>
          <w:szCs w:val="18"/>
        </w:rPr>
        <w:footnoteRef/>
      </w:r>
      <w:r w:rsidRPr="007738AE">
        <w:rPr>
          <w:rFonts w:ascii="Times New Roman" w:hAnsi="Times New Roman"/>
          <w:sz w:val="18"/>
          <w:szCs w:val="18"/>
          <w:lang w:val="sr-Cyrl-RS"/>
        </w:rPr>
        <w:t xml:space="preserve"> </w:t>
      </w:r>
      <w:r w:rsidRPr="007738AE">
        <w:rPr>
          <w:rFonts w:ascii="Times New Roman" w:hAnsi="Times New Roman"/>
          <w:sz w:val="18"/>
          <w:szCs w:val="18"/>
        </w:rPr>
        <w:t>Европск</w:t>
      </w:r>
      <w:r w:rsidRPr="007738AE">
        <w:rPr>
          <w:rFonts w:ascii="Times New Roman" w:hAnsi="Times New Roman"/>
          <w:sz w:val="18"/>
          <w:szCs w:val="18"/>
          <w:lang w:val="sr-Cyrl-RS"/>
        </w:rPr>
        <w:t>а</w:t>
      </w:r>
      <w:r w:rsidRPr="007738AE">
        <w:rPr>
          <w:rFonts w:ascii="Times New Roman" w:hAnsi="Times New Roman"/>
          <w:sz w:val="18"/>
          <w:szCs w:val="18"/>
        </w:rPr>
        <w:t xml:space="preserve"> организације врховних ревизорских институција</w:t>
      </w:r>
    </w:p>
  </w:footnote>
  <w:footnote w:id="161">
    <w:p w:rsidR="00BB481C" w:rsidRPr="007738AE" w:rsidRDefault="00BB481C" w:rsidP="007738AE">
      <w:pPr>
        <w:pStyle w:val="f1"/>
        <w:jc w:val="both"/>
        <w:rPr>
          <w:rFonts w:ascii="Times New Roman" w:hAnsi="Times New Roman" w:cs="Times New Roman"/>
          <w:sz w:val="18"/>
          <w:szCs w:val="18"/>
          <w:lang w:val="sr-Cyrl-RS"/>
        </w:rPr>
      </w:pPr>
      <w:r w:rsidRPr="007738AE">
        <w:rPr>
          <w:rStyle w:val="FootnoteReference"/>
          <w:rFonts w:ascii="Times New Roman" w:hAnsi="Times New Roman" w:cs="Times New Roman"/>
          <w:sz w:val="18"/>
          <w:szCs w:val="18"/>
        </w:rPr>
        <w:footnoteRef/>
      </w:r>
      <w:r w:rsidRPr="007738AE">
        <w:rPr>
          <w:rFonts w:ascii="Times New Roman" w:hAnsi="Times New Roman" w:cs="Times New Roman"/>
          <w:sz w:val="18"/>
          <w:szCs w:val="18"/>
          <w:lang w:val="sr-Cyrl-RS"/>
        </w:rPr>
        <w:t xml:space="preserve"> Обавештење за субјекте ревизије: </w:t>
      </w:r>
      <w:hyperlink r:id="rId31" w:history="1">
        <w:r w:rsidRPr="007738AE">
          <w:rPr>
            <w:rStyle w:val="Hyperlink1"/>
            <w:rFonts w:ascii="Times New Roman" w:hAnsi="Times New Roman" w:cs="Times New Roman"/>
            <w:sz w:val="18"/>
            <w:szCs w:val="18"/>
          </w:rPr>
          <w:t>https</w:t>
        </w:r>
        <w:r w:rsidRPr="007738AE">
          <w:rPr>
            <w:rStyle w:val="Hyperlink1"/>
            <w:rFonts w:ascii="Times New Roman" w:hAnsi="Times New Roman" w:cs="Times New Roman"/>
            <w:sz w:val="18"/>
            <w:szCs w:val="18"/>
            <w:lang w:val="sr-Cyrl-RS"/>
          </w:rPr>
          <w:t>://</w:t>
        </w:r>
        <w:r w:rsidRPr="007738AE">
          <w:rPr>
            <w:rStyle w:val="Hyperlink1"/>
            <w:rFonts w:ascii="Times New Roman" w:hAnsi="Times New Roman" w:cs="Times New Roman"/>
            <w:sz w:val="18"/>
            <w:szCs w:val="18"/>
          </w:rPr>
          <w:t>www</w:t>
        </w:r>
        <w:r w:rsidRPr="007738AE">
          <w:rPr>
            <w:rStyle w:val="Hyperlink1"/>
            <w:rFonts w:ascii="Times New Roman" w:hAnsi="Times New Roman" w:cs="Times New Roman"/>
            <w:sz w:val="18"/>
            <w:szCs w:val="18"/>
            <w:lang w:val="sr-Cyrl-RS"/>
          </w:rPr>
          <w:t>.</w:t>
        </w:r>
        <w:r w:rsidRPr="007738AE">
          <w:rPr>
            <w:rStyle w:val="Hyperlink1"/>
            <w:rFonts w:ascii="Times New Roman" w:hAnsi="Times New Roman" w:cs="Times New Roman"/>
            <w:sz w:val="18"/>
            <w:szCs w:val="18"/>
          </w:rPr>
          <w:t>dri</w:t>
        </w:r>
        <w:r w:rsidRPr="007738AE">
          <w:rPr>
            <w:rStyle w:val="Hyperlink1"/>
            <w:rFonts w:ascii="Times New Roman" w:hAnsi="Times New Roman" w:cs="Times New Roman"/>
            <w:sz w:val="18"/>
            <w:szCs w:val="18"/>
            <w:lang w:val="sr-Cyrl-RS"/>
          </w:rPr>
          <w:t>.</w:t>
        </w:r>
        <w:r w:rsidRPr="007738AE">
          <w:rPr>
            <w:rStyle w:val="Hyperlink1"/>
            <w:rFonts w:ascii="Times New Roman" w:hAnsi="Times New Roman" w:cs="Times New Roman"/>
            <w:sz w:val="18"/>
            <w:szCs w:val="18"/>
          </w:rPr>
          <w:t>rs</w:t>
        </w:r>
        <w:r w:rsidRPr="007738AE">
          <w:rPr>
            <w:rStyle w:val="Hyperlink1"/>
            <w:rFonts w:ascii="Times New Roman" w:hAnsi="Times New Roman" w:cs="Times New Roman"/>
            <w:sz w:val="18"/>
            <w:szCs w:val="18"/>
            <w:lang w:val="sr-Cyrl-RS"/>
          </w:rPr>
          <w:t>/медији/Обавештење-за-субјекте-ревизије.</w:t>
        </w:r>
        <w:r w:rsidRPr="007738AE">
          <w:rPr>
            <w:rStyle w:val="Hyperlink1"/>
            <w:rFonts w:ascii="Times New Roman" w:hAnsi="Times New Roman" w:cs="Times New Roman"/>
            <w:sz w:val="18"/>
            <w:szCs w:val="18"/>
            <w:lang w:val="sr-Latn-RS"/>
          </w:rPr>
          <w:t>n-339.7.html</w:t>
        </w:r>
      </w:hyperlink>
    </w:p>
  </w:footnote>
  <w:footnote w:id="162">
    <w:p w:rsidR="00BB481C" w:rsidRPr="007738AE" w:rsidRDefault="00BB481C" w:rsidP="007738AE">
      <w:pPr>
        <w:pStyle w:val="FootnoteText"/>
        <w:spacing w:before="0"/>
        <w:jc w:val="both"/>
        <w:rPr>
          <w:rFonts w:ascii="Times New Roman" w:hAnsi="Times New Roman"/>
          <w:sz w:val="18"/>
          <w:szCs w:val="18"/>
          <w:lang w:val="sr-Cyrl-RS"/>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w:t>
      </w:r>
      <w:hyperlink r:id="rId32" w:history="1">
        <w:r w:rsidRPr="007738AE">
          <w:rPr>
            <w:rStyle w:val="Hyperlink"/>
            <w:rFonts w:ascii="Times New Roman" w:hAnsi="Times New Roman"/>
            <w:sz w:val="18"/>
            <w:szCs w:val="18"/>
          </w:rPr>
          <w:t>https://www.dri.rs/revizije/poslerevizioni-izvestaji/2019-za-rev-2018.442.html</w:t>
        </w:r>
      </w:hyperlink>
    </w:p>
  </w:footnote>
  <w:footnote w:id="163">
    <w:p w:rsidR="00BB481C" w:rsidRPr="007738AE" w:rsidRDefault="00BB481C" w:rsidP="007738AE">
      <w:pPr>
        <w:pStyle w:val="FootnoteText"/>
        <w:spacing w:before="0"/>
        <w:jc w:val="both"/>
        <w:rPr>
          <w:rFonts w:ascii="Times New Roman" w:hAnsi="Times New Roman"/>
          <w:sz w:val="18"/>
          <w:szCs w:val="18"/>
          <w:lang w:val="sr-Cyrl-RS"/>
        </w:rPr>
      </w:pPr>
      <w:r w:rsidRPr="007738AE">
        <w:rPr>
          <w:rStyle w:val="FootnoteReference"/>
          <w:rFonts w:ascii="Times New Roman" w:hAnsi="Times New Roman"/>
          <w:sz w:val="18"/>
          <w:szCs w:val="18"/>
        </w:rPr>
        <w:footnoteRef/>
      </w:r>
      <w:r w:rsidRPr="007738AE">
        <w:rPr>
          <w:rFonts w:ascii="Times New Roman" w:hAnsi="Times New Roman"/>
          <w:sz w:val="18"/>
          <w:szCs w:val="18"/>
          <w:lang w:val="sr-Cyrl-RS"/>
        </w:rPr>
        <w:t xml:space="preserve"> Резиме извештаја о ревизији: </w:t>
      </w:r>
      <w:hyperlink r:id="rId33" w:history="1">
        <w:r w:rsidRPr="007738AE">
          <w:rPr>
            <w:rStyle w:val="Hyperlink"/>
            <w:rFonts w:ascii="Times New Roman" w:hAnsi="Times New Roman"/>
            <w:sz w:val="18"/>
            <w:szCs w:val="18"/>
            <w:lang w:val="sr-Cyrl-RS"/>
          </w:rPr>
          <w:t>https://www.dri.rs/revizije/rezime-izvestaja-o-reviziji/arhiva-2019.460.html</w:t>
        </w:r>
      </w:hyperlink>
    </w:p>
    <w:p w:rsidR="00BB481C" w:rsidRPr="007738AE" w:rsidRDefault="00BB481C" w:rsidP="007738AE">
      <w:pPr>
        <w:pStyle w:val="FootnoteText"/>
        <w:spacing w:before="0"/>
        <w:jc w:val="both"/>
        <w:rPr>
          <w:rFonts w:ascii="Times New Roman" w:hAnsi="Times New Roman"/>
          <w:sz w:val="18"/>
          <w:szCs w:val="18"/>
          <w:lang w:val="sr-Cyrl-RS"/>
        </w:rPr>
      </w:pPr>
      <w:r w:rsidRPr="007738AE">
        <w:rPr>
          <w:rFonts w:ascii="Times New Roman" w:hAnsi="Times New Roman"/>
          <w:sz w:val="18"/>
          <w:szCs w:val="18"/>
        </w:rPr>
        <w:t>https://www.dri.rs/%D1%80%D0%B5%D0%B2%D0%B8%D0%B7%D0%B8%D1%98%D0%B5/%D1%80%D0%B5%D0%B7%D0%B8%D0%BC%D0%B5-%D0%B8%D0%B7%D0%B2%D0%B5%D1%88%D1%82%D0%B0%D1%98%D0%B0-%D0%BE-%D1%80%D0%B5%D0%B2%D0%B8%D0%B7%D0%B8%D1%98%D0%B8.405.html</w:t>
      </w:r>
      <w:r w:rsidRPr="007738AE">
        <w:rPr>
          <w:rFonts w:ascii="Times New Roman" w:hAnsi="Times New Roman"/>
          <w:sz w:val="18"/>
          <w:szCs w:val="18"/>
          <w:lang w:val="sr-Cyrl-RS"/>
        </w:rPr>
        <w:t xml:space="preserve"> </w:t>
      </w:r>
    </w:p>
  </w:footnote>
  <w:footnote w:id="164">
    <w:p w:rsidR="00BB481C" w:rsidRPr="007738AE" w:rsidRDefault="00BB481C" w:rsidP="00A60906">
      <w:pPr>
        <w:pStyle w:val="FootnoteText"/>
        <w:jc w:val="both"/>
        <w:rPr>
          <w:rFonts w:ascii="Times New Roman" w:hAnsi="Times New Roman"/>
          <w:sz w:val="18"/>
          <w:szCs w:val="18"/>
          <w:lang w:val="sr-Cyrl-RS"/>
        </w:rPr>
      </w:pPr>
      <w:r w:rsidRPr="007738AE">
        <w:rPr>
          <w:rStyle w:val="FootnoteReference"/>
          <w:rFonts w:ascii="Times New Roman" w:hAnsi="Times New Roman"/>
          <w:sz w:val="18"/>
          <w:szCs w:val="18"/>
        </w:rPr>
        <w:footnoteRef/>
      </w:r>
      <w:r w:rsidRPr="007738AE">
        <w:rPr>
          <w:rFonts w:ascii="Times New Roman" w:hAnsi="Times New Roman"/>
          <w:sz w:val="18"/>
          <w:szCs w:val="18"/>
        </w:rPr>
        <w:t xml:space="preserve"> </w:t>
      </w:r>
      <w:r w:rsidRPr="007738AE">
        <w:rPr>
          <w:rFonts w:ascii="Times New Roman" w:hAnsi="Times New Roman"/>
          <w:sz w:val="18"/>
          <w:szCs w:val="18"/>
          <w:lang w:val="sr-Cyrl-RS"/>
        </w:rPr>
        <w:t>2017.године одржана је једна таква седница, у Новом Саду; 2018. године одржане су две такве седнице, у Суботици и Лесковцу;</w:t>
      </w:r>
      <w:r>
        <w:rPr>
          <w:rFonts w:ascii="Times New Roman" w:hAnsi="Times New Roman"/>
          <w:sz w:val="18"/>
          <w:szCs w:val="18"/>
          <w:lang w:val="sr-Cyrl-RS"/>
        </w:rPr>
        <w:t xml:space="preserve"> </w:t>
      </w:r>
      <w:r w:rsidRPr="007738AE">
        <w:rPr>
          <w:rFonts w:ascii="Times New Roman" w:hAnsi="Times New Roman"/>
          <w:sz w:val="18"/>
          <w:szCs w:val="18"/>
          <w:lang w:val="sr-Cyrl-RS"/>
        </w:rPr>
        <w:t xml:space="preserve">2019. године одржане су три такве седнице, у Крушевцу, Зрењанину и Чачку; 2020. године одржане су четири такве седнице, у </w:t>
      </w:r>
      <w:r>
        <w:rPr>
          <w:rFonts w:ascii="Times New Roman" w:hAnsi="Times New Roman"/>
          <w:sz w:val="18"/>
          <w:szCs w:val="18"/>
          <w:lang w:val="sr-Cyrl-RS"/>
        </w:rPr>
        <w:t xml:space="preserve">градској </w:t>
      </w:r>
      <w:r w:rsidRPr="007738AE">
        <w:rPr>
          <w:rFonts w:ascii="Times New Roman" w:hAnsi="Times New Roman"/>
          <w:sz w:val="18"/>
          <w:szCs w:val="18"/>
          <w:lang w:val="sr-Cyrl-RS"/>
        </w:rPr>
        <w:t>општини Врачар, друга је због проглашавања ванредне ситуације у Нишу одржана у хотелу „Метропол</w:t>
      </w:r>
      <w:r>
        <w:rPr>
          <w:rFonts w:ascii="Times New Roman" w:hAnsi="Times New Roman"/>
          <w:sz w:val="18"/>
          <w:szCs w:val="18"/>
          <w:lang w:val="sr-Cyrl-RS"/>
        </w:rPr>
        <w:t>”</w:t>
      </w:r>
      <w:r w:rsidRPr="007738AE">
        <w:rPr>
          <w:rFonts w:ascii="Times New Roman" w:hAnsi="Times New Roman"/>
          <w:sz w:val="18"/>
          <w:szCs w:val="18"/>
          <w:lang w:val="sr-Cyrl-RS"/>
        </w:rPr>
        <w:t xml:space="preserve"> у Београду али су присуствовали представници града Ниша, трећа у Аутономној покрајини Војводина и четврта у Врднику.</w:t>
      </w:r>
    </w:p>
  </w:footnote>
  <w:footnote w:id="165">
    <w:p w:rsidR="00BB481C" w:rsidRPr="007738AE" w:rsidRDefault="00BB481C" w:rsidP="0075479B">
      <w:pPr>
        <w:pStyle w:val="FootnoteText"/>
        <w:spacing w:before="0"/>
        <w:jc w:val="both"/>
        <w:rPr>
          <w:rFonts w:asciiTheme="majorBidi" w:hAnsiTheme="majorBidi" w:cstheme="majorBidi"/>
          <w:sz w:val="18"/>
          <w:szCs w:val="18"/>
          <w:lang w:val="sr-Cyrl-RS"/>
        </w:rPr>
      </w:pPr>
      <w:r w:rsidRPr="007738AE">
        <w:rPr>
          <w:rStyle w:val="FootnoteReference"/>
          <w:rFonts w:asciiTheme="majorBidi" w:hAnsiTheme="majorBidi" w:cstheme="majorBidi"/>
          <w:sz w:val="18"/>
          <w:szCs w:val="18"/>
        </w:rPr>
        <w:footnoteRef/>
      </w:r>
      <w:r w:rsidRPr="007738AE">
        <w:rPr>
          <w:rFonts w:asciiTheme="majorBidi" w:hAnsiTheme="majorBidi" w:cstheme="majorBidi"/>
          <w:sz w:val="18"/>
          <w:szCs w:val="18"/>
          <w:lang w:val="sr-Cyrl-RS"/>
        </w:rPr>
        <w:t xml:space="preserve"> Портал се у Народној скупштини израђује уз подршку Развојног програма Уједињених нација (</w:t>
      </w:r>
      <w:r w:rsidRPr="007738AE">
        <w:rPr>
          <w:rFonts w:asciiTheme="majorBidi" w:hAnsiTheme="majorBidi" w:cstheme="majorBidi"/>
          <w:i/>
          <w:iCs/>
          <w:sz w:val="18"/>
          <w:szCs w:val="18"/>
        </w:rPr>
        <w:t>UNDP</w:t>
      </w:r>
      <w:r w:rsidRPr="007738AE">
        <w:rPr>
          <w:rFonts w:asciiTheme="majorBidi" w:hAnsiTheme="majorBidi" w:cstheme="majorBidi"/>
          <w:sz w:val="18"/>
          <w:szCs w:val="18"/>
          <w:lang w:val="sr-Cyrl-RS"/>
        </w:rPr>
        <w:t>) и Швајцарске агенције за развој и сарадњу (</w:t>
      </w:r>
      <w:r w:rsidRPr="007738AE">
        <w:rPr>
          <w:rFonts w:asciiTheme="majorBidi" w:hAnsiTheme="majorBidi" w:cstheme="majorBidi"/>
          <w:i/>
          <w:iCs/>
          <w:sz w:val="18"/>
          <w:szCs w:val="18"/>
        </w:rPr>
        <w:t>SDC</w:t>
      </w:r>
      <w:r w:rsidRPr="007738AE">
        <w:rPr>
          <w:rFonts w:asciiTheme="majorBidi" w:hAnsiTheme="majorBidi" w:cstheme="majorBidi"/>
          <w:sz w:val="18"/>
          <w:szCs w:val="18"/>
          <w:lang w:val="sr-Cyrl-RS"/>
        </w:rPr>
        <w:t>) кроз пројекат „Јачање надзорне улоге и јавности у раду Народне скупштине</w:t>
      </w:r>
      <w:r>
        <w:rPr>
          <w:rFonts w:asciiTheme="majorBidi" w:hAnsiTheme="majorBidi" w:cstheme="majorBidi"/>
          <w:sz w:val="18"/>
          <w:szCs w:val="18"/>
          <w:lang w:val="sr-Cyrl-RS"/>
        </w:rPr>
        <w:t>”</w:t>
      </w:r>
      <w:r w:rsidRPr="007738AE">
        <w:rPr>
          <w:rFonts w:asciiTheme="majorBidi" w:hAnsiTheme="majorBidi" w:cstheme="majorBidi"/>
          <w:sz w:val="18"/>
          <w:szCs w:val="18"/>
          <w:lang w:val="sr-Cyrl-RS"/>
        </w:rPr>
        <w:t>.</w:t>
      </w:r>
    </w:p>
  </w:footnote>
  <w:footnote w:id="166">
    <w:p w:rsidR="00BB481C" w:rsidRPr="0025737E" w:rsidRDefault="00BB481C" w:rsidP="00FB6EDF">
      <w:pPr>
        <w:pStyle w:val="FootnoteText"/>
        <w:spacing w:before="0"/>
        <w:jc w:val="both"/>
        <w:rPr>
          <w:sz w:val="18"/>
          <w:szCs w:val="18"/>
          <w:lang w:val="sr-Cyrl-RS"/>
        </w:rPr>
      </w:pPr>
      <w:r>
        <w:rPr>
          <w:rStyle w:val="FootnoteReference"/>
        </w:rPr>
        <w:footnoteRef/>
      </w:r>
      <w:r>
        <w:t xml:space="preserve"> </w:t>
      </w:r>
      <w:r>
        <w:rPr>
          <w:rFonts w:ascii="Times New Roman" w:eastAsia="Calibri" w:hAnsi="Times New Roman"/>
          <w:sz w:val="18"/>
          <w:szCs w:val="18"/>
          <w:lang w:val="sr-Cyrl-RS"/>
        </w:rPr>
        <w:t>Р</w:t>
      </w:r>
      <w:r w:rsidRPr="0025737E">
        <w:rPr>
          <w:rFonts w:ascii="Times New Roman" w:eastAsia="Calibri" w:hAnsi="Times New Roman"/>
          <w:sz w:val="18"/>
          <w:szCs w:val="18"/>
          <w:lang w:val="sr-Cyrl-RS"/>
        </w:rPr>
        <w:t xml:space="preserve">ешењем министра финансија </w:t>
      </w:r>
      <w:r>
        <w:rPr>
          <w:rFonts w:ascii="Times New Roman" w:eastAsia="Calibri" w:hAnsi="Times New Roman"/>
          <w:sz w:val="18"/>
          <w:szCs w:val="18"/>
          <w:lang w:val="sr-Cyrl-RS"/>
        </w:rPr>
        <w:t>прва Радна група за ПРУЈФ формирана је ф</w:t>
      </w:r>
      <w:r w:rsidRPr="0025737E">
        <w:rPr>
          <w:rFonts w:ascii="Times New Roman" w:eastAsia="Calibri" w:hAnsi="Times New Roman"/>
          <w:sz w:val="18"/>
          <w:szCs w:val="18"/>
          <w:lang w:val="sr-Cyrl-RS"/>
        </w:rPr>
        <w:t xml:space="preserve">eбруaрa 2015. гoдинe, а </w:t>
      </w:r>
      <w:r>
        <w:rPr>
          <w:rFonts w:ascii="Times New Roman" w:eastAsia="Calibri" w:hAnsi="Times New Roman"/>
          <w:sz w:val="18"/>
          <w:szCs w:val="18"/>
          <w:lang w:val="sr-Cyrl-RS"/>
        </w:rPr>
        <w:t>затим је чланство иновирано</w:t>
      </w:r>
      <w:r w:rsidRPr="0025737E">
        <w:rPr>
          <w:rFonts w:ascii="Times New Roman" w:eastAsia="Calibri" w:hAnsi="Times New Roman"/>
          <w:sz w:val="18"/>
          <w:szCs w:val="18"/>
          <w:lang w:val="sr-Cyrl-RS"/>
        </w:rPr>
        <w:t xml:space="preserve"> 20. августа 2018. године</w:t>
      </w:r>
      <w:r>
        <w:rPr>
          <w:rFonts w:ascii="Times New Roman" w:eastAsia="Calibri" w:hAnsi="Times New Roman"/>
          <w:sz w:val="18"/>
          <w:szCs w:val="18"/>
          <w:lang w:val="sr-Cyrl-RS"/>
        </w:rPr>
        <w:t>. Решењем о обрзовању Радне групе за израду, праћење и извештавање о спровођењу ПРУЈФ 2021-2025, које је донео министар финансија 8. јула 2020. године иновирано је чланство (Број: 119-01-274/2015-24-02).</w:t>
      </w:r>
      <w:r w:rsidRPr="0025737E">
        <w:rPr>
          <w:rFonts w:ascii="Times New Roman" w:eastAsia="Calibri" w:hAnsi="Times New Roman"/>
          <w:sz w:val="18"/>
          <w:szCs w:val="18"/>
          <w:lang w:val="sr-Cyrl-RS"/>
        </w:rPr>
        <w:t xml:space="preserve"> </w:t>
      </w:r>
    </w:p>
  </w:footnote>
  <w:footnote w:id="167">
    <w:p w:rsidR="00BB481C" w:rsidRPr="00A0030A" w:rsidRDefault="00BB481C" w:rsidP="00AE3C4E">
      <w:pPr>
        <w:pStyle w:val="FootnoteText"/>
        <w:rPr>
          <w:lang w:val="sr-Cyrl-RS"/>
        </w:rPr>
      </w:pPr>
      <w:r w:rsidRPr="00A0030A">
        <w:rPr>
          <w:rStyle w:val="FootnoteReference"/>
          <w:rFonts w:asciiTheme="minorHAnsi" w:hAnsiTheme="minorHAnsi" w:cstheme="minorHAnsi"/>
          <w:sz w:val="16"/>
        </w:rPr>
        <w:footnoteRef/>
      </w:r>
      <w:r w:rsidRPr="00A0030A">
        <w:rPr>
          <w:rFonts w:asciiTheme="minorHAnsi" w:hAnsiTheme="minorHAnsi" w:cstheme="minorHAnsi"/>
          <w:sz w:val="16"/>
        </w:rPr>
        <w:t xml:space="preserve"> </w:t>
      </w:r>
      <w:r w:rsidRPr="00A0030A">
        <w:rPr>
          <w:rFonts w:asciiTheme="minorHAnsi" w:hAnsiTheme="minorHAnsi" w:cstheme="minorHAnsi"/>
          <w:sz w:val="16"/>
          <w:lang w:val="sr-Cyrl-RS"/>
        </w:rPr>
        <w:t>Министарства, ООСО, ЈП која обављају делатност од јавног интереса и послују у складу са Законом о ЈП, градови. Напом</w:t>
      </w:r>
      <w:r>
        <w:rPr>
          <w:rFonts w:asciiTheme="minorHAnsi" w:hAnsiTheme="minorHAnsi" w:cstheme="minorHAnsi"/>
          <w:sz w:val="16"/>
          <w:lang w:val="sr-Cyrl-RS"/>
        </w:rPr>
        <w:t>ена:</w:t>
      </w:r>
      <w:r w:rsidRPr="00A0030A">
        <w:rPr>
          <w:rFonts w:asciiTheme="minorHAnsi" w:hAnsiTheme="minorHAnsi" w:cstheme="minorHAnsi"/>
          <w:sz w:val="16"/>
          <w:lang w:val="sr-Cyrl-RS"/>
        </w:rPr>
        <w:t xml:space="preserve"> састав категорије министарстава и ЈП </w:t>
      </w:r>
      <w:r>
        <w:rPr>
          <w:rFonts w:asciiTheme="minorHAnsi" w:hAnsiTheme="minorHAnsi" w:cstheme="minorHAnsi"/>
          <w:sz w:val="16"/>
          <w:lang w:val="sr-Cyrl-RS"/>
        </w:rPr>
        <w:t xml:space="preserve">је </w:t>
      </w:r>
      <w:r w:rsidRPr="00A0030A">
        <w:rPr>
          <w:rFonts w:asciiTheme="minorHAnsi" w:hAnsiTheme="minorHAnsi" w:cstheme="minorHAnsi"/>
          <w:sz w:val="16"/>
          <w:lang w:val="sr-Cyrl-RS"/>
        </w:rPr>
        <w:t>проме</w:t>
      </w:r>
      <w:r>
        <w:rPr>
          <w:rFonts w:asciiTheme="minorHAnsi" w:hAnsiTheme="minorHAnsi" w:cstheme="minorHAnsi"/>
          <w:sz w:val="16"/>
          <w:lang w:val="sr-Cyrl-RS"/>
        </w:rPr>
        <w:t>нљ</w:t>
      </w:r>
      <w:r w:rsidRPr="00A0030A">
        <w:rPr>
          <w:rFonts w:asciiTheme="minorHAnsi" w:hAnsiTheme="minorHAnsi" w:cstheme="minorHAnsi"/>
          <w:sz w:val="16"/>
          <w:lang w:val="sr-Cyrl-RS"/>
        </w:rPr>
        <w:t>ив</w:t>
      </w:r>
    </w:p>
  </w:footnote>
  <w:footnote w:id="168">
    <w:p w:rsidR="00BB481C" w:rsidRPr="00A0030A" w:rsidRDefault="00BB481C" w:rsidP="00AE3C4E">
      <w:pPr>
        <w:pStyle w:val="FootnoteText"/>
        <w:rPr>
          <w:rFonts w:asciiTheme="minorHAnsi" w:hAnsiTheme="minorHAnsi" w:cstheme="minorHAnsi"/>
          <w:sz w:val="16"/>
          <w:lang w:val="sr-Cyrl-RS"/>
        </w:rPr>
      </w:pPr>
      <w:r w:rsidRPr="00A0030A">
        <w:rPr>
          <w:rStyle w:val="FootnoteReference"/>
          <w:rFonts w:asciiTheme="minorHAnsi" w:hAnsiTheme="minorHAnsi" w:cstheme="minorHAnsi"/>
          <w:sz w:val="16"/>
        </w:rPr>
        <w:footnoteRef/>
      </w:r>
      <w:r w:rsidRPr="00A0030A">
        <w:rPr>
          <w:rFonts w:asciiTheme="minorHAnsi" w:hAnsiTheme="minorHAnsi" w:cstheme="minorHAnsi"/>
          <w:sz w:val="16"/>
        </w:rPr>
        <w:t xml:space="preserve"> </w:t>
      </w:r>
      <w:r w:rsidRPr="00A0030A">
        <w:rPr>
          <w:rFonts w:asciiTheme="minorHAnsi" w:hAnsiTheme="minorHAnsi" w:cstheme="minorHAnsi"/>
          <w:sz w:val="16"/>
          <w:lang w:val="sr-Cyrl-RS"/>
        </w:rPr>
        <w:t>Министарства, ООСО, ЈП која обављају делатност од јавног интереса и послују у складу са Законом о ЈП, градови</w:t>
      </w:r>
    </w:p>
  </w:footnote>
  <w:footnote w:id="169">
    <w:p w:rsidR="00BB481C" w:rsidRPr="00851328" w:rsidRDefault="00BB481C" w:rsidP="00AE3C4E">
      <w:pPr>
        <w:pStyle w:val="FootnoteText"/>
      </w:pPr>
      <w:r>
        <w:rPr>
          <w:rStyle w:val="FootnoteReference"/>
        </w:rPr>
        <w:footnoteRef/>
      </w:r>
      <w:r>
        <w:t xml:space="preserve"> </w:t>
      </w:r>
      <w:r w:rsidRPr="008A7787">
        <w:rPr>
          <w:i/>
        </w:rPr>
        <w:t>ibid</w:t>
      </w:r>
    </w:p>
  </w:footnote>
  <w:footnote w:id="170">
    <w:p w:rsidR="00BB481C" w:rsidRPr="00851328" w:rsidRDefault="00BB481C" w:rsidP="00AE3C4E">
      <w:pPr>
        <w:pStyle w:val="FootnoteText"/>
      </w:pPr>
      <w:r>
        <w:rPr>
          <w:rStyle w:val="FootnoteReference"/>
        </w:rPr>
        <w:footnoteRef/>
      </w:r>
      <w:r>
        <w:t xml:space="preserve"> </w:t>
      </w:r>
      <w:r w:rsidRPr="00C770D5">
        <w:rPr>
          <w:i/>
        </w:rPr>
        <w:t>ibid</w:t>
      </w:r>
    </w:p>
  </w:footnote>
  <w:footnote w:id="171">
    <w:p w:rsidR="00BB481C" w:rsidRPr="00851328" w:rsidRDefault="00BB481C" w:rsidP="00AE3C4E">
      <w:pPr>
        <w:pStyle w:val="FootnoteText"/>
      </w:pPr>
      <w:r>
        <w:rPr>
          <w:rStyle w:val="FootnoteReference"/>
        </w:rPr>
        <w:footnoteRef/>
      </w:r>
      <w:r>
        <w:t xml:space="preserve"> </w:t>
      </w:r>
      <w:r w:rsidRPr="00C770D5">
        <w:rPr>
          <w:i/>
        </w:rPr>
        <w:t>ibid</w:t>
      </w:r>
    </w:p>
  </w:footnote>
  <w:footnote w:id="172">
    <w:p w:rsidR="00BB481C" w:rsidRPr="00993126" w:rsidRDefault="00BB481C" w:rsidP="00AE3C4E">
      <w:pPr>
        <w:pStyle w:val="FootnoteText"/>
      </w:pPr>
      <w:r>
        <w:rPr>
          <w:rStyle w:val="FootnoteReference"/>
        </w:rPr>
        <w:footnoteRef/>
      </w:r>
      <w:r>
        <w:t xml:space="preserve"> </w:t>
      </w:r>
      <w:r w:rsidRPr="00A0030A">
        <w:rPr>
          <w:rFonts w:asciiTheme="minorHAnsi" w:hAnsiTheme="minorHAnsi" w:cstheme="minorHAnsi"/>
          <w:sz w:val="16"/>
        </w:rPr>
        <w:t>Министарства, ООСО, ЈП која обављају делатност од јавног интереса и п</w:t>
      </w:r>
      <w:r>
        <w:rPr>
          <w:rFonts w:asciiTheme="minorHAnsi" w:hAnsiTheme="minorHAnsi" w:cstheme="minorHAnsi"/>
          <w:sz w:val="16"/>
        </w:rPr>
        <w:t>ослују у складу са Законом о ЈП</w:t>
      </w:r>
    </w:p>
  </w:footnote>
  <w:footnote w:id="173">
    <w:p w:rsidR="00BB481C" w:rsidRPr="008A7787" w:rsidRDefault="00BB481C" w:rsidP="00AE3C4E">
      <w:pPr>
        <w:pStyle w:val="FootnoteText"/>
        <w:rPr>
          <w:lang w:val="sr-Latn-RS"/>
        </w:rPr>
      </w:pPr>
      <w:r>
        <w:rPr>
          <w:rStyle w:val="FootnoteReference"/>
        </w:rPr>
        <w:footnoteRef/>
      </w:r>
      <w:r>
        <w:t xml:space="preserve"> </w:t>
      </w:r>
      <w:r w:rsidRPr="008A7787">
        <w:rPr>
          <w:i/>
        </w:rPr>
        <w:t>ibid</w:t>
      </w:r>
    </w:p>
  </w:footnote>
  <w:footnote w:id="174">
    <w:p w:rsidR="00BB481C" w:rsidRPr="00056087" w:rsidRDefault="00BB481C" w:rsidP="00AE3C4E">
      <w:pPr>
        <w:pStyle w:val="FootnoteText"/>
        <w:rPr>
          <w:bCs/>
        </w:rPr>
      </w:pPr>
      <w:r w:rsidRPr="00F957B6">
        <w:rPr>
          <w:rFonts w:asciiTheme="minorHAnsi" w:hAnsiTheme="minorHAnsi" w:cstheme="minorHAnsi"/>
          <w:sz w:val="16"/>
        </w:rPr>
        <w:footnoteRef/>
      </w:r>
      <w:r w:rsidRPr="00F957B6">
        <w:rPr>
          <w:rFonts w:asciiTheme="minorHAnsi" w:hAnsiTheme="minorHAnsi" w:cstheme="minorHAnsi"/>
          <w:sz w:val="16"/>
        </w:rPr>
        <w:t xml:space="preserve"> Детаљнији приказ планиране активности утврђен је у ПРСЛС 2021-2025 у оквиру посебног циља 2: Унапређење система финансирања локалне самоуправе у оквиру посебне мере 2.4: Интензиван развој система ИФКЈ на локалном нивоу, а у Програму и његовом Акционом плану се приказују у сврху комплетирања увида у све активности које се предузимају на локалном нивоу у области ИФКЈ  и за њих се неће планирати средства нити извештавати у оквиру Акционог плана овог програма већ у оквиру Акционог плана  ПРСЛС 2021-2025. У складу са тим, у ову  активност су интегрисане активности из мере 2.4, посебног циља 2 из АП ПРСЛ, односно активности бр. 2.4.1, 2.4.4, 2.4.6 и делови активности 2.4.7 и 2.4.8</w:t>
      </w:r>
    </w:p>
  </w:footnote>
  <w:footnote w:id="175">
    <w:p w:rsidR="00BB481C" w:rsidRPr="00056087" w:rsidRDefault="00BB481C" w:rsidP="00AE3C4E">
      <w:pPr>
        <w:pStyle w:val="FootnoteText"/>
        <w:rPr>
          <w:bCs/>
        </w:rPr>
      </w:pPr>
      <w:r w:rsidRPr="00F957B6">
        <w:rPr>
          <w:rFonts w:asciiTheme="minorHAnsi" w:hAnsiTheme="minorHAnsi" w:cstheme="minorHAnsi"/>
          <w:sz w:val="16"/>
        </w:rPr>
        <w:footnoteRef/>
      </w:r>
      <w:r w:rsidRPr="00F957B6">
        <w:rPr>
          <w:rFonts w:asciiTheme="minorHAnsi" w:hAnsiTheme="minorHAnsi" w:cstheme="minorHAnsi"/>
          <w:sz w:val="16"/>
        </w:rPr>
        <w:t xml:space="preserve"> Детаљнији приказ планиране активности утврђен је у ПРСЛС 2021-2025 у оквиру посебног циља 2: Унапређење система финансирања локалне самоуправе у оквиру посебне мере 2.4: Интензиван развој система ИФКЈ на локалном нивоу, а у Програму и његовом Акционом плану се приказују у сврху комплетирања увида у све активности које се предузимају на локалном нивоу у области ИФКЈ  и за њих се неће планирати средства нити извештавати у оквиру Акционог плана овог програма већ у оквиру Акционог плана ПРСЛС 2021-2025. У складу са тим, у ову  активност су интегрисане активности из мере 2.4, посебног циља 2 из АП ПРСЛ, односно активности бр. 2.4.2, 2.4.3, 2.4.5 и делови активности 2.4.7 и 2.4.8</w:t>
      </w:r>
    </w:p>
  </w:footnote>
  <w:footnote w:id="176">
    <w:p w:rsidR="00BB481C" w:rsidRPr="00DA48F2" w:rsidRDefault="00BB481C" w:rsidP="00AE3C4E">
      <w:pPr>
        <w:pStyle w:val="FootnoteText"/>
        <w:rPr>
          <w:rFonts w:asciiTheme="minorHAnsi" w:hAnsiTheme="minorHAnsi" w:cstheme="minorHAnsi"/>
          <w:lang w:val="sr-Cyrl-RS"/>
        </w:rPr>
      </w:pPr>
      <w:r w:rsidRPr="00800B1E">
        <w:rPr>
          <w:rStyle w:val="FootnoteReference"/>
          <w:rFonts w:asciiTheme="minorHAnsi" w:hAnsiTheme="minorHAnsi" w:cstheme="minorHAnsi"/>
          <w:sz w:val="16"/>
        </w:rPr>
        <w:footnoteRef/>
      </w:r>
      <w:r w:rsidRPr="00800B1E">
        <w:rPr>
          <w:rFonts w:asciiTheme="minorHAnsi" w:hAnsiTheme="minorHAnsi" w:cstheme="minorHAnsi"/>
          <w:sz w:val="16"/>
        </w:rPr>
        <w:t xml:space="preserve"> </w:t>
      </w:r>
      <w:r w:rsidRPr="00800B1E">
        <w:rPr>
          <w:rFonts w:asciiTheme="minorHAnsi" w:hAnsiTheme="minorHAnsi" w:cstheme="minorHAnsi"/>
          <w:sz w:val="16"/>
          <w:lang w:val="sr-Cyrl-RS"/>
        </w:rPr>
        <w:t>Министарства, ООСО, ЈП на централном нивоу која обављају делатност од јавног интереса и послују у складу са Законом о ЈП а који имају више од прописаног броја запослених за формирање јединице за ИР, АП и градови</w:t>
      </w:r>
    </w:p>
  </w:footnote>
  <w:footnote w:id="177">
    <w:p w:rsidR="00BB481C" w:rsidRPr="00A0030A" w:rsidRDefault="00BB481C" w:rsidP="00192373">
      <w:pPr>
        <w:pStyle w:val="FootnoteText"/>
        <w:rPr>
          <w:rFonts w:asciiTheme="minorHAnsi" w:hAnsiTheme="minorHAnsi" w:cstheme="minorHAnsi"/>
          <w:sz w:val="16"/>
          <w:lang w:val="sr-Cyrl-RS"/>
        </w:rPr>
      </w:pPr>
      <w:r w:rsidRPr="00A0030A">
        <w:rPr>
          <w:rStyle w:val="FootnoteReference"/>
          <w:rFonts w:asciiTheme="minorHAnsi" w:hAnsiTheme="minorHAnsi" w:cstheme="minorHAnsi"/>
          <w:sz w:val="16"/>
        </w:rPr>
        <w:footnoteRef/>
      </w:r>
      <w:r w:rsidRPr="00A0030A">
        <w:rPr>
          <w:rFonts w:asciiTheme="minorHAnsi" w:hAnsiTheme="minorHAnsi" w:cstheme="minorHAnsi"/>
          <w:sz w:val="16"/>
        </w:rPr>
        <w:t xml:space="preserve"> </w:t>
      </w:r>
      <w:r w:rsidRPr="00A0030A">
        <w:rPr>
          <w:rFonts w:asciiTheme="minorHAnsi" w:hAnsiTheme="minorHAnsi" w:cstheme="minorHAnsi"/>
          <w:sz w:val="16"/>
          <w:lang w:val="sr-Cyrl-RS"/>
        </w:rPr>
        <w:t>Министарства, ООСО, ЈП која обављају делатност од јавног интереса и послују у складу са Законом о ЈП, градови</w:t>
      </w:r>
      <w:r>
        <w:rPr>
          <w:rFonts w:asciiTheme="minorHAnsi" w:hAnsiTheme="minorHAnsi" w:cstheme="minorHAnsi"/>
          <w:sz w:val="16"/>
          <w:lang w:val="sr-Cyrl-RS"/>
        </w:rPr>
        <w:t>. Напомена: састав категорије министарстава и ЈП је променљив</w:t>
      </w:r>
    </w:p>
  </w:footnote>
  <w:footnote w:id="178">
    <w:p w:rsidR="00BB481C" w:rsidRPr="00F72741" w:rsidRDefault="00BB481C" w:rsidP="00192373">
      <w:pPr>
        <w:pStyle w:val="FootnoteText"/>
        <w:rPr>
          <w:rFonts w:asciiTheme="minorHAnsi" w:hAnsiTheme="minorHAnsi" w:cstheme="minorHAnsi"/>
          <w:sz w:val="16"/>
          <w:lang w:val="sr-Latn-RS"/>
        </w:rPr>
      </w:pPr>
      <w:r w:rsidRPr="00A0030A">
        <w:rPr>
          <w:rStyle w:val="FootnoteReference"/>
          <w:rFonts w:asciiTheme="minorHAnsi" w:hAnsiTheme="minorHAnsi" w:cstheme="minorHAnsi"/>
          <w:sz w:val="16"/>
        </w:rPr>
        <w:footnoteRef/>
      </w:r>
      <w:r w:rsidRPr="00A0030A">
        <w:rPr>
          <w:rFonts w:asciiTheme="minorHAnsi" w:hAnsiTheme="minorHAnsi" w:cstheme="minorHAnsi"/>
          <w:sz w:val="16"/>
        </w:rPr>
        <w:t xml:space="preserve"> </w:t>
      </w:r>
      <w:r w:rsidRPr="00F72741">
        <w:rPr>
          <w:rFonts w:asciiTheme="minorHAnsi" w:hAnsiTheme="minorHAnsi" w:cstheme="minorHAnsi"/>
          <w:i/>
          <w:sz w:val="16"/>
          <w:lang w:val="sr-Latn-RS"/>
        </w:rPr>
        <w:t>ibid</w:t>
      </w:r>
    </w:p>
  </w:footnote>
  <w:footnote w:id="179">
    <w:p w:rsidR="00BB481C" w:rsidRPr="00DA48F2" w:rsidRDefault="00BB481C" w:rsidP="00192373">
      <w:pPr>
        <w:pStyle w:val="FootnoteText"/>
        <w:rPr>
          <w:rFonts w:asciiTheme="minorHAnsi" w:hAnsiTheme="minorHAnsi" w:cstheme="minorHAnsi"/>
          <w:lang w:val="sr-Cyrl-RS"/>
        </w:rPr>
      </w:pPr>
      <w:r w:rsidRPr="00800B1E">
        <w:rPr>
          <w:rStyle w:val="FootnoteReference"/>
          <w:rFonts w:asciiTheme="minorHAnsi" w:hAnsiTheme="minorHAnsi" w:cstheme="minorHAnsi"/>
          <w:sz w:val="16"/>
        </w:rPr>
        <w:footnoteRef/>
      </w:r>
      <w:r w:rsidRPr="00800B1E">
        <w:rPr>
          <w:rFonts w:asciiTheme="minorHAnsi" w:hAnsiTheme="minorHAnsi" w:cstheme="minorHAnsi"/>
          <w:sz w:val="16"/>
        </w:rPr>
        <w:t xml:space="preserve"> </w:t>
      </w:r>
      <w:r w:rsidRPr="00800B1E">
        <w:rPr>
          <w:rFonts w:asciiTheme="minorHAnsi" w:hAnsiTheme="minorHAnsi" w:cstheme="minorHAnsi"/>
          <w:sz w:val="16"/>
          <w:lang w:val="sr-Cyrl-RS"/>
        </w:rPr>
        <w:t>Министарства, ООСО, ЈП на централном нивоу која обављају делатност од јавног интереса и послују у складу са Законом о ЈП а који имају више од прописаног броја запослених за формирање јединице за ИР, АП и градови</w:t>
      </w:r>
    </w:p>
  </w:footnote>
  <w:footnote w:id="180">
    <w:p w:rsidR="00BB481C" w:rsidRPr="00A0030A" w:rsidRDefault="00BB481C" w:rsidP="00F95EBF">
      <w:pPr>
        <w:pStyle w:val="FootnoteText"/>
        <w:rPr>
          <w:rFonts w:asciiTheme="minorHAnsi" w:hAnsiTheme="minorHAnsi" w:cstheme="minorHAnsi"/>
          <w:sz w:val="16"/>
          <w:lang w:val="sr-Cyrl-RS"/>
        </w:rPr>
      </w:pPr>
      <w:r w:rsidRPr="00A0030A">
        <w:rPr>
          <w:rStyle w:val="FootnoteReference"/>
          <w:rFonts w:asciiTheme="minorHAnsi" w:hAnsiTheme="minorHAnsi" w:cstheme="minorHAnsi"/>
          <w:sz w:val="16"/>
        </w:rPr>
        <w:footnoteRef/>
      </w:r>
      <w:r w:rsidRPr="00A0030A">
        <w:rPr>
          <w:rFonts w:asciiTheme="minorHAnsi" w:hAnsiTheme="minorHAnsi" w:cstheme="minorHAnsi"/>
          <w:sz w:val="16"/>
        </w:rPr>
        <w:t xml:space="preserve"> </w:t>
      </w:r>
      <w:r w:rsidRPr="00A0030A">
        <w:rPr>
          <w:rFonts w:asciiTheme="minorHAnsi" w:hAnsiTheme="minorHAnsi" w:cstheme="minorHAnsi"/>
          <w:sz w:val="16"/>
          <w:lang w:val="sr-Cyrl-RS"/>
        </w:rPr>
        <w:t>Министарства, ООСО, ЈП која обављају делатност од јавног интереса и послују у складу са Законом о ЈП, градови</w:t>
      </w:r>
    </w:p>
  </w:footnote>
  <w:footnote w:id="181">
    <w:p w:rsidR="00BB481C" w:rsidRPr="00851328" w:rsidRDefault="00BB481C" w:rsidP="00F95EBF">
      <w:pPr>
        <w:pStyle w:val="FootnoteText"/>
      </w:pPr>
      <w:r>
        <w:rPr>
          <w:rStyle w:val="FootnoteReference"/>
        </w:rPr>
        <w:footnoteRef/>
      </w:r>
      <w:r>
        <w:t xml:space="preserve"> </w:t>
      </w:r>
      <w:r w:rsidRPr="008A7787">
        <w:rPr>
          <w:i/>
        </w:rPr>
        <w:t>ibid</w:t>
      </w:r>
    </w:p>
  </w:footnote>
  <w:footnote w:id="182">
    <w:p w:rsidR="00BB481C" w:rsidRPr="00851328" w:rsidRDefault="00BB481C" w:rsidP="00F95EBF">
      <w:pPr>
        <w:pStyle w:val="FootnoteText"/>
      </w:pPr>
      <w:r>
        <w:rPr>
          <w:rStyle w:val="FootnoteReference"/>
        </w:rPr>
        <w:footnoteRef/>
      </w:r>
      <w:r>
        <w:t xml:space="preserve"> </w:t>
      </w:r>
      <w:r w:rsidRPr="00C770D5">
        <w:rPr>
          <w:i/>
        </w:rPr>
        <w:t>ibid</w:t>
      </w:r>
    </w:p>
  </w:footnote>
  <w:footnote w:id="183">
    <w:p w:rsidR="00BB481C" w:rsidRPr="00851328" w:rsidRDefault="00BB481C" w:rsidP="00F95EBF">
      <w:pPr>
        <w:pStyle w:val="FootnoteText"/>
      </w:pPr>
      <w:r>
        <w:rPr>
          <w:rStyle w:val="FootnoteReference"/>
        </w:rPr>
        <w:footnoteRef/>
      </w:r>
      <w:r>
        <w:t xml:space="preserve"> </w:t>
      </w:r>
      <w:r w:rsidRPr="00C770D5">
        <w:rPr>
          <w:i/>
        </w:rPr>
        <w:t>ibid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4695026"/>
      <w:docPartObj>
        <w:docPartGallery w:val="Watermarks"/>
        <w:docPartUnique/>
      </w:docPartObj>
    </w:sdtPr>
    <w:sdtEndPr/>
    <w:sdtContent>
      <w:p w:rsidR="00BB481C" w:rsidRDefault="00BB481C">
        <w:pPr>
          <w:pStyle w:val="Header"/>
        </w:pPr>
        <w:r>
          <w:rPr>
            <w:noProof/>
          </w:rPr>
          <mc:AlternateContent>
            <mc:Choice Requires="wps">
              <w:drawing>
                <wp:anchor distT="0" distB="0" distL="114300" distR="114300" simplePos="0" relativeHeight="251656704" behindDoc="1" locked="0" layoutInCell="0" allowOverlap="1" wp14:anchorId="3C0C6555" wp14:editId="429852A8">
                  <wp:simplePos x="0" y="0"/>
                  <wp:positionH relativeFrom="margin">
                    <wp:align>center</wp:align>
                  </wp:positionH>
                  <wp:positionV relativeFrom="margin">
                    <wp:align>center</wp:align>
                  </wp:positionV>
                  <wp:extent cx="5237480" cy="3142615"/>
                  <wp:effectExtent l="0" t="1143000" r="0" b="65786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237480" cy="314261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BB481C" w:rsidRDefault="00BB481C" w:rsidP="00524D7E">
                              <w:pPr>
                                <w:pStyle w:val="NormalWeb"/>
                                <w:spacing w:before="0" w:after="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33" type="#_x0000_t202" style="position:absolute;margin-left:0;margin-top:0;width:412.4pt;height:247.45pt;rotation:-45;z-index:-2516597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" o:allowincell="f" filled="f" stroked="f">
                  <v:stroke joinstyle="round"/>
                  <o:lock v:ext="edit" shapetype="t"/>
                  <v:textbox style="mso-fit-shape-to-text:t">
                    <w:txbxContent>
                      <w:p w:rsidR="00BB481C" w:rsidRDefault="00BB481C" w:rsidP="00524D7E">
                        <w:pPr>
                          <w:pStyle w:val="NormalWeb"/>
                          <w:spacing w:before="0" w:after="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9573505"/>
      <w:docPartObj>
        <w:docPartGallery w:val="Watermarks"/>
        <w:docPartUnique/>
      </w:docPartObj>
    </w:sdtPr>
    <w:sdtEndPr/>
    <w:sdtContent>
      <w:p w:rsidR="00BB481C" w:rsidRDefault="00BB481C">
        <w:pPr>
          <w:pStyle w:val="Header"/>
        </w:pPr>
        <w:r>
          <w:rPr>
            <w:noProof/>
          </w:rPr>
          <mc:AlternateContent>
            <mc:Choice Requires="wps">
              <w:drawing>
                <wp:anchor distT="0" distB="0" distL="114300" distR="114300" simplePos="0" relativeHeight="251657728" behindDoc="1" locked="0" layoutInCell="0" allowOverlap="1" wp14:anchorId="09A3CF29" wp14:editId="6C4F0C32">
                  <wp:simplePos x="0" y="0"/>
                  <wp:positionH relativeFrom="margin">
                    <wp:align>center</wp:align>
                  </wp:positionH>
                  <wp:positionV relativeFrom="margin">
                    <wp:align>center</wp:align>
                  </wp:positionV>
                  <wp:extent cx="5237480" cy="3142615"/>
                  <wp:effectExtent l="0" t="1143000" r="0" b="65786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237480" cy="314261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BB481C" w:rsidRDefault="00BB481C" w:rsidP="005703FA">
                              <w:pPr>
                                <w:pStyle w:val="NormalWeb"/>
                                <w:spacing w:before="0" w:after="0"/>
                                <w:jc w:val="center"/>
                              </w:pPr>
                              <w:r>
                                <w:rPr>
                                  <w:rFonts w:ascii="Calibri" w:hAnsi="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 o:spid="_x0000_s1034" type="#_x0000_t202" style="position:absolute;margin-left:0;margin-top:0;width:412.4pt;height:247.45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" o:allowincell="f" filled="f" stroked="f">
                  <v:stroke joinstyle="round"/>
                  <o:lock v:ext="edit" shapetype="t"/>
                  <v:textbox style="mso-fit-shape-to-text:t">
                    <w:txbxContent>
                      <w:p w:rsidR="00BB481C" w:rsidRDefault="00BB481C" w:rsidP="005703FA">
                        <w:pPr>
                          <w:pStyle w:val="NormalWeb"/>
                          <w:spacing w:before="0" w:after="0"/>
                          <w:jc w:val="center"/>
                        </w:pPr>
                        <w:r>
                          <w:rPr>
                            <w:rFonts w:ascii="Calibri" w:hAnsi="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481C" w:rsidRDefault="00BB481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69D4"/>
      </v:shape>
    </w:pict>
  </w:numPicBullet>
  <w:abstractNum w:abstractNumId="0">
    <w:nsid w:val="FFFFFF89"/>
    <w:multiLevelType w:val="singleLevel"/>
    <w:tmpl w:val="BD145CEA"/>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134A2841"/>
    <w:multiLevelType w:val="hybridMultilevel"/>
    <w:tmpl w:val="DAF2FD2A"/>
    <w:lvl w:ilvl="0" w:tplc="0409000D">
      <w:start w:val="1"/>
      <w:numFmt w:val="bullet"/>
      <w:lvlText w:val=""/>
      <w:lvlJc w:val="left"/>
      <w:pPr>
        <w:ind w:left="12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4105CA9"/>
    <w:multiLevelType w:val="hybridMultilevel"/>
    <w:tmpl w:val="42423320"/>
    <w:lvl w:ilvl="0" w:tplc="D28835AC">
      <w:start w:val="1"/>
      <w:numFmt w:val="decimal"/>
      <w:pStyle w:val="ParagraphNumbering"/>
      <w:lvlText w:val="%1.     "/>
      <w:lvlJc w:val="left"/>
      <w:pPr>
        <w:tabs>
          <w:tab w:val="num" w:pos="1260"/>
        </w:tabs>
        <w:ind w:left="540" w:firstLine="0"/>
      </w:pPr>
      <w:rPr>
        <w:rFonts w:hint="default"/>
        <w:b/>
        <w:bCs/>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A777384"/>
    <w:multiLevelType w:val="hybridMultilevel"/>
    <w:tmpl w:val="9D125B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DB44564"/>
    <w:multiLevelType w:val="hybridMultilevel"/>
    <w:tmpl w:val="B1F6BB26"/>
    <w:lvl w:ilvl="0" w:tplc="6178AF76">
      <w:start w:val="4"/>
      <w:numFmt w:val="bullet"/>
      <w:lvlText w:val=""/>
      <w:lvlJc w:val="left"/>
      <w:pPr>
        <w:ind w:left="720" w:hanging="360"/>
      </w:pPr>
      <w:rPr>
        <w:rFonts w:ascii="Symbol" w:eastAsia="Calibr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D844F91"/>
    <w:multiLevelType w:val="hybridMultilevel"/>
    <w:tmpl w:val="DA54525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48E79B0"/>
    <w:multiLevelType w:val="hybridMultilevel"/>
    <w:tmpl w:val="BB1CBBF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34C06749"/>
    <w:multiLevelType w:val="hybridMultilevel"/>
    <w:tmpl w:val="6A0851EE"/>
    <w:lvl w:ilvl="0" w:tplc="04090007">
      <w:start w:val="1"/>
      <w:numFmt w:val="bullet"/>
      <w:lvlText w:val=""/>
      <w:lvlPicBulletId w:val="0"/>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8">
    <w:nsid w:val="43A85611"/>
    <w:multiLevelType w:val="multilevel"/>
    <w:tmpl w:val="18667D1A"/>
    <w:lvl w:ilvl="0">
      <w:start w:val="1"/>
      <w:numFmt w:val="decimal"/>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
    <w:nsid w:val="45C96157"/>
    <w:multiLevelType w:val="hybridMultilevel"/>
    <w:tmpl w:val="1A20C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27C6A8C"/>
    <w:multiLevelType w:val="hybridMultilevel"/>
    <w:tmpl w:val="F7643D5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63A62A36"/>
    <w:multiLevelType w:val="multilevel"/>
    <w:tmpl w:val="0ED2E21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660C31DE"/>
    <w:multiLevelType w:val="multilevel"/>
    <w:tmpl w:val="528ACAE4"/>
    <w:lvl w:ilvl="0">
      <w:start w:val="1"/>
      <w:numFmt w:val="decimal"/>
      <w:lvlText w:val="%1."/>
      <w:lvlJc w:val="left"/>
      <w:pPr>
        <w:ind w:left="720" w:hanging="360"/>
      </w:pPr>
      <w:rPr>
        <w:rFonts w:hint="default"/>
      </w:rPr>
    </w:lvl>
    <w:lvl w:ilvl="1">
      <w:start w:val="1"/>
      <w:numFmt w:val="decimal"/>
      <w:isLgl/>
      <w:lvlText w:val="%1.%2."/>
      <w:lvlJc w:val="left"/>
      <w:pPr>
        <w:ind w:left="450" w:hanging="36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440" w:hanging="108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1800" w:hanging="1440"/>
      </w:pPr>
      <w:rPr>
        <w:rFonts w:hint="default"/>
        <w:i w:val="0"/>
      </w:rPr>
    </w:lvl>
    <w:lvl w:ilvl="8">
      <w:start w:val="1"/>
      <w:numFmt w:val="decimal"/>
      <w:isLgl/>
      <w:lvlText w:val="%1.%2.%3.%4.%5.%6.%7.%8.%9."/>
      <w:lvlJc w:val="left"/>
      <w:pPr>
        <w:ind w:left="2160" w:hanging="1800"/>
      </w:pPr>
      <w:rPr>
        <w:rFonts w:hint="default"/>
        <w:i w:val="0"/>
      </w:rPr>
    </w:lvl>
  </w:abstractNum>
  <w:abstractNum w:abstractNumId="13">
    <w:nsid w:val="717451FE"/>
    <w:multiLevelType w:val="hybridMultilevel"/>
    <w:tmpl w:val="A33E0368"/>
    <w:lvl w:ilvl="0" w:tplc="08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A544BD2"/>
    <w:multiLevelType w:val="multilevel"/>
    <w:tmpl w:val="D4FA0A5E"/>
    <w:lvl w:ilvl="0">
      <w:start w:val="1"/>
      <w:numFmt w:val="decimal"/>
      <w:lvlText w:val="%1."/>
      <w:lvlJc w:val="left"/>
      <w:pPr>
        <w:tabs>
          <w:tab w:val="num" w:pos="1440"/>
        </w:tabs>
        <w:ind w:left="1440" w:hanging="720"/>
      </w:pPr>
    </w:lvl>
    <w:lvl w:ilvl="1">
      <w:start w:val="1"/>
      <w:numFmt w:val="decimal"/>
      <w:lvlText w:val="%2."/>
      <w:lvlJc w:val="left"/>
      <w:pPr>
        <w:tabs>
          <w:tab w:val="num" w:pos="2160"/>
        </w:tabs>
        <w:ind w:left="2160" w:hanging="720"/>
      </w:pPr>
    </w:lvl>
    <w:lvl w:ilvl="2">
      <w:start w:val="1"/>
      <w:numFmt w:val="decimal"/>
      <w:lvlText w:val="%3."/>
      <w:lvlJc w:val="left"/>
      <w:pPr>
        <w:tabs>
          <w:tab w:val="num" w:pos="2880"/>
        </w:tabs>
        <w:ind w:left="2880" w:hanging="720"/>
      </w:pPr>
    </w:lvl>
    <w:lvl w:ilvl="3">
      <w:start w:val="1"/>
      <w:numFmt w:val="decimal"/>
      <w:lvlText w:val="%4."/>
      <w:lvlJc w:val="left"/>
      <w:pPr>
        <w:tabs>
          <w:tab w:val="num" w:pos="3600"/>
        </w:tabs>
        <w:ind w:left="3600" w:hanging="720"/>
      </w:pPr>
    </w:lvl>
    <w:lvl w:ilvl="4">
      <w:start w:val="1"/>
      <w:numFmt w:val="decimal"/>
      <w:lvlText w:val="%5."/>
      <w:lvlJc w:val="left"/>
      <w:pPr>
        <w:tabs>
          <w:tab w:val="num" w:pos="4320"/>
        </w:tabs>
        <w:ind w:left="4320" w:hanging="720"/>
      </w:pPr>
    </w:lvl>
    <w:lvl w:ilvl="5">
      <w:start w:val="1"/>
      <w:numFmt w:val="decimal"/>
      <w:lvlText w:val="%6."/>
      <w:lvlJc w:val="left"/>
      <w:pPr>
        <w:tabs>
          <w:tab w:val="num" w:pos="5040"/>
        </w:tabs>
        <w:ind w:left="5040" w:hanging="720"/>
      </w:pPr>
    </w:lvl>
    <w:lvl w:ilvl="6">
      <w:start w:val="1"/>
      <w:numFmt w:val="decimal"/>
      <w:lvlText w:val="%7."/>
      <w:lvlJc w:val="left"/>
      <w:pPr>
        <w:tabs>
          <w:tab w:val="num" w:pos="5760"/>
        </w:tabs>
        <w:ind w:left="5760" w:hanging="720"/>
      </w:pPr>
    </w:lvl>
    <w:lvl w:ilvl="7">
      <w:start w:val="1"/>
      <w:numFmt w:val="decimal"/>
      <w:lvlText w:val="%8."/>
      <w:lvlJc w:val="left"/>
      <w:pPr>
        <w:tabs>
          <w:tab w:val="num" w:pos="6480"/>
        </w:tabs>
        <w:ind w:left="6480" w:hanging="720"/>
      </w:pPr>
    </w:lvl>
    <w:lvl w:ilvl="8">
      <w:start w:val="1"/>
      <w:numFmt w:val="decimal"/>
      <w:lvlText w:val="%9."/>
      <w:lvlJc w:val="left"/>
      <w:pPr>
        <w:tabs>
          <w:tab w:val="num" w:pos="7200"/>
        </w:tabs>
        <w:ind w:left="7200" w:hanging="720"/>
      </w:pPr>
    </w:lvl>
  </w:abstractNum>
  <w:num w:numId="1">
    <w:abstractNumId w:val="8"/>
  </w:num>
  <w:num w:numId="2">
    <w:abstractNumId w:val="1"/>
  </w:num>
  <w:num w:numId="3">
    <w:abstractNumId w:val="13"/>
  </w:num>
  <w:num w:numId="4">
    <w:abstractNumId w:val="12"/>
  </w:num>
  <w:num w:numId="5">
    <w:abstractNumId w:val="4"/>
  </w:num>
  <w:num w:numId="6">
    <w:abstractNumId w:val="3"/>
  </w:num>
  <w:num w:numId="7">
    <w:abstractNumId w:val="9"/>
  </w:num>
  <w:num w:numId="8">
    <w:abstractNumId w:val="2"/>
  </w:num>
  <w:num w:numId="9">
    <w:abstractNumId w:val="0"/>
  </w:num>
  <w:num w:numId="10">
    <w:abstractNumId w:val="6"/>
  </w:num>
  <w:num w:numId="11">
    <w:abstractNumId w:val="7"/>
  </w:num>
  <w:num w:numId="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5"/>
  </w:num>
  <w:num w:numId="15">
    <w:abstractNumId w:val="1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hideSpelling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6B29"/>
    <w:rsid w:val="000004BE"/>
    <w:rsid w:val="00000957"/>
    <w:rsid w:val="000011EB"/>
    <w:rsid w:val="0000259A"/>
    <w:rsid w:val="00002ACB"/>
    <w:rsid w:val="00002D91"/>
    <w:rsid w:val="000032D2"/>
    <w:rsid w:val="00003481"/>
    <w:rsid w:val="000038E4"/>
    <w:rsid w:val="00003FA8"/>
    <w:rsid w:val="00004D42"/>
    <w:rsid w:val="00004EB6"/>
    <w:rsid w:val="00005039"/>
    <w:rsid w:val="000065E3"/>
    <w:rsid w:val="000066BF"/>
    <w:rsid w:val="0000692E"/>
    <w:rsid w:val="00006E86"/>
    <w:rsid w:val="000070E9"/>
    <w:rsid w:val="00007458"/>
    <w:rsid w:val="00007793"/>
    <w:rsid w:val="00007E0B"/>
    <w:rsid w:val="00010971"/>
    <w:rsid w:val="00010987"/>
    <w:rsid w:val="00010F1B"/>
    <w:rsid w:val="000110FF"/>
    <w:rsid w:val="00011580"/>
    <w:rsid w:val="0001198A"/>
    <w:rsid w:val="00011E7E"/>
    <w:rsid w:val="000125F1"/>
    <w:rsid w:val="00012D3F"/>
    <w:rsid w:val="000138B4"/>
    <w:rsid w:val="000138E9"/>
    <w:rsid w:val="000140FE"/>
    <w:rsid w:val="000143EE"/>
    <w:rsid w:val="00014523"/>
    <w:rsid w:val="00014822"/>
    <w:rsid w:val="00014D12"/>
    <w:rsid w:val="00014EF2"/>
    <w:rsid w:val="000150CE"/>
    <w:rsid w:val="00015112"/>
    <w:rsid w:val="000151DD"/>
    <w:rsid w:val="00015DC7"/>
    <w:rsid w:val="0001602C"/>
    <w:rsid w:val="00016C5E"/>
    <w:rsid w:val="00017D66"/>
    <w:rsid w:val="00017FB4"/>
    <w:rsid w:val="00020857"/>
    <w:rsid w:val="00020C31"/>
    <w:rsid w:val="0002177B"/>
    <w:rsid w:val="00021E43"/>
    <w:rsid w:val="00021F6D"/>
    <w:rsid w:val="000221EF"/>
    <w:rsid w:val="00022740"/>
    <w:rsid w:val="00023CA9"/>
    <w:rsid w:val="00023EE1"/>
    <w:rsid w:val="00023FDA"/>
    <w:rsid w:val="00023FF2"/>
    <w:rsid w:val="00024500"/>
    <w:rsid w:val="0002643D"/>
    <w:rsid w:val="00026657"/>
    <w:rsid w:val="00026DF3"/>
    <w:rsid w:val="00027DB3"/>
    <w:rsid w:val="00030506"/>
    <w:rsid w:val="00030E6C"/>
    <w:rsid w:val="00031049"/>
    <w:rsid w:val="000312CA"/>
    <w:rsid w:val="0003197F"/>
    <w:rsid w:val="00031AF3"/>
    <w:rsid w:val="00031BDC"/>
    <w:rsid w:val="0003277C"/>
    <w:rsid w:val="00032C0E"/>
    <w:rsid w:val="000332D9"/>
    <w:rsid w:val="0003371F"/>
    <w:rsid w:val="00034445"/>
    <w:rsid w:val="00034E82"/>
    <w:rsid w:val="000358B2"/>
    <w:rsid w:val="00035A83"/>
    <w:rsid w:val="00035A93"/>
    <w:rsid w:val="0003612D"/>
    <w:rsid w:val="000365FE"/>
    <w:rsid w:val="000370B8"/>
    <w:rsid w:val="000372F6"/>
    <w:rsid w:val="00040009"/>
    <w:rsid w:val="00040787"/>
    <w:rsid w:val="000409BD"/>
    <w:rsid w:val="00040D94"/>
    <w:rsid w:val="00041307"/>
    <w:rsid w:val="00042F9F"/>
    <w:rsid w:val="00043066"/>
    <w:rsid w:val="000432F2"/>
    <w:rsid w:val="000433AF"/>
    <w:rsid w:val="00043550"/>
    <w:rsid w:val="00043C29"/>
    <w:rsid w:val="00043D81"/>
    <w:rsid w:val="00044ADB"/>
    <w:rsid w:val="00044E9C"/>
    <w:rsid w:val="00045068"/>
    <w:rsid w:val="00045710"/>
    <w:rsid w:val="00045B77"/>
    <w:rsid w:val="00045CB1"/>
    <w:rsid w:val="00046B2B"/>
    <w:rsid w:val="000470CE"/>
    <w:rsid w:val="000473AA"/>
    <w:rsid w:val="000476C0"/>
    <w:rsid w:val="00047DE7"/>
    <w:rsid w:val="00051AC5"/>
    <w:rsid w:val="00051D5E"/>
    <w:rsid w:val="00051FFF"/>
    <w:rsid w:val="0005273D"/>
    <w:rsid w:val="00053797"/>
    <w:rsid w:val="00054755"/>
    <w:rsid w:val="00054A63"/>
    <w:rsid w:val="00054FF0"/>
    <w:rsid w:val="0005532E"/>
    <w:rsid w:val="00055CCB"/>
    <w:rsid w:val="00056A94"/>
    <w:rsid w:val="00057631"/>
    <w:rsid w:val="00057939"/>
    <w:rsid w:val="00060301"/>
    <w:rsid w:val="00061054"/>
    <w:rsid w:val="00061E9A"/>
    <w:rsid w:val="00062A72"/>
    <w:rsid w:val="00062E07"/>
    <w:rsid w:val="00062F15"/>
    <w:rsid w:val="000630ED"/>
    <w:rsid w:val="00064977"/>
    <w:rsid w:val="00064B74"/>
    <w:rsid w:val="00064DBC"/>
    <w:rsid w:val="00064F1A"/>
    <w:rsid w:val="00064F24"/>
    <w:rsid w:val="000656BD"/>
    <w:rsid w:val="0006580D"/>
    <w:rsid w:val="000659F8"/>
    <w:rsid w:val="00065DB1"/>
    <w:rsid w:val="00066A22"/>
    <w:rsid w:val="00066E89"/>
    <w:rsid w:val="00067329"/>
    <w:rsid w:val="0006754F"/>
    <w:rsid w:val="00067A2C"/>
    <w:rsid w:val="00067C14"/>
    <w:rsid w:val="0007017D"/>
    <w:rsid w:val="000708F5"/>
    <w:rsid w:val="00070E4E"/>
    <w:rsid w:val="00070E58"/>
    <w:rsid w:val="000726FF"/>
    <w:rsid w:val="00072C42"/>
    <w:rsid w:val="00072ECC"/>
    <w:rsid w:val="00072EF7"/>
    <w:rsid w:val="0007317B"/>
    <w:rsid w:val="00073184"/>
    <w:rsid w:val="000734C3"/>
    <w:rsid w:val="00073AD2"/>
    <w:rsid w:val="00074CEF"/>
    <w:rsid w:val="00074EF7"/>
    <w:rsid w:val="00074FE4"/>
    <w:rsid w:val="00074FFE"/>
    <w:rsid w:val="000750AD"/>
    <w:rsid w:val="00075979"/>
    <w:rsid w:val="00075F40"/>
    <w:rsid w:val="000765BD"/>
    <w:rsid w:val="00077AAF"/>
    <w:rsid w:val="0008066B"/>
    <w:rsid w:val="000809F5"/>
    <w:rsid w:val="000811C4"/>
    <w:rsid w:val="00081258"/>
    <w:rsid w:val="00081AC2"/>
    <w:rsid w:val="00081B32"/>
    <w:rsid w:val="00081F02"/>
    <w:rsid w:val="00081FA1"/>
    <w:rsid w:val="00082214"/>
    <w:rsid w:val="00082246"/>
    <w:rsid w:val="000830B6"/>
    <w:rsid w:val="0008312A"/>
    <w:rsid w:val="0008381D"/>
    <w:rsid w:val="000846BE"/>
    <w:rsid w:val="00084955"/>
    <w:rsid w:val="00087CD4"/>
    <w:rsid w:val="000901D9"/>
    <w:rsid w:val="00090CBA"/>
    <w:rsid w:val="00090F6B"/>
    <w:rsid w:val="0009149A"/>
    <w:rsid w:val="00091516"/>
    <w:rsid w:val="0009174C"/>
    <w:rsid w:val="0009210D"/>
    <w:rsid w:val="00092464"/>
    <w:rsid w:val="000940CD"/>
    <w:rsid w:val="000941A9"/>
    <w:rsid w:val="0009423C"/>
    <w:rsid w:val="00094490"/>
    <w:rsid w:val="00094B9F"/>
    <w:rsid w:val="0009529E"/>
    <w:rsid w:val="00095431"/>
    <w:rsid w:val="00096507"/>
    <w:rsid w:val="0009660A"/>
    <w:rsid w:val="000967F9"/>
    <w:rsid w:val="00096D2A"/>
    <w:rsid w:val="000971BE"/>
    <w:rsid w:val="000971F1"/>
    <w:rsid w:val="000973CD"/>
    <w:rsid w:val="00097786"/>
    <w:rsid w:val="00097BD3"/>
    <w:rsid w:val="00097DD6"/>
    <w:rsid w:val="000A0122"/>
    <w:rsid w:val="000A0A73"/>
    <w:rsid w:val="000A0B1C"/>
    <w:rsid w:val="000A0BB1"/>
    <w:rsid w:val="000A11A0"/>
    <w:rsid w:val="000A1616"/>
    <w:rsid w:val="000A2A00"/>
    <w:rsid w:val="000A3ED7"/>
    <w:rsid w:val="000A401E"/>
    <w:rsid w:val="000A481D"/>
    <w:rsid w:val="000A4844"/>
    <w:rsid w:val="000A4B39"/>
    <w:rsid w:val="000A681A"/>
    <w:rsid w:val="000A6D58"/>
    <w:rsid w:val="000A6D8A"/>
    <w:rsid w:val="000A7729"/>
    <w:rsid w:val="000A7870"/>
    <w:rsid w:val="000A7AE8"/>
    <w:rsid w:val="000A7D6E"/>
    <w:rsid w:val="000B0550"/>
    <w:rsid w:val="000B1210"/>
    <w:rsid w:val="000B1450"/>
    <w:rsid w:val="000B1F5F"/>
    <w:rsid w:val="000B2ACE"/>
    <w:rsid w:val="000B2EE4"/>
    <w:rsid w:val="000B2FC4"/>
    <w:rsid w:val="000B309B"/>
    <w:rsid w:val="000B34DE"/>
    <w:rsid w:val="000B35BF"/>
    <w:rsid w:val="000B3AFF"/>
    <w:rsid w:val="000B3CAF"/>
    <w:rsid w:val="000B4190"/>
    <w:rsid w:val="000B4374"/>
    <w:rsid w:val="000B4557"/>
    <w:rsid w:val="000B4A62"/>
    <w:rsid w:val="000B4B65"/>
    <w:rsid w:val="000B4B9F"/>
    <w:rsid w:val="000B52C1"/>
    <w:rsid w:val="000B54AD"/>
    <w:rsid w:val="000B59D7"/>
    <w:rsid w:val="000B632E"/>
    <w:rsid w:val="000B639C"/>
    <w:rsid w:val="000B66BC"/>
    <w:rsid w:val="000B6D13"/>
    <w:rsid w:val="000B79FF"/>
    <w:rsid w:val="000C009D"/>
    <w:rsid w:val="000C05B8"/>
    <w:rsid w:val="000C05F8"/>
    <w:rsid w:val="000C098A"/>
    <w:rsid w:val="000C0B08"/>
    <w:rsid w:val="000C16B8"/>
    <w:rsid w:val="000C2240"/>
    <w:rsid w:val="000C22F0"/>
    <w:rsid w:val="000C2C78"/>
    <w:rsid w:val="000C3214"/>
    <w:rsid w:val="000C34A3"/>
    <w:rsid w:val="000C3C4A"/>
    <w:rsid w:val="000C3EE7"/>
    <w:rsid w:val="000C3FAE"/>
    <w:rsid w:val="000C4048"/>
    <w:rsid w:val="000C425D"/>
    <w:rsid w:val="000C471B"/>
    <w:rsid w:val="000C4A1B"/>
    <w:rsid w:val="000C6F0D"/>
    <w:rsid w:val="000D03A6"/>
    <w:rsid w:val="000D1158"/>
    <w:rsid w:val="000D274A"/>
    <w:rsid w:val="000D3652"/>
    <w:rsid w:val="000D3735"/>
    <w:rsid w:val="000D43A8"/>
    <w:rsid w:val="000D47CC"/>
    <w:rsid w:val="000D4DCB"/>
    <w:rsid w:val="000D4FB4"/>
    <w:rsid w:val="000D4FFB"/>
    <w:rsid w:val="000D605B"/>
    <w:rsid w:val="000D62DA"/>
    <w:rsid w:val="000E0861"/>
    <w:rsid w:val="000E0ACA"/>
    <w:rsid w:val="000E1382"/>
    <w:rsid w:val="000E1E16"/>
    <w:rsid w:val="000E24EA"/>
    <w:rsid w:val="000E2518"/>
    <w:rsid w:val="000E3B57"/>
    <w:rsid w:val="000E3FB0"/>
    <w:rsid w:val="000E407F"/>
    <w:rsid w:val="000E4442"/>
    <w:rsid w:val="000E49A0"/>
    <w:rsid w:val="000E4D36"/>
    <w:rsid w:val="000E53C7"/>
    <w:rsid w:val="000E53D1"/>
    <w:rsid w:val="000E5F7E"/>
    <w:rsid w:val="000E6965"/>
    <w:rsid w:val="000E7063"/>
    <w:rsid w:val="000E762A"/>
    <w:rsid w:val="000F039D"/>
    <w:rsid w:val="000F0592"/>
    <w:rsid w:val="000F05E5"/>
    <w:rsid w:val="000F06FA"/>
    <w:rsid w:val="000F097E"/>
    <w:rsid w:val="000F0BE6"/>
    <w:rsid w:val="000F10FA"/>
    <w:rsid w:val="000F151B"/>
    <w:rsid w:val="000F1643"/>
    <w:rsid w:val="000F17CA"/>
    <w:rsid w:val="000F1D9D"/>
    <w:rsid w:val="000F1F9E"/>
    <w:rsid w:val="000F2C71"/>
    <w:rsid w:val="000F3877"/>
    <w:rsid w:val="000F42B0"/>
    <w:rsid w:val="000F4307"/>
    <w:rsid w:val="000F44DB"/>
    <w:rsid w:val="000F45EC"/>
    <w:rsid w:val="000F4679"/>
    <w:rsid w:val="000F52B3"/>
    <w:rsid w:val="000F53F1"/>
    <w:rsid w:val="000F684E"/>
    <w:rsid w:val="000F6C49"/>
    <w:rsid w:val="000F72BF"/>
    <w:rsid w:val="000F7466"/>
    <w:rsid w:val="000F752B"/>
    <w:rsid w:val="000F7718"/>
    <w:rsid w:val="000F7B8D"/>
    <w:rsid w:val="000F7D84"/>
    <w:rsid w:val="00100026"/>
    <w:rsid w:val="00100150"/>
    <w:rsid w:val="001002B2"/>
    <w:rsid w:val="00100614"/>
    <w:rsid w:val="001006FD"/>
    <w:rsid w:val="00100ADD"/>
    <w:rsid w:val="001010BE"/>
    <w:rsid w:val="00101C11"/>
    <w:rsid w:val="00102089"/>
    <w:rsid w:val="0010282D"/>
    <w:rsid w:val="00102A82"/>
    <w:rsid w:val="00103B09"/>
    <w:rsid w:val="001064D8"/>
    <w:rsid w:val="00106858"/>
    <w:rsid w:val="001069B5"/>
    <w:rsid w:val="00107918"/>
    <w:rsid w:val="0011014B"/>
    <w:rsid w:val="001107CF"/>
    <w:rsid w:val="00110987"/>
    <w:rsid w:val="00111803"/>
    <w:rsid w:val="001119FF"/>
    <w:rsid w:val="0011322F"/>
    <w:rsid w:val="00113C29"/>
    <w:rsid w:val="00113E34"/>
    <w:rsid w:val="00114740"/>
    <w:rsid w:val="00114A66"/>
    <w:rsid w:val="001154D0"/>
    <w:rsid w:val="001158CF"/>
    <w:rsid w:val="00115EC7"/>
    <w:rsid w:val="0011647E"/>
    <w:rsid w:val="001178B9"/>
    <w:rsid w:val="00117C23"/>
    <w:rsid w:val="00117E13"/>
    <w:rsid w:val="001215E0"/>
    <w:rsid w:val="00121721"/>
    <w:rsid w:val="00121B93"/>
    <w:rsid w:val="00121D69"/>
    <w:rsid w:val="00121E60"/>
    <w:rsid w:val="00123097"/>
    <w:rsid w:val="00123136"/>
    <w:rsid w:val="001234FB"/>
    <w:rsid w:val="001237F3"/>
    <w:rsid w:val="0012418B"/>
    <w:rsid w:val="0012619D"/>
    <w:rsid w:val="00126382"/>
    <w:rsid w:val="001263C1"/>
    <w:rsid w:val="001269CC"/>
    <w:rsid w:val="0012712D"/>
    <w:rsid w:val="00127628"/>
    <w:rsid w:val="001277AA"/>
    <w:rsid w:val="00127972"/>
    <w:rsid w:val="00130298"/>
    <w:rsid w:val="0013077E"/>
    <w:rsid w:val="00130C32"/>
    <w:rsid w:val="001314D8"/>
    <w:rsid w:val="001318C8"/>
    <w:rsid w:val="0013195A"/>
    <w:rsid w:val="0013217D"/>
    <w:rsid w:val="00133810"/>
    <w:rsid w:val="00133DA0"/>
    <w:rsid w:val="001340DA"/>
    <w:rsid w:val="00134B2B"/>
    <w:rsid w:val="001350E9"/>
    <w:rsid w:val="0013549C"/>
    <w:rsid w:val="001375BC"/>
    <w:rsid w:val="00137B6D"/>
    <w:rsid w:val="00140413"/>
    <w:rsid w:val="00140AF4"/>
    <w:rsid w:val="001417ED"/>
    <w:rsid w:val="00141EF4"/>
    <w:rsid w:val="00142EB7"/>
    <w:rsid w:val="00142FD7"/>
    <w:rsid w:val="00144318"/>
    <w:rsid w:val="00144504"/>
    <w:rsid w:val="00144B87"/>
    <w:rsid w:val="00144F77"/>
    <w:rsid w:val="0014544A"/>
    <w:rsid w:val="001456B7"/>
    <w:rsid w:val="0014607A"/>
    <w:rsid w:val="00146186"/>
    <w:rsid w:val="00146274"/>
    <w:rsid w:val="00146733"/>
    <w:rsid w:val="00146789"/>
    <w:rsid w:val="00146AD5"/>
    <w:rsid w:val="00146CD1"/>
    <w:rsid w:val="00146D01"/>
    <w:rsid w:val="00146DDC"/>
    <w:rsid w:val="00146F3A"/>
    <w:rsid w:val="001473BB"/>
    <w:rsid w:val="0014759E"/>
    <w:rsid w:val="00147C11"/>
    <w:rsid w:val="00147F53"/>
    <w:rsid w:val="00150375"/>
    <w:rsid w:val="0015063D"/>
    <w:rsid w:val="00150726"/>
    <w:rsid w:val="00150878"/>
    <w:rsid w:val="00150B14"/>
    <w:rsid w:val="00151B1C"/>
    <w:rsid w:val="001521D9"/>
    <w:rsid w:val="001523D5"/>
    <w:rsid w:val="00152710"/>
    <w:rsid w:val="00152BB7"/>
    <w:rsid w:val="00152BEB"/>
    <w:rsid w:val="00152E82"/>
    <w:rsid w:val="0015340E"/>
    <w:rsid w:val="001538B1"/>
    <w:rsid w:val="001544E3"/>
    <w:rsid w:val="00154AE6"/>
    <w:rsid w:val="0015513C"/>
    <w:rsid w:val="00156518"/>
    <w:rsid w:val="001565DC"/>
    <w:rsid w:val="00156A1C"/>
    <w:rsid w:val="001606DA"/>
    <w:rsid w:val="00160B32"/>
    <w:rsid w:val="00160F68"/>
    <w:rsid w:val="00162228"/>
    <w:rsid w:val="0016281C"/>
    <w:rsid w:val="00162871"/>
    <w:rsid w:val="001631B0"/>
    <w:rsid w:val="00163AE9"/>
    <w:rsid w:val="00163B2F"/>
    <w:rsid w:val="00163CAE"/>
    <w:rsid w:val="0016466D"/>
    <w:rsid w:val="00164F8F"/>
    <w:rsid w:val="00165D82"/>
    <w:rsid w:val="00166BCF"/>
    <w:rsid w:val="00167066"/>
    <w:rsid w:val="001676D5"/>
    <w:rsid w:val="00167854"/>
    <w:rsid w:val="001703AF"/>
    <w:rsid w:val="00170EAA"/>
    <w:rsid w:val="001715D6"/>
    <w:rsid w:val="00171E6C"/>
    <w:rsid w:val="001721C1"/>
    <w:rsid w:val="001729C3"/>
    <w:rsid w:val="00172F33"/>
    <w:rsid w:val="001738CB"/>
    <w:rsid w:val="00173D22"/>
    <w:rsid w:val="00174586"/>
    <w:rsid w:val="00174663"/>
    <w:rsid w:val="00174AE6"/>
    <w:rsid w:val="00175116"/>
    <w:rsid w:val="00175BC2"/>
    <w:rsid w:val="00175C7F"/>
    <w:rsid w:val="00175E9A"/>
    <w:rsid w:val="0018051D"/>
    <w:rsid w:val="00180F42"/>
    <w:rsid w:val="001817FA"/>
    <w:rsid w:val="00182AF7"/>
    <w:rsid w:val="00182BBA"/>
    <w:rsid w:val="00182BDD"/>
    <w:rsid w:val="00182D48"/>
    <w:rsid w:val="00183763"/>
    <w:rsid w:val="001840FC"/>
    <w:rsid w:val="00184624"/>
    <w:rsid w:val="00184BB0"/>
    <w:rsid w:val="001856C4"/>
    <w:rsid w:val="0018661C"/>
    <w:rsid w:val="00186851"/>
    <w:rsid w:val="00186930"/>
    <w:rsid w:val="00187740"/>
    <w:rsid w:val="00187963"/>
    <w:rsid w:val="00187CB1"/>
    <w:rsid w:val="00187F4F"/>
    <w:rsid w:val="0019019A"/>
    <w:rsid w:val="00190D84"/>
    <w:rsid w:val="00191D99"/>
    <w:rsid w:val="00192373"/>
    <w:rsid w:val="00192F08"/>
    <w:rsid w:val="00192FF9"/>
    <w:rsid w:val="00193807"/>
    <w:rsid w:val="00193A0C"/>
    <w:rsid w:val="00194033"/>
    <w:rsid w:val="001942F5"/>
    <w:rsid w:val="00194A08"/>
    <w:rsid w:val="00194AE8"/>
    <w:rsid w:val="00194B02"/>
    <w:rsid w:val="00194BC3"/>
    <w:rsid w:val="00195BA0"/>
    <w:rsid w:val="001962F5"/>
    <w:rsid w:val="00196377"/>
    <w:rsid w:val="00196CF3"/>
    <w:rsid w:val="00197031"/>
    <w:rsid w:val="00197963"/>
    <w:rsid w:val="001A212D"/>
    <w:rsid w:val="001A22AC"/>
    <w:rsid w:val="001A2B54"/>
    <w:rsid w:val="001A2E38"/>
    <w:rsid w:val="001A30EF"/>
    <w:rsid w:val="001A3510"/>
    <w:rsid w:val="001A36AB"/>
    <w:rsid w:val="001A372C"/>
    <w:rsid w:val="001A4E34"/>
    <w:rsid w:val="001A5B55"/>
    <w:rsid w:val="001A6241"/>
    <w:rsid w:val="001A6441"/>
    <w:rsid w:val="001A66AF"/>
    <w:rsid w:val="001A6BE0"/>
    <w:rsid w:val="001A773D"/>
    <w:rsid w:val="001A7952"/>
    <w:rsid w:val="001B0641"/>
    <w:rsid w:val="001B074B"/>
    <w:rsid w:val="001B091A"/>
    <w:rsid w:val="001B0D61"/>
    <w:rsid w:val="001B2423"/>
    <w:rsid w:val="001B28AC"/>
    <w:rsid w:val="001B2AAA"/>
    <w:rsid w:val="001B429D"/>
    <w:rsid w:val="001B42AD"/>
    <w:rsid w:val="001B452E"/>
    <w:rsid w:val="001B4B2F"/>
    <w:rsid w:val="001B5319"/>
    <w:rsid w:val="001B56BB"/>
    <w:rsid w:val="001B592A"/>
    <w:rsid w:val="001B5E7C"/>
    <w:rsid w:val="001B6DE8"/>
    <w:rsid w:val="001B6F10"/>
    <w:rsid w:val="001B7436"/>
    <w:rsid w:val="001B7ED7"/>
    <w:rsid w:val="001C00C3"/>
    <w:rsid w:val="001C04B7"/>
    <w:rsid w:val="001C07E0"/>
    <w:rsid w:val="001C0835"/>
    <w:rsid w:val="001C08AA"/>
    <w:rsid w:val="001C1D7C"/>
    <w:rsid w:val="001C1F82"/>
    <w:rsid w:val="001C241E"/>
    <w:rsid w:val="001C290F"/>
    <w:rsid w:val="001C2D29"/>
    <w:rsid w:val="001C320D"/>
    <w:rsid w:val="001C3633"/>
    <w:rsid w:val="001C3B74"/>
    <w:rsid w:val="001C41FF"/>
    <w:rsid w:val="001C46E2"/>
    <w:rsid w:val="001C493D"/>
    <w:rsid w:val="001C4BD5"/>
    <w:rsid w:val="001C4FC6"/>
    <w:rsid w:val="001C55A2"/>
    <w:rsid w:val="001C56C0"/>
    <w:rsid w:val="001C630E"/>
    <w:rsid w:val="001D0F39"/>
    <w:rsid w:val="001D102D"/>
    <w:rsid w:val="001D214F"/>
    <w:rsid w:val="001D2A37"/>
    <w:rsid w:val="001D3105"/>
    <w:rsid w:val="001D4418"/>
    <w:rsid w:val="001D4617"/>
    <w:rsid w:val="001D5A71"/>
    <w:rsid w:val="001D60AD"/>
    <w:rsid w:val="001D6DF4"/>
    <w:rsid w:val="001D6DF7"/>
    <w:rsid w:val="001D703B"/>
    <w:rsid w:val="001D7DB7"/>
    <w:rsid w:val="001E058C"/>
    <w:rsid w:val="001E0FE7"/>
    <w:rsid w:val="001E15E7"/>
    <w:rsid w:val="001E1600"/>
    <w:rsid w:val="001E262A"/>
    <w:rsid w:val="001E2924"/>
    <w:rsid w:val="001E2E19"/>
    <w:rsid w:val="001E3A85"/>
    <w:rsid w:val="001E3DDB"/>
    <w:rsid w:val="001E4F59"/>
    <w:rsid w:val="001E50EC"/>
    <w:rsid w:val="001E6182"/>
    <w:rsid w:val="001E62B0"/>
    <w:rsid w:val="001E6A2C"/>
    <w:rsid w:val="001E73FC"/>
    <w:rsid w:val="001E7C2F"/>
    <w:rsid w:val="001F01D1"/>
    <w:rsid w:val="001F031D"/>
    <w:rsid w:val="001F0A18"/>
    <w:rsid w:val="001F0FBD"/>
    <w:rsid w:val="001F1354"/>
    <w:rsid w:val="001F190B"/>
    <w:rsid w:val="001F2A38"/>
    <w:rsid w:val="001F2CBB"/>
    <w:rsid w:val="001F305A"/>
    <w:rsid w:val="001F31D2"/>
    <w:rsid w:val="001F3812"/>
    <w:rsid w:val="001F38D7"/>
    <w:rsid w:val="001F3B03"/>
    <w:rsid w:val="001F3B14"/>
    <w:rsid w:val="001F3E1E"/>
    <w:rsid w:val="001F421E"/>
    <w:rsid w:val="001F5007"/>
    <w:rsid w:val="001F539F"/>
    <w:rsid w:val="001F550F"/>
    <w:rsid w:val="001F57E2"/>
    <w:rsid w:val="001F5F2F"/>
    <w:rsid w:val="001F638A"/>
    <w:rsid w:val="001F654A"/>
    <w:rsid w:val="001F6F83"/>
    <w:rsid w:val="001F7147"/>
    <w:rsid w:val="001F75C9"/>
    <w:rsid w:val="00200108"/>
    <w:rsid w:val="002002ED"/>
    <w:rsid w:val="00200656"/>
    <w:rsid w:val="002006F2"/>
    <w:rsid w:val="002009AF"/>
    <w:rsid w:val="00200AD8"/>
    <w:rsid w:val="0020140E"/>
    <w:rsid w:val="00201805"/>
    <w:rsid w:val="00201A35"/>
    <w:rsid w:val="00201CFE"/>
    <w:rsid w:val="0020256F"/>
    <w:rsid w:val="0020269B"/>
    <w:rsid w:val="00202ACE"/>
    <w:rsid w:val="00202BBD"/>
    <w:rsid w:val="00202E1A"/>
    <w:rsid w:val="00202E56"/>
    <w:rsid w:val="00203CC2"/>
    <w:rsid w:val="0020411E"/>
    <w:rsid w:val="00204509"/>
    <w:rsid w:val="00204A82"/>
    <w:rsid w:val="002051F5"/>
    <w:rsid w:val="0020560A"/>
    <w:rsid w:val="00205747"/>
    <w:rsid w:val="00205C79"/>
    <w:rsid w:val="00205CE7"/>
    <w:rsid w:val="0020683C"/>
    <w:rsid w:val="0020698A"/>
    <w:rsid w:val="00206A23"/>
    <w:rsid w:val="00206C58"/>
    <w:rsid w:val="002076AF"/>
    <w:rsid w:val="00207979"/>
    <w:rsid w:val="00210114"/>
    <w:rsid w:val="002105ED"/>
    <w:rsid w:val="00211D1D"/>
    <w:rsid w:val="00211D48"/>
    <w:rsid w:val="00211DB0"/>
    <w:rsid w:val="00212023"/>
    <w:rsid w:val="002123DF"/>
    <w:rsid w:val="002125A4"/>
    <w:rsid w:val="00212B64"/>
    <w:rsid w:val="002131DE"/>
    <w:rsid w:val="00213292"/>
    <w:rsid w:val="00213F62"/>
    <w:rsid w:val="0021573D"/>
    <w:rsid w:val="00216C0C"/>
    <w:rsid w:val="00216CA2"/>
    <w:rsid w:val="00216EA4"/>
    <w:rsid w:val="0021747B"/>
    <w:rsid w:val="00217B2A"/>
    <w:rsid w:val="00220006"/>
    <w:rsid w:val="00220E1E"/>
    <w:rsid w:val="00221379"/>
    <w:rsid w:val="00221430"/>
    <w:rsid w:val="002215A9"/>
    <w:rsid w:val="002215FC"/>
    <w:rsid w:val="0022184E"/>
    <w:rsid w:val="00221996"/>
    <w:rsid w:val="00221D1E"/>
    <w:rsid w:val="002220A7"/>
    <w:rsid w:val="00223161"/>
    <w:rsid w:val="00223C96"/>
    <w:rsid w:val="00224089"/>
    <w:rsid w:val="00224439"/>
    <w:rsid w:val="00224B94"/>
    <w:rsid w:val="00224D3E"/>
    <w:rsid w:val="002254EC"/>
    <w:rsid w:val="00225609"/>
    <w:rsid w:val="002257ED"/>
    <w:rsid w:val="00225978"/>
    <w:rsid w:val="002261A1"/>
    <w:rsid w:val="00226342"/>
    <w:rsid w:val="002267DA"/>
    <w:rsid w:val="00226964"/>
    <w:rsid w:val="002270A3"/>
    <w:rsid w:val="0022788A"/>
    <w:rsid w:val="00227A1A"/>
    <w:rsid w:val="00227CB3"/>
    <w:rsid w:val="00227E39"/>
    <w:rsid w:val="00227FD4"/>
    <w:rsid w:val="00230F29"/>
    <w:rsid w:val="00230F80"/>
    <w:rsid w:val="002313BD"/>
    <w:rsid w:val="00231624"/>
    <w:rsid w:val="00231731"/>
    <w:rsid w:val="00231A8E"/>
    <w:rsid w:val="002322B9"/>
    <w:rsid w:val="00232544"/>
    <w:rsid w:val="00232690"/>
    <w:rsid w:val="00232D69"/>
    <w:rsid w:val="00233085"/>
    <w:rsid w:val="00233095"/>
    <w:rsid w:val="002345D7"/>
    <w:rsid w:val="00234C01"/>
    <w:rsid w:val="00234EA5"/>
    <w:rsid w:val="0023504F"/>
    <w:rsid w:val="002351EA"/>
    <w:rsid w:val="002351FB"/>
    <w:rsid w:val="0023521F"/>
    <w:rsid w:val="00235395"/>
    <w:rsid w:val="0023563B"/>
    <w:rsid w:val="00235BAF"/>
    <w:rsid w:val="00236443"/>
    <w:rsid w:val="00236788"/>
    <w:rsid w:val="0023787A"/>
    <w:rsid w:val="00237B1A"/>
    <w:rsid w:val="00240ADE"/>
    <w:rsid w:val="00242160"/>
    <w:rsid w:val="00242F11"/>
    <w:rsid w:val="00243688"/>
    <w:rsid w:val="00244EA3"/>
    <w:rsid w:val="00245A05"/>
    <w:rsid w:val="00245F68"/>
    <w:rsid w:val="00246260"/>
    <w:rsid w:val="00246352"/>
    <w:rsid w:val="00246530"/>
    <w:rsid w:val="00247765"/>
    <w:rsid w:val="00247859"/>
    <w:rsid w:val="00247A64"/>
    <w:rsid w:val="00247BD2"/>
    <w:rsid w:val="00247E88"/>
    <w:rsid w:val="00247FD6"/>
    <w:rsid w:val="0025001E"/>
    <w:rsid w:val="002501BF"/>
    <w:rsid w:val="0025157C"/>
    <w:rsid w:val="00251FB0"/>
    <w:rsid w:val="002523F0"/>
    <w:rsid w:val="00252548"/>
    <w:rsid w:val="00252BB8"/>
    <w:rsid w:val="00252E4E"/>
    <w:rsid w:val="00253532"/>
    <w:rsid w:val="002539FD"/>
    <w:rsid w:val="00253D35"/>
    <w:rsid w:val="00255258"/>
    <w:rsid w:val="00256033"/>
    <w:rsid w:val="002563A6"/>
    <w:rsid w:val="00256997"/>
    <w:rsid w:val="00256D19"/>
    <w:rsid w:val="00256E50"/>
    <w:rsid w:val="00256F0B"/>
    <w:rsid w:val="002603BB"/>
    <w:rsid w:val="0026052D"/>
    <w:rsid w:val="00260727"/>
    <w:rsid w:val="00261382"/>
    <w:rsid w:val="00261453"/>
    <w:rsid w:val="0026156D"/>
    <w:rsid w:val="00261718"/>
    <w:rsid w:val="00261810"/>
    <w:rsid w:val="00261BA7"/>
    <w:rsid w:val="00262783"/>
    <w:rsid w:val="002629C4"/>
    <w:rsid w:val="00263366"/>
    <w:rsid w:val="00263861"/>
    <w:rsid w:val="00263864"/>
    <w:rsid w:val="0026414D"/>
    <w:rsid w:val="00264A0B"/>
    <w:rsid w:val="0026619D"/>
    <w:rsid w:val="0026625E"/>
    <w:rsid w:val="002662BB"/>
    <w:rsid w:val="0026672E"/>
    <w:rsid w:val="0026749E"/>
    <w:rsid w:val="00267E6E"/>
    <w:rsid w:val="00270175"/>
    <w:rsid w:val="00270B36"/>
    <w:rsid w:val="0027173E"/>
    <w:rsid w:val="00271B05"/>
    <w:rsid w:val="0027214B"/>
    <w:rsid w:val="0027241D"/>
    <w:rsid w:val="00272553"/>
    <w:rsid w:val="002728D8"/>
    <w:rsid w:val="00273391"/>
    <w:rsid w:val="002737ED"/>
    <w:rsid w:val="00273CD2"/>
    <w:rsid w:val="00274732"/>
    <w:rsid w:val="00274DF7"/>
    <w:rsid w:val="002750E5"/>
    <w:rsid w:val="00275789"/>
    <w:rsid w:val="002757B9"/>
    <w:rsid w:val="0027608F"/>
    <w:rsid w:val="0027728D"/>
    <w:rsid w:val="002773A6"/>
    <w:rsid w:val="002775DA"/>
    <w:rsid w:val="00277763"/>
    <w:rsid w:val="00281176"/>
    <w:rsid w:val="00281C66"/>
    <w:rsid w:val="002822B8"/>
    <w:rsid w:val="002823A3"/>
    <w:rsid w:val="00282921"/>
    <w:rsid w:val="00285B39"/>
    <w:rsid w:val="00286C2E"/>
    <w:rsid w:val="00286CA6"/>
    <w:rsid w:val="002871EA"/>
    <w:rsid w:val="002873AA"/>
    <w:rsid w:val="00287510"/>
    <w:rsid w:val="002878F3"/>
    <w:rsid w:val="00287DCC"/>
    <w:rsid w:val="002908D2"/>
    <w:rsid w:val="00290976"/>
    <w:rsid w:val="00290A11"/>
    <w:rsid w:val="00290BD1"/>
    <w:rsid w:val="00290BE4"/>
    <w:rsid w:val="00290E1A"/>
    <w:rsid w:val="0029200B"/>
    <w:rsid w:val="002922AD"/>
    <w:rsid w:val="00293356"/>
    <w:rsid w:val="00293C19"/>
    <w:rsid w:val="0029448F"/>
    <w:rsid w:val="002945A3"/>
    <w:rsid w:val="00295CEE"/>
    <w:rsid w:val="00295E56"/>
    <w:rsid w:val="00296C61"/>
    <w:rsid w:val="00297244"/>
    <w:rsid w:val="00297248"/>
    <w:rsid w:val="00297F6A"/>
    <w:rsid w:val="002A008E"/>
    <w:rsid w:val="002A0519"/>
    <w:rsid w:val="002A0E53"/>
    <w:rsid w:val="002A0F61"/>
    <w:rsid w:val="002A18ED"/>
    <w:rsid w:val="002A1FE2"/>
    <w:rsid w:val="002A2851"/>
    <w:rsid w:val="002A2B5A"/>
    <w:rsid w:val="002A2DC1"/>
    <w:rsid w:val="002A3455"/>
    <w:rsid w:val="002A3AB5"/>
    <w:rsid w:val="002A3F0E"/>
    <w:rsid w:val="002A42A3"/>
    <w:rsid w:val="002A47E7"/>
    <w:rsid w:val="002A4B39"/>
    <w:rsid w:val="002A543E"/>
    <w:rsid w:val="002A619B"/>
    <w:rsid w:val="002A61BC"/>
    <w:rsid w:val="002A6455"/>
    <w:rsid w:val="002A6505"/>
    <w:rsid w:val="002A6B68"/>
    <w:rsid w:val="002A701D"/>
    <w:rsid w:val="002A72AB"/>
    <w:rsid w:val="002A7C09"/>
    <w:rsid w:val="002B00C9"/>
    <w:rsid w:val="002B0582"/>
    <w:rsid w:val="002B0623"/>
    <w:rsid w:val="002B0656"/>
    <w:rsid w:val="002B083D"/>
    <w:rsid w:val="002B13B4"/>
    <w:rsid w:val="002B1E58"/>
    <w:rsid w:val="002B224A"/>
    <w:rsid w:val="002B24DA"/>
    <w:rsid w:val="002B2B60"/>
    <w:rsid w:val="002B2F4F"/>
    <w:rsid w:val="002B2FA8"/>
    <w:rsid w:val="002B333E"/>
    <w:rsid w:val="002B3E04"/>
    <w:rsid w:val="002B4BC1"/>
    <w:rsid w:val="002B4C5F"/>
    <w:rsid w:val="002B5C0E"/>
    <w:rsid w:val="002B5D2F"/>
    <w:rsid w:val="002B617A"/>
    <w:rsid w:val="002B63AA"/>
    <w:rsid w:val="002B7011"/>
    <w:rsid w:val="002B762C"/>
    <w:rsid w:val="002C04EB"/>
    <w:rsid w:val="002C07F7"/>
    <w:rsid w:val="002C0890"/>
    <w:rsid w:val="002C136D"/>
    <w:rsid w:val="002C1411"/>
    <w:rsid w:val="002C1423"/>
    <w:rsid w:val="002C16B9"/>
    <w:rsid w:val="002C1CD3"/>
    <w:rsid w:val="002C2761"/>
    <w:rsid w:val="002C2EF1"/>
    <w:rsid w:val="002C3298"/>
    <w:rsid w:val="002C3605"/>
    <w:rsid w:val="002C467C"/>
    <w:rsid w:val="002C4A48"/>
    <w:rsid w:val="002C50C8"/>
    <w:rsid w:val="002C5BA9"/>
    <w:rsid w:val="002C5CA5"/>
    <w:rsid w:val="002C6C31"/>
    <w:rsid w:val="002D0362"/>
    <w:rsid w:val="002D118B"/>
    <w:rsid w:val="002D161E"/>
    <w:rsid w:val="002D1C0A"/>
    <w:rsid w:val="002D210B"/>
    <w:rsid w:val="002D257F"/>
    <w:rsid w:val="002D274A"/>
    <w:rsid w:val="002D2ADE"/>
    <w:rsid w:val="002D2B36"/>
    <w:rsid w:val="002D309B"/>
    <w:rsid w:val="002D33D7"/>
    <w:rsid w:val="002D3511"/>
    <w:rsid w:val="002D3E55"/>
    <w:rsid w:val="002D3EC8"/>
    <w:rsid w:val="002D3FF7"/>
    <w:rsid w:val="002D40B1"/>
    <w:rsid w:val="002D58B1"/>
    <w:rsid w:val="002D5FB1"/>
    <w:rsid w:val="002D6D66"/>
    <w:rsid w:val="002D6D6F"/>
    <w:rsid w:val="002D6F9E"/>
    <w:rsid w:val="002D71E5"/>
    <w:rsid w:val="002E0E79"/>
    <w:rsid w:val="002E1376"/>
    <w:rsid w:val="002E1D22"/>
    <w:rsid w:val="002E3556"/>
    <w:rsid w:val="002E3F0E"/>
    <w:rsid w:val="002E48DB"/>
    <w:rsid w:val="002E4B64"/>
    <w:rsid w:val="002E4E96"/>
    <w:rsid w:val="002E514D"/>
    <w:rsid w:val="002E5539"/>
    <w:rsid w:val="002E5615"/>
    <w:rsid w:val="002E58EF"/>
    <w:rsid w:val="002E699D"/>
    <w:rsid w:val="002E6FC3"/>
    <w:rsid w:val="002E72AB"/>
    <w:rsid w:val="002E7BBE"/>
    <w:rsid w:val="002F007B"/>
    <w:rsid w:val="002F09AF"/>
    <w:rsid w:val="002F0B11"/>
    <w:rsid w:val="002F0EF4"/>
    <w:rsid w:val="002F1024"/>
    <w:rsid w:val="002F17BF"/>
    <w:rsid w:val="002F1D13"/>
    <w:rsid w:val="002F2E8A"/>
    <w:rsid w:val="002F3103"/>
    <w:rsid w:val="002F3834"/>
    <w:rsid w:val="002F4086"/>
    <w:rsid w:val="002F45B9"/>
    <w:rsid w:val="002F4A1A"/>
    <w:rsid w:val="002F4C36"/>
    <w:rsid w:val="002F6254"/>
    <w:rsid w:val="002F65B6"/>
    <w:rsid w:val="002F69B3"/>
    <w:rsid w:val="002F7087"/>
    <w:rsid w:val="002F71D9"/>
    <w:rsid w:val="002F725B"/>
    <w:rsid w:val="002F7411"/>
    <w:rsid w:val="002F77ED"/>
    <w:rsid w:val="002F78DE"/>
    <w:rsid w:val="002F7C97"/>
    <w:rsid w:val="002F7CBD"/>
    <w:rsid w:val="0030021B"/>
    <w:rsid w:val="003002D1"/>
    <w:rsid w:val="00300918"/>
    <w:rsid w:val="00300A05"/>
    <w:rsid w:val="00300A77"/>
    <w:rsid w:val="00300C6D"/>
    <w:rsid w:val="00300E27"/>
    <w:rsid w:val="003016CD"/>
    <w:rsid w:val="00302299"/>
    <w:rsid w:val="0030285B"/>
    <w:rsid w:val="003046B5"/>
    <w:rsid w:val="00304969"/>
    <w:rsid w:val="00305A93"/>
    <w:rsid w:val="00305B4A"/>
    <w:rsid w:val="00306F2D"/>
    <w:rsid w:val="0030722B"/>
    <w:rsid w:val="00307E9A"/>
    <w:rsid w:val="00310377"/>
    <w:rsid w:val="00310B93"/>
    <w:rsid w:val="00310BEC"/>
    <w:rsid w:val="00311534"/>
    <w:rsid w:val="003115E1"/>
    <w:rsid w:val="00311934"/>
    <w:rsid w:val="00311B17"/>
    <w:rsid w:val="00311C2B"/>
    <w:rsid w:val="00312FF9"/>
    <w:rsid w:val="00312FFA"/>
    <w:rsid w:val="0031343D"/>
    <w:rsid w:val="003138E9"/>
    <w:rsid w:val="003139E0"/>
    <w:rsid w:val="00314C76"/>
    <w:rsid w:val="00314E98"/>
    <w:rsid w:val="00315470"/>
    <w:rsid w:val="0031630E"/>
    <w:rsid w:val="0031649C"/>
    <w:rsid w:val="00316562"/>
    <w:rsid w:val="00316E65"/>
    <w:rsid w:val="003171AF"/>
    <w:rsid w:val="00317212"/>
    <w:rsid w:val="0031747A"/>
    <w:rsid w:val="00320671"/>
    <w:rsid w:val="00320873"/>
    <w:rsid w:val="00320914"/>
    <w:rsid w:val="00320DE7"/>
    <w:rsid w:val="00322789"/>
    <w:rsid w:val="00322CA6"/>
    <w:rsid w:val="003239C9"/>
    <w:rsid w:val="0032448F"/>
    <w:rsid w:val="00324CC5"/>
    <w:rsid w:val="00325389"/>
    <w:rsid w:val="00325728"/>
    <w:rsid w:val="00325C72"/>
    <w:rsid w:val="00326460"/>
    <w:rsid w:val="00326539"/>
    <w:rsid w:val="00326847"/>
    <w:rsid w:val="00326DA1"/>
    <w:rsid w:val="00327505"/>
    <w:rsid w:val="003278D5"/>
    <w:rsid w:val="003311D6"/>
    <w:rsid w:val="003312BB"/>
    <w:rsid w:val="0033146B"/>
    <w:rsid w:val="00331551"/>
    <w:rsid w:val="0033201C"/>
    <w:rsid w:val="00332043"/>
    <w:rsid w:val="00332067"/>
    <w:rsid w:val="00332BB8"/>
    <w:rsid w:val="003344B5"/>
    <w:rsid w:val="003350A8"/>
    <w:rsid w:val="00335ABD"/>
    <w:rsid w:val="00336262"/>
    <w:rsid w:val="00337253"/>
    <w:rsid w:val="003372FE"/>
    <w:rsid w:val="00337770"/>
    <w:rsid w:val="0034021F"/>
    <w:rsid w:val="0034033D"/>
    <w:rsid w:val="003406A9"/>
    <w:rsid w:val="00341117"/>
    <w:rsid w:val="003413CF"/>
    <w:rsid w:val="003414D7"/>
    <w:rsid w:val="0034150F"/>
    <w:rsid w:val="00341E34"/>
    <w:rsid w:val="00341F6E"/>
    <w:rsid w:val="00342C19"/>
    <w:rsid w:val="00343DA7"/>
    <w:rsid w:val="0034439C"/>
    <w:rsid w:val="003445AE"/>
    <w:rsid w:val="00345157"/>
    <w:rsid w:val="003463BC"/>
    <w:rsid w:val="00346D45"/>
    <w:rsid w:val="00347396"/>
    <w:rsid w:val="0034743C"/>
    <w:rsid w:val="00347924"/>
    <w:rsid w:val="003504A1"/>
    <w:rsid w:val="003504FA"/>
    <w:rsid w:val="00350621"/>
    <w:rsid w:val="003506FA"/>
    <w:rsid w:val="00350846"/>
    <w:rsid w:val="003509C7"/>
    <w:rsid w:val="00350D36"/>
    <w:rsid w:val="00350D3F"/>
    <w:rsid w:val="00351344"/>
    <w:rsid w:val="00351CCB"/>
    <w:rsid w:val="00351D47"/>
    <w:rsid w:val="003520CA"/>
    <w:rsid w:val="0035248D"/>
    <w:rsid w:val="00352585"/>
    <w:rsid w:val="0035290B"/>
    <w:rsid w:val="003532B7"/>
    <w:rsid w:val="00353320"/>
    <w:rsid w:val="00354074"/>
    <w:rsid w:val="003546D5"/>
    <w:rsid w:val="00354C3B"/>
    <w:rsid w:val="00354D77"/>
    <w:rsid w:val="00354F37"/>
    <w:rsid w:val="00356683"/>
    <w:rsid w:val="00357064"/>
    <w:rsid w:val="00357245"/>
    <w:rsid w:val="0035779A"/>
    <w:rsid w:val="00357A60"/>
    <w:rsid w:val="00360295"/>
    <w:rsid w:val="00360EDF"/>
    <w:rsid w:val="0036103D"/>
    <w:rsid w:val="00361A90"/>
    <w:rsid w:val="00362524"/>
    <w:rsid w:val="0036256A"/>
    <w:rsid w:val="0036287E"/>
    <w:rsid w:val="003628F5"/>
    <w:rsid w:val="00362D28"/>
    <w:rsid w:val="00363029"/>
    <w:rsid w:val="00363042"/>
    <w:rsid w:val="003632E3"/>
    <w:rsid w:val="0036365D"/>
    <w:rsid w:val="00363D42"/>
    <w:rsid w:val="0036459E"/>
    <w:rsid w:val="003650C7"/>
    <w:rsid w:val="0036633E"/>
    <w:rsid w:val="00366459"/>
    <w:rsid w:val="00366992"/>
    <w:rsid w:val="00366B02"/>
    <w:rsid w:val="0036730C"/>
    <w:rsid w:val="003676D4"/>
    <w:rsid w:val="00367AB8"/>
    <w:rsid w:val="00367B53"/>
    <w:rsid w:val="00367C9A"/>
    <w:rsid w:val="00367EBF"/>
    <w:rsid w:val="00370BAA"/>
    <w:rsid w:val="00372F81"/>
    <w:rsid w:val="00373232"/>
    <w:rsid w:val="00373752"/>
    <w:rsid w:val="00373E3F"/>
    <w:rsid w:val="0037411D"/>
    <w:rsid w:val="00374294"/>
    <w:rsid w:val="00374330"/>
    <w:rsid w:val="00374927"/>
    <w:rsid w:val="003752C7"/>
    <w:rsid w:val="003757AB"/>
    <w:rsid w:val="00375C57"/>
    <w:rsid w:val="00375E17"/>
    <w:rsid w:val="0037620E"/>
    <w:rsid w:val="00376816"/>
    <w:rsid w:val="00376E70"/>
    <w:rsid w:val="00377161"/>
    <w:rsid w:val="00377B74"/>
    <w:rsid w:val="003800B3"/>
    <w:rsid w:val="00380331"/>
    <w:rsid w:val="00381F13"/>
    <w:rsid w:val="003828D3"/>
    <w:rsid w:val="00382B63"/>
    <w:rsid w:val="0038350C"/>
    <w:rsid w:val="00384032"/>
    <w:rsid w:val="00384272"/>
    <w:rsid w:val="00384606"/>
    <w:rsid w:val="003857C0"/>
    <w:rsid w:val="0038614D"/>
    <w:rsid w:val="00386DC8"/>
    <w:rsid w:val="00387010"/>
    <w:rsid w:val="00387069"/>
    <w:rsid w:val="003875EC"/>
    <w:rsid w:val="00387A1D"/>
    <w:rsid w:val="003901C1"/>
    <w:rsid w:val="003902FC"/>
    <w:rsid w:val="0039046A"/>
    <w:rsid w:val="00391260"/>
    <w:rsid w:val="0039139C"/>
    <w:rsid w:val="003913E7"/>
    <w:rsid w:val="00391B2C"/>
    <w:rsid w:val="003925CA"/>
    <w:rsid w:val="00392858"/>
    <w:rsid w:val="00392F64"/>
    <w:rsid w:val="00393893"/>
    <w:rsid w:val="00393DA3"/>
    <w:rsid w:val="003941CF"/>
    <w:rsid w:val="003944C8"/>
    <w:rsid w:val="00394DEE"/>
    <w:rsid w:val="00395168"/>
    <w:rsid w:val="00395A09"/>
    <w:rsid w:val="00396125"/>
    <w:rsid w:val="0039692C"/>
    <w:rsid w:val="00396B5D"/>
    <w:rsid w:val="0039713F"/>
    <w:rsid w:val="003A05F2"/>
    <w:rsid w:val="003A0A42"/>
    <w:rsid w:val="003A0CD5"/>
    <w:rsid w:val="003A0ED8"/>
    <w:rsid w:val="003A1370"/>
    <w:rsid w:val="003A15A8"/>
    <w:rsid w:val="003A15D0"/>
    <w:rsid w:val="003A1C5D"/>
    <w:rsid w:val="003A1D74"/>
    <w:rsid w:val="003A21EB"/>
    <w:rsid w:val="003A22B8"/>
    <w:rsid w:val="003A27FC"/>
    <w:rsid w:val="003A369C"/>
    <w:rsid w:val="003A3DC0"/>
    <w:rsid w:val="003A4199"/>
    <w:rsid w:val="003A440D"/>
    <w:rsid w:val="003A4790"/>
    <w:rsid w:val="003A4B36"/>
    <w:rsid w:val="003A4CE2"/>
    <w:rsid w:val="003A51D9"/>
    <w:rsid w:val="003A574E"/>
    <w:rsid w:val="003A582C"/>
    <w:rsid w:val="003A62C9"/>
    <w:rsid w:val="003A6E25"/>
    <w:rsid w:val="003A6E9E"/>
    <w:rsid w:val="003A7435"/>
    <w:rsid w:val="003A76AA"/>
    <w:rsid w:val="003A7E14"/>
    <w:rsid w:val="003B03B5"/>
    <w:rsid w:val="003B09E8"/>
    <w:rsid w:val="003B0AE7"/>
    <w:rsid w:val="003B169A"/>
    <w:rsid w:val="003B1BD1"/>
    <w:rsid w:val="003B1E1D"/>
    <w:rsid w:val="003B1F76"/>
    <w:rsid w:val="003B230D"/>
    <w:rsid w:val="003B31A0"/>
    <w:rsid w:val="003B3853"/>
    <w:rsid w:val="003B42FC"/>
    <w:rsid w:val="003B4344"/>
    <w:rsid w:val="003B4538"/>
    <w:rsid w:val="003B4965"/>
    <w:rsid w:val="003B4E3E"/>
    <w:rsid w:val="003B5304"/>
    <w:rsid w:val="003B5990"/>
    <w:rsid w:val="003B5BF0"/>
    <w:rsid w:val="003B649C"/>
    <w:rsid w:val="003B64D6"/>
    <w:rsid w:val="003B7031"/>
    <w:rsid w:val="003B749A"/>
    <w:rsid w:val="003B76C0"/>
    <w:rsid w:val="003B79DA"/>
    <w:rsid w:val="003C0365"/>
    <w:rsid w:val="003C07C4"/>
    <w:rsid w:val="003C08FD"/>
    <w:rsid w:val="003C0E18"/>
    <w:rsid w:val="003C1108"/>
    <w:rsid w:val="003C1363"/>
    <w:rsid w:val="003C13A6"/>
    <w:rsid w:val="003C19D6"/>
    <w:rsid w:val="003C2880"/>
    <w:rsid w:val="003C2934"/>
    <w:rsid w:val="003C32F7"/>
    <w:rsid w:val="003C3A63"/>
    <w:rsid w:val="003C423D"/>
    <w:rsid w:val="003C4B86"/>
    <w:rsid w:val="003C52CE"/>
    <w:rsid w:val="003C5749"/>
    <w:rsid w:val="003C5921"/>
    <w:rsid w:val="003C630B"/>
    <w:rsid w:val="003C683C"/>
    <w:rsid w:val="003C7D14"/>
    <w:rsid w:val="003D04C8"/>
    <w:rsid w:val="003D137A"/>
    <w:rsid w:val="003D1919"/>
    <w:rsid w:val="003D28DA"/>
    <w:rsid w:val="003D2B2B"/>
    <w:rsid w:val="003D2CD1"/>
    <w:rsid w:val="003D2F0E"/>
    <w:rsid w:val="003D37EA"/>
    <w:rsid w:val="003D3B0C"/>
    <w:rsid w:val="003D5163"/>
    <w:rsid w:val="003D57CA"/>
    <w:rsid w:val="003D5A29"/>
    <w:rsid w:val="003D620B"/>
    <w:rsid w:val="003D6258"/>
    <w:rsid w:val="003D7154"/>
    <w:rsid w:val="003D7E43"/>
    <w:rsid w:val="003E0329"/>
    <w:rsid w:val="003E0F66"/>
    <w:rsid w:val="003E167A"/>
    <w:rsid w:val="003E288C"/>
    <w:rsid w:val="003E2A27"/>
    <w:rsid w:val="003E2BFB"/>
    <w:rsid w:val="003E35DA"/>
    <w:rsid w:val="003E38D5"/>
    <w:rsid w:val="003E441A"/>
    <w:rsid w:val="003E4EF7"/>
    <w:rsid w:val="003E514C"/>
    <w:rsid w:val="003E62B8"/>
    <w:rsid w:val="003E6DEE"/>
    <w:rsid w:val="003E75A3"/>
    <w:rsid w:val="003E7ECA"/>
    <w:rsid w:val="003F017F"/>
    <w:rsid w:val="003F03C7"/>
    <w:rsid w:val="003F082E"/>
    <w:rsid w:val="003F0977"/>
    <w:rsid w:val="003F361A"/>
    <w:rsid w:val="003F38F3"/>
    <w:rsid w:val="003F3932"/>
    <w:rsid w:val="003F39A3"/>
    <w:rsid w:val="003F39ED"/>
    <w:rsid w:val="003F401B"/>
    <w:rsid w:val="003F5FAB"/>
    <w:rsid w:val="003F6CBC"/>
    <w:rsid w:val="003F6CFF"/>
    <w:rsid w:val="0040062E"/>
    <w:rsid w:val="004007E8"/>
    <w:rsid w:val="00401182"/>
    <w:rsid w:val="00401407"/>
    <w:rsid w:val="0040145F"/>
    <w:rsid w:val="00401A6B"/>
    <w:rsid w:val="00402F81"/>
    <w:rsid w:val="00402F9F"/>
    <w:rsid w:val="00403187"/>
    <w:rsid w:val="004033AC"/>
    <w:rsid w:val="0040410B"/>
    <w:rsid w:val="0040453B"/>
    <w:rsid w:val="00404C13"/>
    <w:rsid w:val="00405113"/>
    <w:rsid w:val="00405BC3"/>
    <w:rsid w:val="00406B71"/>
    <w:rsid w:val="004075D1"/>
    <w:rsid w:val="00407E86"/>
    <w:rsid w:val="004107F5"/>
    <w:rsid w:val="00411075"/>
    <w:rsid w:val="00412B13"/>
    <w:rsid w:val="00413791"/>
    <w:rsid w:val="00413E07"/>
    <w:rsid w:val="00414C09"/>
    <w:rsid w:val="00414D49"/>
    <w:rsid w:val="00415064"/>
    <w:rsid w:val="0041566C"/>
    <w:rsid w:val="00415EE2"/>
    <w:rsid w:val="004161CF"/>
    <w:rsid w:val="004178D5"/>
    <w:rsid w:val="00417DFF"/>
    <w:rsid w:val="00417F01"/>
    <w:rsid w:val="004208B4"/>
    <w:rsid w:val="00420FF2"/>
    <w:rsid w:val="00421962"/>
    <w:rsid w:val="00421C47"/>
    <w:rsid w:val="00421F3B"/>
    <w:rsid w:val="00422573"/>
    <w:rsid w:val="004226B8"/>
    <w:rsid w:val="004227C4"/>
    <w:rsid w:val="0042305F"/>
    <w:rsid w:val="004238BD"/>
    <w:rsid w:val="00423E3A"/>
    <w:rsid w:val="0042455E"/>
    <w:rsid w:val="0042518B"/>
    <w:rsid w:val="004255E6"/>
    <w:rsid w:val="00426153"/>
    <w:rsid w:val="0042649C"/>
    <w:rsid w:val="00426527"/>
    <w:rsid w:val="004265B8"/>
    <w:rsid w:val="0042684B"/>
    <w:rsid w:val="004268D8"/>
    <w:rsid w:val="00426A49"/>
    <w:rsid w:val="00426D9C"/>
    <w:rsid w:val="00426E69"/>
    <w:rsid w:val="0042756E"/>
    <w:rsid w:val="004277BF"/>
    <w:rsid w:val="00427808"/>
    <w:rsid w:val="00427C9D"/>
    <w:rsid w:val="00430991"/>
    <w:rsid w:val="00431223"/>
    <w:rsid w:val="00431B48"/>
    <w:rsid w:val="00431E7F"/>
    <w:rsid w:val="00431F3E"/>
    <w:rsid w:val="004322C3"/>
    <w:rsid w:val="004327FA"/>
    <w:rsid w:val="00432926"/>
    <w:rsid w:val="00432DA0"/>
    <w:rsid w:val="00433566"/>
    <w:rsid w:val="0043391E"/>
    <w:rsid w:val="00433B37"/>
    <w:rsid w:val="00433D2C"/>
    <w:rsid w:val="00433F99"/>
    <w:rsid w:val="004341F5"/>
    <w:rsid w:val="00434DE2"/>
    <w:rsid w:val="004350D4"/>
    <w:rsid w:val="0043522A"/>
    <w:rsid w:val="00435775"/>
    <w:rsid w:val="00435C0F"/>
    <w:rsid w:val="004363E3"/>
    <w:rsid w:val="004372B9"/>
    <w:rsid w:val="004408ED"/>
    <w:rsid w:val="00440D37"/>
    <w:rsid w:val="00440F31"/>
    <w:rsid w:val="00441572"/>
    <w:rsid w:val="004419D3"/>
    <w:rsid w:val="00441C44"/>
    <w:rsid w:val="00442275"/>
    <w:rsid w:val="00443124"/>
    <w:rsid w:val="00444084"/>
    <w:rsid w:val="00444935"/>
    <w:rsid w:val="00444D3D"/>
    <w:rsid w:val="00444DF1"/>
    <w:rsid w:val="004451B5"/>
    <w:rsid w:val="004452F6"/>
    <w:rsid w:val="00445BD7"/>
    <w:rsid w:val="00445EFC"/>
    <w:rsid w:val="0044624B"/>
    <w:rsid w:val="00446A38"/>
    <w:rsid w:val="00446A66"/>
    <w:rsid w:val="004474C2"/>
    <w:rsid w:val="00447A1A"/>
    <w:rsid w:val="00447B0F"/>
    <w:rsid w:val="00450121"/>
    <w:rsid w:val="00450176"/>
    <w:rsid w:val="00450450"/>
    <w:rsid w:val="00450B55"/>
    <w:rsid w:val="00450BAD"/>
    <w:rsid w:val="00451C87"/>
    <w:rsid w:val="00452295"/>
    <w:rsid w:val="00452A7E"/>
    <w:rsid w:val="00452D5A"/>
    <w:rsid w:val="0045321A"/>
    <w:rsid w:val="00453BA5"/>
    <w:rsid w:val="004543E7"/>
    <w:rsid w:val="00454538"/>
    <w:rsid w:val="00454833"/>
    <w:rsid w:val="00454A46"/>
    <w:rsid w:val="00454F87"/>
    <w:rsid w:val="004552ED"/>
    <w:rsid w:val="00455375"/>
    <w:rsid w:val="004554CA"/>
    <w:rsid w:val="004555A6"/>
    <w:rsid w:val="00456635"/>
    <w:rsid w:val="00457407"/>
    <w:rsid w:val="004576C3"/>
    <w:rsid w:val="00457901"/>
    <w:rsid w:val="00457AE9"/>
    <w:rsid w:val="00457F40"/>
    <w:rsid w:val="0046021B"/>
    <w:rsid w:val="004606CD"/>
    <w:rsid w:val="00460B42"/>
    <w:rsid w:val="00461071"/>
    <w:rsid w:val="004620BD"/>
    <w:rsid w:val="00462D1A"/>
    <w:rsid w:val="00463138"/>
    <w:rsid w:val="0046377C"/>
    <w:rsid w:val="00463AD8"/>
    <w:rsid w:val="00464122"/>
    <w:rsid w:val="00464374"/>
    <w:rsid w:val="004661B8"/>
    <w:rsid w:val="00466547"/>
    <w:rsid w:val="0046678F"/>
    <w:rsid w:val="004668A6"/>
    <w:rsid w:val="00466AEB"/>
    <w:rsid w:val="00467261"/>
    <w:rsid w:val="0046751F"/>
    <w:rsid w:val="004676B3"/>
    <w:rsid w:val="004679C8"/>
    <w:rsid w:val="00470120"/>
    <w:rsid w:val="0047038D"/>
    <w:rsid w:val="0047040A"/>
    <w:rsid w:val="0047061E"/>
    <w:rsid w:val="00470658"/>
    <w:rsid w:val="0047071C"/>
    <w:rsid w:val="0047084D"/>
    <w:rsid w:val="00470E18"/>
    <w:rsid w:val="00471B63"/>
    <w:rsid w:val="00471C9C"/>
    <w:rsid w:val="0047243A"/>
    <w:rsid w:val="004728C2"/>
    <w:rsid w:val="0047330E"/>
    <w:rsid w:val="00473B02"/>
    <w:rsid w:val="00475013"/>
    <w:rsid w:val="00475124"/>
    <w:rsid w:val="004761FD"/>
    <w:rsid w:val="00476947"/>
    <w:rsid w:val="00477FCC"/>
    <w:rsid w:val="00480567"/>
    <w:rsid w:val="00482012"/>
    <w:rsid w:val="00482096"/>
    <w:rsid w:val="004822AC"/>
    <w:rsid w:val="00482FE9"/>
    <w:rsid w:val="00483B7C"/>
    <w:rsid w:val="00484185"/>
    <w:rsid w:val="0048467F"/>
    <w:rsid w:val="00484C96"/>
    <w:rsid w:val="00485141"/>
    <w:rsid w:val="00486211"/>
    <w:rsid w:val="004868DC"/>
    <w:rsid w:val="00487286"/>
    <w:rsid w:val="00487A7E"/>
    <w:rsid w:val="00487EF2"/>
    <w:rsid w:val="004900CB"/>
    <w:rsid w:val="004900D6"/>
    <w:rsid w:val="00490125"/>
    <w:rsid w:val="004902C9"/>
    <w:rsid w:val="00490976"/>
    <w:rsid w:val="00490E08"/>
    <w:rsid w:val="00491543"/>
    <w:rsid w:val="00491DCD"/>
    <w:rsid w:val="004922F2"/>
    <w:rsid w:val="00493400"/>
    <w:rsid w:val="00493AA5"/>
    <w:rsid w:val="00493E0D"/>
    <w:rsid w:val="00493FC4"/>
    <w:rsid w:val="004942EE"/>
    <w:rsid w:val="00494CD7"/>
    <w:rsid w:val="004950AA"/>
    <w:rsid w:val="00495F16"/>
    <w:rsid w:val="00496091"/>
    <w:rsid w:val="00496937"/>
    <w:rsid w:val="00496CBB"/>
    <w:rsid w:val="00496F51"/>
    <w:rsid w:val="00496FA1"/>
    <w:rsid w:val="00497258"/>
    <w:rsid w:val="00497523"/>
    <w:rsid w:val="00497BE6"/>
    <w:rsid w:val="00497E6C"/>
    <w:rsid w:val="004A0400"/>
    <w:rsid w:val="004A045C"/>
    <w:rsid w:val="004A08AE"/>
    <w:rsid w:val="004A0DE4"/>
    <w:rsid w:val="004A0E68"/>
    <w:rsid w:val="004A1344"/>
    <w:rsid w:val="004A15EC"/>
    <w:rsid w:val="004A2161"/>
    <w:rsid w:val="004A2487"/>
    <w:rsid w:val="004A3315"/>
    <w:rsid w:val="004A392C"/>
    <w:rsid w:val="004A3D4B"/>
    <w:rsid w:val="004A3E5B"/>
    <w:rsid w:val="004A4070"/>
    <w:rsid w:val="004A44A6"/>
    <w:rsid w:val="004A4EC3"/>
    <w:rsid w:val="004A593A"/>
    <w:rsid w:val="004A625E"/>
    <w:rsid w:val="004A6771"/>
    <w:rsid w:val="004A6838"/>
    <w:rsid w:val="004A6A97"/>
    <w:rsid w:val="004A7305"/>
    <w:rsid w:val="004A76A4"/>
    <w:rsid w:val="004A7992"/>
    <w:rsid w:val="004A7C18"/>
    <w:rsid w:val="004B05FA"/>
    <w:rsid w:val="004B08EB"/>
    <w:rsid w:val="004B192C"/>
    <w:rsid w:val="004B19E2"/>
    <w:rsid w:val="004B1D13"/>
    <w:rsid w:val="004B28A6"/>
    <w:rsid w:val="004B35A3"/>
    <w:rsid w:val="004B3F38"/>
    <w:rsid w:val="004B453A"/>
    <w:rsid w:val="004B4544"/>
    <w:rsid w:val="004B4652"/>
    <w:rsid w:val="004B4D71"/>
    <w:rsid w:val="004B564E"/>
    <w:rsid w:val="004B59E0"/>
    <w:rsid w:val="004B5E38"/>
    <w:rsid w:val="004B6020"/>
    <w:rsid w:val="004B71D1"/>
    <w:rsid w:val="004B736E"/>
    <w:rsid w:val="004B760B"/>
    <w:rsid w:val="004C03A3"/>
    <w:rsid w:val="004C0437"/>
    <w:rsid w:val="004C051C"/>
    <w:rsid w:val="004C0B13"/>
    <w:rsid w:val="004C150E"/>
    <w:rsid w:val="004C1F28"/>
    <w:rsid w:val="004C20B7"/>
    <w:rsid w:val="004C28B2"/>
    <w:rsid w:val="004C3232"/>
    <w:rsid w:val="004C36F2"/>
    <w:rsid w:val="004C4F1B"/>
    <w:rsid w:val="004C545E"/>
    <w:rsid w:val="004C6B4F"/>
    <w:rsid w:val="004C6CB3"/>
    <w:rsid w:val="004C6FBB"/>
    <w:rsid w:val="004C7060"/>
    <w:rsid w:val="004C720E"/>
    <w:rsid w:val="004C7423"/>
    <w:rsid w:val="004C758A"/>
    <w:rsid w:val="004C7716"/>
    <w:rsid w:val="004D0595"/>
    <w:rsid w:val="004D1430"/>
    <w:rsid w:val="004D196B"/>
    <w:rsid w:val="004D19F1"/>
    <w:rsid w:val="004D1CA3"/>
    <w:rsid w:val="004D20F1"/>
    <w:rsid w:val="004D23A3"/>
    <w:rsid w:val="004D2798"/>
    <w:rsid w:val="004D3324"/>
    <w:rsid w:val="004D387A"/>
    <w:rsid w:val="004D4829"/>
    <w:rsid w:val="004D4D72"/>
    <w:rsid w:val="004D5142"/>
    <w:rsid w:val="004D52D4"/>
    <w:rsid w:val="004D5806"/>
    <w:rsid w:val="004D58E8"/>
    <w:rsid w:val="004D5932"/>
    <w:rsid w:val="004D5AD8"/>
    <w:rsid w:val="004D65FE"/>
    <w:rsid w:val="004D6AC0"/>
    <w:rsid w:val="004D7006"/>
    <w:rsid w:val="004D7C2E"/>
    <w:rsid w:val="004E0375"/>
    <w:rsid w:val="004E03AD"/>
    <w:rsid w:val="004E0D24"/>
    <w:rsid w:val="004E0D82"/>
    <w:rsid w:val="004E179C"/>
    <w:rsid w:val="004E1A4D"/>
    <w:rsid w:val="004E29C3"/>
    <w:rsid w:val="004E2B97"/>
    <w:rsid w:val="004E2F63"/>
    <w:rsid w:val="004E3713"/>
    <w:rsid w:val="004E3968"/>
    <w:rsid w:val="004E39C1"/>
    <w:rsid w:val="004E45A8"/>
    <w:rsid w:val="004E4DD3"/>
    <w:rsid w:val="004E5138"/>
    <w:rsid w:val="004E5875"/>
    <w:rsid w:val="004E5F4E"/>
    <w:rsid w:val="004E628B"/>
    <w:rsid w:val="004E6DCE"/>
    <w:rsid w:val="004F0432"/>
    <w:rsid w:val="004F0552"/>
    <w:rsid w:val="004F16D1"/>
    <w:rsid w:val="004F1714"/>
    <w:rsid w:val="004F1C38"/>
    <w:rsid w:val="004F1E1B"/>
    <w:rsid w:val="004F1F81"/>
    <w:rsid w:val="004F2CA3"/>
    <w:rsid w:val="004F2E80"/>
    <w:rsid w:val="004F4435"/>
    <w:rsid w:val="004F4F5D"/>
    <w:rsid w:val="004F6D72"/>
    <w:rsid w:val="004F7682"/>
    <w:rsid w:val="004F79AB"/>
    <w:rsid w:val="00500376"/>
    <w:rsid w:val="00500732"/>
    <w:rsid w:val="00500DC1"/>
    <w:rsid w:val="00500F56"/>
    <w:rsid w:val="0050106F"/>
    <w:rsid w:val="00503519"/>
    <w:rsid w:val="0050384E"/>
    <w:rsid w:val="00503988"/>
    <w:rsid w:val="005039E1"/>
    <w:rsid w:val="00503A89"/>
    <w:rsid w:val="00503E91"/>
    <w:rsid w:val="005041AF"/>
    <w:rsid w:val="00505509"/>
    <w:rsid w:val="00505EC8"/>
    <w:rsid w:val="005064CC"/>
    <w:rsid w:val="00507022"/>
    <w:rsid w:val="0050734C"/>
    <w:rsid w:val="00507982"/>
    <w:rsid w:val="00507A85"/>
    <w:rsid w:val="00507DE4"/>
    <w:rsid w:val="00510592"/>
    <w:rsid w:val="00511168"/>
    <w:rsid w:val="00511486"/>
    <w:rsid w:val="00511741"/>
    <w:rsid w:val="005128B8"/>
    <w:rsid w:val="0051298D"/>
    <w:rsid w:val="00512A49"/>
    <w:rsid w:val="005135A9"/>
    <w:rsid w:val="00513B1B"/>
    <w:rsid w:val="00513F87"/>
    <w:rsid w:val="005141CB"/>
    <w:rsid w:val="00514C16"/>
    <w:rsid w:val="00514EBA"/>
    <w:rsid w:val="005158D4"/>
    <w:rsid w:val="00516A98"/>
    <w:rsid w:val="00516AC2"/>
    <w:rsid w:val="00516ADB"/>
    <w:rsid w:val="00516F46"/>
    <w:rsid w:val="00516FC6"/>
    <w:rsid w:val="005171FB"/>
    <w:rsid w:val="00517EDE"/>
    <w:rsid w:val="00520C50"/>
    <w:rsid w:val="00520EFA"/>
    <w:rsid w:val="00521049"/>
    <w:rsid w:val="005218B5"/>
    <w:rsid w:val="00521DEA"/>
    <w:rsid w:val="00522984"/>
    <w:rsid w:val="0052394D"/>
    <w:rsid w:val="00524C71"/>
    <w:rsid w:val="00524D7E"/>
    <w:rsid w:val="005266C6"/>
    <w:rsid w:val="00527290"/>
    <w:rsid w:val="00527B00"/>
    <w:rsid w:val="00531140"/>
    <w:rsid w:val="00531A6E"/>
    <w:rsid w:val="00532D39"/>
    <w:rsid w:val="0053308C"/>
    <w:rsid w:val="005337F9"/>
    <w:rsid w:val="00534963"/>
    <w:rsid w:val="005349C4"/>
    <w:rsid w:val="005356F1"/>
    <w:rsid w:val="00535F13"/>
    <w:rsid w:val="0053790B"/>
    <w:rsid w:val="00537EFA"/>
    <w:rsid w:val="0054028F"/>
    <w:rsid w:val="0054046E"/>
    <w:rsid w:val="00540940"/>
    <w:rsid w:val="00540E4D"/>
    <w:rsid w:val="005415E3"/>
    <w:rsid w:val="00541B86"/>
    <w:rsid w:val="0054267B"/>
    <w:rsid w:val="0054280F"/>
    <w:rsid w:val="005429CC"/>
    <w:rsid w:val="00543258"/>
    <w:rsid w:val="005434FE"/>
    <w:rsid w:val="0054386D"/>
    <w:rsid w:val="00543BD0"/>
    <w:rsid w:val="005441BD"/>
    <w:rsid w:val="00544377"/>
    <w:rsid w:val="00544981"/>
    <w:rsid w:val="0054550A"/>
    <w:rsid w:val="00545897"/>
    <w:rsid w:val="00545A71"/>
    <w:rsid w:val="00545AAE"/>
    <w:rsid w:val="005462EB"/>
    <w:rsid w:val="00546724"/>
    <w:rsid w:val="005469FE"/>
    <w:rsid w:val="00546F41"/>
    <w:rsid w:val="005477EB"/>
    <w:rsid w:val="00547B5F"/>
    <w:rsid w:val="00547FD7"/>
    <w:rsid w:val="00550C62"/>
    <w:rsid w:val="00550DC0"/>
    <w:rsid w:val="005511D9"/>
    <w:rsid w:val="005512C4"/>
    <w:rsid w:val="0055265C"/>
    <w:rsid w:val="00553925"/>
    <w:rsid w:val="00553D84"/>
    <w:rsid w:val="00554445"/>
    <w:rsid w:val="005548E1"/>
    <w:rsid w:val="00554A2D"/>
    <w:rsid w:val="00554DAE"/>
    <w:rsid w:val="005555AC"/>
    <w:rsid w:val="00555FC8"/>
    <w:rsid w:val="00556273"/>
    <w:rsid w:val="005564C9"/>
    <w:rsid w:val="00556572"/>
    <w:rsid w:val="0055689B"/>
    <w:rsid w:val="00556939"/>
    <w:rsid w:val="00556B65"/>
    <w:rsid w:val="0055777F"/>
    <w:rsid w:val="00557E7D"/>
    <w:rsid w:val="0056058C"/>
    <w:rsid w:val="00563116"/>
    <w:rsid w:val="0056348A"/>
    <w:rsid w:val="00564271"/>
    <w:rsid w:val="0056435D"/>
    <w:rsid w:val="0056501D"/>
    <w:rsid w:val="00565E98"/>
    <w:rsid w:val="005670D0"/>
    <w:rsid w:val="005674F2"/>
    <w:rsid w:val="00567BBC"/>
    <w:rsid w:val="005700EF"/>
    <w:rsid w:val="005703FA"/>
    <w:rsid w:val="00570C15"/>
    <w:rsid w:val="005717FF"/>
    <w:rsid w:val="0057265D"/>
    <w:rsid w:val="0057284F"/>
    <w:rsid w:val="00572DF3"/>
    <w:rsid w:val="005731AC"/>
    <w:rsid w:val="005733FA"/>
    <w:rsid w:val="0057391A"/>
    <w:rsid w:val="00574100"/>
    <w:rsid w:val="00574930"/>
    <w:rsid w:val="005752CE"/>
    <w:rsid w:val="00575B08"/>
    <w:rsid w:val="00576583"/>
    <w:rsid w:val="00576A02"/>
    <w:rsid w:val="00577216"/>
    <w:rsid w:val="005807DA"/>
    <w:rsid w:val="00580808"/>
    <w:rsid w:val="00580DD5"/>
    <w:rsid w:val="005821ED"/>
    <w:rsid w:val="00582A0D"/>
    <w:rsid w:val="00582ADA"/>
    <w:rsid w:val="00583040"/>
    <w:rsid w:val="005837DD"/>
    <w:rsid w:val="005838FA"/>
    <w:rsid w:val="00583A83"/>
    <w:rsid w:val="005840E4"/>
    <w:rsid w:val="0058431A"/>
    <w:rsid w:val="00584A5B"/>
    <w:rsid w:val="00584ACA"/>
    <w:rsid w:val="0058516A"/>
    <w:rsid w:val="0058549B"/>
    <w:rsid w:val="00585735"/>
    <w:rsid w:val="00585BBB"/>
    <w:rsid w:val="005860D3"/>
    <w:rsid w:val="00587462"/>
    <w:rsid w:val="0058749B"/>
    <w:rsid w:val="00590573"/>
    <w:rsid w:val="005908A8"/>
    <w:rsid w:val="0059168F"/>
    <w:rsid w:val="00591AA4"/>
    <w:rsid w:val="00591CDA"/>
    <w:rsid w:val="00591FD7"/>
    <w:rsid w:val="00592001"/>
    <w:rsid w:val="00592959"/>
    <w:rsid w:val="00592AD5"/>
    <w:rsid w:val="00592B30"/>
    <w:rsid w:val="00592C07"/>
    <w:rsid w:val="00592DA7"/>
    <w:rsid w:val="005933F9"/>
    <w:rsid w:val="00593B7C"/>
    <w:rsid w:val="00594407"/>
    <w:rsid w:val="005946FB"/>
    <w:rsid w:val="0059486F"/>
    <w:rsid w:val="00594D63"/>
    <w:rsid w:val="00594FEC"/>
    <w:rsid w:val="00595125"/>
    <w:rsid w:val="00595380"/>
    <w:rsid w:val="00595DBD"/>
    <w:rsid w:val="0059649C"/>
    <w:rsid w:val="00596F7C"/>
    <w:rsid w:val="00597004"/>
    <w:rsid w:val="0059790B"/>
    <w:rsid w:val="005A0983"/>
    <w:rsid w:val="005A10DE"/>
    <w:rsid w:val="005A164A"/>
    <w:rsid w:val="005A1CB4"/>
    <w:rsid w:val="005A1F7C"/>
    <w:rsid w:val="005A2BAD"/>
    <w:rsid w:val="005A343E"/>
    <w:rsid w:val="005A48EE"/>
    <w:rsid w:val="005A4C5B"/>
    <w:rsid w:val="005A5219"/>
    <w:rsid w:val="005A5874"/>
    <w:rsid w:val="005A5ABC"/>
    <w:rsid w:val="005A5CA7"/>
    <w:rsid w:val="005A7289"/>
    <w:rsid w:val="005B027B"/>
    <w:rsid w:val="005B03B8"/>
    <w:rsid w:val="005B1158"/>
    <w:rsid w:val="005B1797"/>
    <w:rsid w:val="005B2223"/>
    <w:rsid w:val="005B256D"/>
    <w:rsid w:val="005B2671"/>
    <w:rsid w:val="005B2A4E"/>
    <w:rsid w:val="005B2D2A"/>
    <w:rsid w:val="005B2E45"/>
    <w:rsid w:val="005B3224"/>
    <w:rsid w:val="005B3419"/>
    <w:rsid w:val="005B36B4"/>
    <w:rsid w:val="005B37C6"/>
    <w:rsid w:val="005B388B"/>
    <w:rsid w:val="005B3E34"/>
    <w:rsid w:val="005B4169"/>
    <w:rsid w:val="005B41C2"/>
    <w:rsid w:val="005B420A"/>
    <w:rsid w:val="005B48B6"/>
    <w:rsid w:val="005B4972"/>
    <w:rsid w:val="005B51D3"/>
    <w:rsid w:val="005B5248"/>
    <w:rsid w:val="005B5A33"/>
    <w:rsid w:val="005B5BB9"/>
    <w:rsid w:val="005B6303"/>
    <w:rsid w:val="005B6C61"/>
    <w:rsid w:val="005B71BF"/>
    <w:rsid w:val="005B78AA"/>
    <w:rsid w:val="005C049A"/>
    <w:rsid w:val="005C0630"/>
    <w:rsid w:val="005C0798"/>
    <w:rsid w:val="005C0A3C"/>
    <w:rsid w:val="005C1093"/>
    <w:rsid w:val="005C2629"/>
    <w:rsid w:val="005C3A47"/>
    <w:rsid w:val="005C3BCA"/>
    <w:rsid w:val="005C3D90"/>
    <w:rsid w:val="005C47E9"/>
    <w:rsid w:val="005C5BFC"/>
    <w:rsid w:val="005C602B"/>
    <w:rsid w:val="005C676E"/>
    <w:rsid w:val="005C685F"/>
    <w:rsid w:val="005C73E1"/>
    <w:rsid w:val="005C75C7"/>
    <w:rsid w:val="005C7F2A"/>
    <w:rsid w:val="005D0119"/>
    <w:rsid w:val="005D0419"/>
    <w:rsid w:val="005D04FC"/>
    <w:rsid w:val="005D0790"/>
    <w:rsid w:val="005D177F"/>
    <w:rsid w:val="005D1858"/>
    <w:rsid w:val="005D18A5"/>
    <w:rsid w:val="005D20CE"/>
    <w:rsid w:val="005D233B"/>
    <w:rsid w:val="005D279D"/>
    <w:rsid w:val="005D2BA2"/>
    <w:rsid w:val="005D33E8"/>
    <w:rsid w:val="005D3A81"/>
    <w:rsid w:val="005D3F17"/>
    <w:rsid w:val="005D408F"/>
    <w:rsid w:val="005D4169"/>
    <w:rsid w:val="005D54A5"/>
    <w:rsid w:val="005D5E2E"/>
    <w:rsid w:val="005D5F40"/>
    <w:rsid w:val="005D6FED"/>
    <w:rsid w:val="005D71EE"/>
    <w:rsid w:val="005D733A"/>
    <w:rsid w:val="005E0A00"/>
    <w:rsid w:val="005E0D05"/>
    <w:rsid w:val="005E1300"/>
    <w:rsid w:val="005E1B83"/>
    <w:rsid w:val="005E1D13"/>
    <w:rsid w:val="005E25AE"/>
    <w:rsid w:val="005E265D"/>
    <w:rsid w:val="005E2808"/>
    <w:rsid w:val="005E2BC9"/>
    <w:rsid w:val="005E3443"/>
    <w:rsid w:val="005E5900"/>
    <w:rsid w:val="005E5D45"/>
    <w:rsid w:val="005E6B68"/>
    <w:rsid w:val="005E6E3B"/>
    <w:rsid w:val="005F0AC3"/>
    <w:rsid w:val="005F0C63"/>
    <w:rsid w:val="005F1B1F"/>
    <w:rsid w:val="005F2BBE"/>
    <w:rsid w:val="005F3209"/>
    <w:rsid w:val="005F3255"/>
    <w:rsid w:val="005F332D"/>
    <w:rsid w:val="005F3628"/>
    <w:rsid w:val="005F4DDC"/>
    <w:rsid w:val="005F54D0"/>
    <w:rsid w:val="005F56DB"/>
    <w:rsid w:val="005F587D"/>
    <w:rsid w:val="005F5D87"/>
    <w:rsid w:val="005F7FD5"/>
    <w:rsid w:val="00600253"/>
    <w:rsid w:val="006002C1"/>
    <w:rsid w:val="00600F1F"/>
    <w:rsid w:val="006011DD"/>
    <w:rsid w:val="00601329"/>
    <w:rsid w:val="00601757"/>
    <w:rsid w:val="00601B26"/>
    <w:rsid w:val="00602ABE"/>
    <w:rsid w:val="00602EC3"/>
    <w:rsid w:val="00602F74"/>
    <w:rsid w:val="00603F71"/>
    <w:rsid w:val="00603FE3"/>
    <w:rsid w:val="006041D1"/>
    <w:rsid w:val="006042ED"/>
    <w:rsid w:val="00604E79"/>
    <w:rsid w:val="00604E95"/>
    <w:rsid w:val="0060525A"/>
    <w:rsid w:val="0060552E"/>
    <w:rsid w:val="00605E60"/>
    <w:rsid w:val="00606827"/>
    <w:rsid w:val="006069E9"/>
    <w:rsid w:val="00606FBD"/>
    <w:rsid w:val="00607741"/>
    <w:rsid w:val="006100F8"/>
    <w:rsid w:val="006103EB"/>
    <w:rsid w:val="006107E9"/>
    <w:rsid w:val="00610AFD"/>
    <w:rsid w:val="00611AE4"/>
    <w:rsid w:val="00612156"/>
    <w:rsid w:val="00612F41"/>
    <w:rsid w:val="0061375C"/>
    <w:rsid w:val="006138F9"/>
    <w:rsid w:val="00613A1C"/>
    <w:rsid w:val="00613ABC"/>
    <w:rsid w:val="00613C7F"/>
    <w:rsid w:val="0061412D"/>
    <w:rsid w:val="00614430"/>
    <w:rsid w:val="00614614"/>
    <w:rsid w:val="00615539"/>
    <w:rsid w:val="006157C4"/>
    <w:rsid w:val="00615ECF"/>
    <w:rsid w:val="006165FE"/>
    <w:rsid w:val="00616827"/>
    <w:rsid w:val="00616B30"/>
    <w:rsid w:val="00621450"/>
    <w:rsid w:val="006219AF"/>
    <w:rsid w:val="00621BB3"/>
    <w:rsid w:val="00621BE3"/>
    <w:rsid w:val="00622E88"/>
    <w:rsid w:val="00623380"/>
    <w:rsid w:val="00623FA5"/>
    <w:rsid w:val="006241A3"/>
    <w:rsid w:val="00624367"/>
    <w:rsid w:val="00625CEA"/>
    <w:rsid w:val="0062627E"/>
    <w:rsid w:val="006262BC"/>
    <w:rsid w:val="00626447"/>
    <w:rsid w:val="00626A85"/>
    <w:rsid w:val="00627240"/>
    <w:rsid w:val="006277BF"/>
    <w:rsid w:val="00627BB5"/>
    <w:rsid w:val="006301FC"/>
    <w:rsid w:val="00630B5C"/>
    <w:rsid w:val="00631B38"/>
    <w:rsid w:val="00632AD3"/>
    <w:rsid w:val="00633DBF"/>
    <w:rsid w:val="00634087"/>
    <w:rsid w:val="00634446"/>
    <w:rsid w:val="00634484"/>
    <w:rsid w:val="00634EBE"/>
    <w:rsid w:val="00635207"/>
    <w:rsid w:val="006353DB"/>
    <w:rsid w:val="0063582D"/>
    <w:rsid w:val="00636189"/>
    <w:rsid w:val="00636FA0"/>
    <w:rsid w:val="0064055A"/>
    <w:rsid w:val="006412FF"/>
    <w:rsid w:val="006427FA"/>
    <w:rsid w:val="00643919"/>
    <w:rsid w:val="00643BA6"/>
    <w:rsid w:val="0064452B"/>
    <w:rsid w:val="006445C5"/>
    <w:rsid w:val="00644BFD"/>
    <w:rsid w:val="00645F7B"/>
    <w:rsid w:val="0064621E"/>
    <w:rsid w:val="006464B7"/>
    <w:rsid w:val="006468F6"/>
    <w:rsid w:val="00646B05"/>
    <w:rsid w:val="00647000"/>
    <w:rsid w:val="0064745C"/>
    <w:rsid w:val="00650127"/>
    <w:rsid w:val="006503E7"/>
    <w:rsid w:val="00650413"/>
    <w:rsid w:val="00650CF4"/>
    <w:rsid w:val="006516C5"/>
    <w:rsid w:val="00651C05"/>
    <w:rsid w:val="00652565"/>
    <w:rsid w:val="00652BC8"/>
    <w:rsid w:val="00652D91"/>
    <w:rsid w:val="00653121"/>
    <w:rsid w:val="00653284"/>
    <w:rsid w:val="006535FF"/>
    <w:rsid w:val="00653C27"/>
    <w:rsid w:val="00654C78"/>
    <w:rsid w:val="00654CF9"/>
    <w:rsid w:val="006560DD"/>
    <w:rsid w:val="00656263"/>
    <w:rsid w:val="00656363"/>
    <w:rsid w:val="00656886"/>
    <w:rsid w:val="00660256"/>
    <w:rsid w:val="006605FF"/>
    <w:rsid w:val="006610AF"/>
    <w:rsid w:val="00661CFF"/>
    <w:rsid w:val="00661D0D"/>
    <w:rsid w:val="00662762"/>
    <w:rsid w:val="0066288D"/>
    <w:rsid w:val="00662B88"/>
    <w:rsid w:val="00662C56"/>
    <w:rsid w:val="00662FB9"/>
    <w:rsid w:val="0066422B"/>
    <w:rsid w:val="006646DE"/>
    <w:rsid w:val="00665D60"/>
    <w:rsid w:val="006660D4"/>
    <w:rsid w:val="0066641D"/>
    <w:rsid w:val="00666A69"/>
    <w:rsid w:val="00670453"/>
    <w:rsid w:val="00670A08"/>
    <w:rsid w:val="00670A15"/>
    <w:rsid w:val="00671FDC"/>
    <w:rsid w:val="0067271E"/>
    <w:rsid w:val="00672727"/>
    <w:rsid w:val="00672D69"/>
    <w:rsid w:val="00672E79"/>
    <w:rsid w:val="00673C07"/>
    <w:rsid w:val="006741B6"/>
    <w:rsid w:val="0067511E"/>
    <w:rsid w:val="00675EDF"/>
    <w:rsid w:val="00676056"/>
    <w:rsid w:val="00676284"/>
    <w:rsid w:val="00676DFD"/>
    <w:rsid w:val="00677724"/>
    <w:rsid w:val="00677876"/>
    <w:rsid w:val="00677DE5"/>
    <w:rsid w:val="006809F9"/>
    <w:rsid w:val="00680B7E"/>
    <w:rsid w:val="0068187D"/>
    <w:rsid w:val="00682ED3"/>
    <w:rsid w:val="00682FD2"/>
    <w:rsid w:val="00683C84"/>
    <w:rsid w:val="00683D3B"/>
    <w:rsid w:val="0068438C"/>
    <w:rsid w:val="00684422"/>
    <w:rsid w:val="00684AA6"/>
    <w:rsid w:val="00684C90"/>
    <w:rsid w:val="00685504"/>
    <w:rsid w:val="006855A3"/>
    <w:rsid w:val="006856EA"/>
    <w:rsid w:val="00685B3B"/>
    <w:rsid w:val="00686202"/>
    <w:rsid w:val="00686840"/>
    <w:rsid w:val="00686A90"/>
    <w:rsid w:val="00686BF2"/>
    <w:rsid w:val="00686F7C"/>
    <w:rsid w:val="0068748D"/>
    <w:rsid w:val="00687E13"/>
    <w:rsid w:val="00690303"/>
    <w:rsid w:val="00690A3D"/>
    <w:rsid w:val="00690A58"/>
    <w:rsid w:val="00690ACE"/>
    <w:rsid w:val="0069103A"/>
    <w:rsid w:val="0069121E"/>
    <w:rsid w:val="0069127A"/>
    <w:rsid w:val="0069133A"/>
    <w:rsid w:val="00691839"/>
    <w:rsid w:val="00691F09"/>
    <w:rsid w:val="0069470B"/>
    <w:rsid w:val="006948DE"/>
    <w:rsid w:val="00694983"/>
    <w:rsid w:val="00694B3C"/>
    <w:rsid w:val="00695721"/>
    <w:rsid w:val="00695899"/>
    <w:rsid w:val="00695AD0"/>
    <w:rsid w:val="00696A05"/>
    <w:rsid w:val="00696ECC"/>
    <w:rsid w:val="006972E8"/>
    <w:rsid w:val="0069775F"/>
    <w:rsid w:val="006978FC"/>
    <w:rsid w:val="00697D4D"/>
    <w:rsid w:val="006A02AC"/>
    <w:rsid w:val="006A0CE3"/>
    <w:rsid w:val="006A0DAF"/>
    <w:rsid w:val="006A1272"/>
    <w:rsid w:val="006A13C6"/>
    <w:rsid w:val="006A2210"/>
    <w:rsid w:val="006A2729"/>
    <w:rsid w:val="006A2B30"/>
    <w:rsid w:val="006A32F1"/>
    <w:rsid w:val="006A34B2"/>
    <w:rsid w:val="006A3F90"/>
    <w:rsid w:val="006A5383"/>
    <w:rsid w:val="006A640F"/>
    <w:rsid w:val="006A662F"/>
    <w:rsid w:val="006A672B"/>
    <w:rsid w:val="006A6893"/>
    <w:rsid w:val="006A6973"/>
    <w:rsid w:val="006A6CFF"/>
    <w:rsid w:val="006A6F57"/>
    <w:rsid w:val="006A6FC0"/>
    <w:rsid w:val="006A7580"/>
    <w:rsid w:val="006A76D5"/>
    <w:rsid w:val="006A7F9D"/>
    <w:rsid w:val="006A7FB4"/>
    <w:rsid w:val="006B0B4F"/>
    <w:rsid w:val="006B1E28"/>
    <w:rsid w:val="006B2AEC"/>
    <w:rsid w:val="006B32D4"/>
    <w:rsid w:val="006B36D7"/>
    <w:rsid w:val="006B3F20"/>
    <w:rsid w:val="006B508F"/>
    <w:rsid w:val="006B524A"/>
    <w:rsid w:val="006B710F"/>
    <w:rsid w:val="006B7757"/>
    <w:rsid w:val="006C00B1"/>
    <w:rsid w:val="006C058F"/>
    <w:rsid w:val="006C0638"/>
    <w:rsid w:val="006C0991"/>
    <w:rsid w:val="006C121E"/>
    <w:rsid w:val="006C1291"/>
    <w:rsid w:val="006C1A7E"/>
    <w:rsid w:val="006C22F9"/>
    <w:rsid w:val="006C2875"/>
    <w:rsid w:val="006C2C30"/>
    <w:rsid w:val="006C320B"/>
    <w:rsid w:val="006C3387"/>
    <w:rsid w:val="006C34A6"/>
    <w:rsid w:val="006C5416"/>
    <w:rsid w:val="006C553C"/>
    <w:rsid w:val="006C591A"/>
    <w:rsid w:val="006C59B2"/>
    <w:rsid w:val="006C5B4E"/>
    <w:rsid w:val="006C5C68"/>
    <w:rsid w:val="006C5DB6"/>
    <w:rsid w:val="006C5F89"/>
    <w:rsid w:val="006C650D"/>
    <w:rsid w:val="006C65CA"/>
    <w:rsid w:val="006C6A07"/>
    <w:rsid w:val="006C6FAD"/>
    <w:rsid w:val="006C763F"/>
    <w:rsid w:val="006D06E7"/>
    <w:rsid w:val="006D1098"/>
    <w:rsid w:val="006D1C0C"/>
    <w:rsid w:val="006D238B"/>
    <w:rsid w:val="006D379F"/>
    <w:rsid w:val="006D3FEC"/>
    <w:rsid w:val="006D4548"/>
    <w:rsid w:val="006D5AF9"/>
    <w:rsid w:val="006D62AF"/>
    <w:rsid w:val="006D6E83"/>
    <w:rsid w:val="006E2BA9"/>
    <w:rsid w:val="006E2EC3"/>
    <w:rsid w:val="006E3759"/>
    <w:rsid w:val="006E3A35"/>
    <w:rsid w:val="006E3A5A"/>
    <w:rsid w:val="006E401E"/>
    <w:rsid w:val="006E4066"/>
    <w:rsid w:val="006E415D"/>
    <w:rsid w:val="006E4BEE"/>
    <w:rsid w:val="006E51B5"/>
    <w:rsid w:val="006E54E4"/>
    <w:rsid w:val="006E5612"/>
    <w:rsid w:val="006E6712"/>
    <w:rsid w:val="006E6D5D"/>
    <w:rsid w:val="006E72AE"/>
    <w:rsid w:val="006E7D4A"/>
    <w:rsid w:val="006E7D8F"/>
    <w:rsid w:val="006E7FBB"/>
    <w:rsid w:val="006F01F5"/>
    <w:rsid w:val="006F0906"/>
    <w:rsid w:val="006F10C0"/>
    <w:rsid w:val="006F1A08"/>
    <w:rsid w:val="006F2691"/>
    <w:rsid w:val="006F32CE"/>
    <w:rsid w:val="006F34D7"/>
    <w:rsid w:val="006F5643"/>
    <w:rsid w:val="006F609C"/>
    <w:rsid w:val="006F6CA8"/>
    <w:rsid w:val="006F7D53"/>
    <w:rsid w:val="006F7DAA"/>
    <w:rsid w:val="006F7E56"/>
    <w:rsid w:val="006F7E74"/>
    <w:rsid w:val="0070007C"/>
    <w:rsid w:val="007001D9"/>
    <w:rsid w:val="0070059B"/>
    <w:rsid w:val="00700B5E"/>
    <w:rsid w:val="0070151A"/>
    <w:rsid w:val="0070179E"/>
    <w:rsid w:val="00701846"/>
    <w:rsid w:val="00702A14"/>
    <w:rsid w:val="00702EC3"/>
    <w:rsid w:val="00703D08"/>
    <w:rsid w:val="00704146"/>
    <w:rsid w:val="00704370"/>
    <w:rsid w:val="00704B9C"/>
    <w:rsid w:val="00704ECB"/>
    <w:rsid w:val="00706A74"/>
    <w:rsid w:val="00706B06"/>
    <w:rsid w:val="00706B96"/>
    <w:rsid w:val="00707B5D"/>
    <w:rsid w:val="00707F05"/>
    <w:rsid w:val="007100CC"/>
    <w:rsid w:val="007102D6"/>
    <w:rsid w:val="007112C9"/>
    <w:rsid w:val="007118AA"/>
    <w:rsid w:val="0071256E"/>
    <w:rsid w:val="00712709"/>
    <w:rsid w:val="007127FF"/>
    <w:rsid w:val="007147A2"/>
    <w:rsid w:val="00714857"/>
    <w:rsid w:val="007150CF"/>
    <w:rsid w:val="007153E5"/>
    <w:rsid w:val="00715447"/>
    <w:rsid w:val="007154A8"/>
    <w:rsid w:val="00715680"/>
    <w:rsid w:val="00715CCF"/>
    <w:rsid w:val="007169C6"/>
    <w:rsid w:val="007178EE"/>
    <w:rsid w:val="007178F4"/>
    <w:rsid w:val="00720062"/>
    <w:rsid w:val="00720E02"/>
    <w:rsid w:val="00721398"/>
    <w:rsid w:val="0072152B"/>
    <w:rsid w:val="0072491D"/>
    <w:rsid w:val="00724AC0"/>
    <w:rsid w:val="007250CA"/>
    <w:rsid w:val="00725112"/>
    <w:rsid w:val="00725312"/>
    <w:rsid w:val="00726314"/>
    <w:rsid w:val="007266E6"/>
    <w:rsid w:val="00726FE9"/>
    <w:rsid w:val="0072727D"/>
    <w:rsid w:val="007273D2"/>
    <w:rsid w:val="007303C4"/>
    <w:rsid w:val="007306B9"/>
    <w:rsid w:val="0073147B"/>
    <w:rsid w:val="00731AB0"/>
    <w:rsid w:val="00731FB9"/>
    <w:rsid w:val="007320FF"/>
    <w:rsid w:val="00732824"/>
    <w:rsid w:val="00733180"/>
    <w:rsid w:val="00733358"/>
    <w:rsid w:val="00733F90"/>
    <w:rsid w:val="007346BA"/>
    <w:rsid w:val="00734ECC"/>
    <w:rsid w:val="00735775"/>
    <w:rsid w:val="007368D2"/>
    <w:rsid w:val="007369D6"/>
    <w:rsid w:val="00736DF9"/>
    <w:rsid w:val="00737794"/>
    <w:rsid w:val="00737D0A"/>
    <w:rsid w:val="00737F1F"/>
    <w:rsid w:val="007406E3"/>
    <w:rsid w:val="00740BF1"/>
    <w:rsid w:val="00741233"/>
    <w:rsid w:val="00741723"/>
    <w:rsid w:val="007418CB"/>
    <w:rsid w:val="0074208A"/>
    <w:rsid w:val="007425D8"/>
    <w:rsid w:val="00742C6D"/>
    <w:rsid w:val="00742D3B"/>
    <w:rsid w:val="00742FEF"/>
    <w:rsid w:val="007437F0"/>
    <w:rsid w:val="007451DE"/>
    <w:rsid w:val="007461D7"/>
    <w:rsid w:val="00746B5A"/>
    <w:rsid w:val="00747536"/>
    <w:rsid w:val="00747BB6"/>
    <w:rsid w:val="00747DA6"/>
    <w:rsid w:val="00750691"/>
    <w:rsid w:val="0075090F"/>
    <w:rsid w:val="00750938"/>
    <w:rsid w:val="007519DC"/>
    <w:rsid w:val="007530ED"/>
    <w:rsid w:val="00753677"/>
    <w:rsid w:val="00753A44"/>
    <w:rsid w:val="0075452F"/>
    <w:rsid w:val="0075479B"/>
    <w:rsid w:val="00754C7C"/>
    <w:rsid w:val="00755028"/>
    <w:rsid w:val="007551F4"/>
    <w:rsid w:val="00755528"/>
    <w:rsid w:val="00755C11"/>
    <w:rsid w:val="00756696"/>
    <w:rsid w:val="0076001F"/>
    <w:rsid w:val="007600E7"/>
    <w:rsid w:val="00760496"/>
    <w:rsid w:val="00760C9F"/>
    <w:rsid w:val="00760F27"/>
    <w:rsid w:val="00761936"/>
    <w:rsid w:val="00762509"/>
    <w:rsid w:val="00762701"/>
    <w:rsid w:val="007629F5"/>
    <w:rsid w:val="00762DF0"/>
    <w:rsid w:val="007637D5"/>
    <w:rsid w:val="00764367"/>
    <w:rsid w:val="00764790"/>
    <w:rsid w:val="00764862"/>
    <w:rsid w:val="00765355"/>
    <w:rsid w:val="00765A6D"/>
    <w:rsid w:val="007675A8"/>
    <w:rsid w:val="00767EB1"/>
    <w:rsid w:val="00770DEF"/>
    <w:rsid w:val="00770F6D"/>
    <w:rsid w:val="0077115C"/>
    <w:rsid w:val="0077150B"/>
    <w:rsid w:val="00771752"/>
    <w:rsid w:val="007718D7"/>
    <w:rsid w:val="007725CC"/>
    <w:rsid w:val="0077264E"/>
    <w:rsid w:val="00773245"/>
    <w:rsid w:val="007738AE"/>
    <w:rsid w:val="00773948"/>
    <w:rsid w:val="00774D49"/>
    <w:rsid w:val="00774F6D"/>
    <w:rsid w:val="0077501C"/>
    <w:rsid w:val="00775270"/>
    <w:rsid w:val="0077574C"/>
    <w:rsid w:val="00776226"/>
    <w:rsid w:val="0077679F"/>
    <w:rsid w:val="0078011F"/>
    <w:rsid w:val="007801EA"/>
    <w:rsid w:val="0078039D"/>
    <w:rsid w:val="00780579"/>
    <w:rsid w:val="00780ED9"/>
    <w:rsid w:val="00781233"/>
    <w:rsid w:val="00781A4F"/>
    <w:rsid w:val="00781FC4"/>
    <w:rsid w:val="00782058"/>
    <w:rsid w:val="0078206F"/>
    <w:rsid w:val="0078208A"/>
    <w:rsid w:val="00783F4C"/>
    <w:rsid w:val="0078454A"/>
    <w:rsid w:val="007846CE"/>
    <w:rsid w:val="00784B79"/>
    <w:rsid w:val="00784CDD"/>
    <w:rsid w:val="007855DB"/>
    <w:rsid w:val="007856E2"/>
    <w:rsid w:val="007857FE"/>
    <w:rsid w:val="0078717E"/>
    <w:rsid w:val="007876CF"/>
    <w:rsid w:val="00787EFE"/>
    <w:rsid w:val="00787F04"/>
    <w:rsid w:val="0079016A"/>
    <w:rsid w:val="0079139E"/>
    <w:rsid w:val="007918D2"/>
    <w:rsid w:val="00791B24"/>
    <w:rsid w:val="00791CCB"/>
    <w:rsid w:val="00791E2D"/>
    <w:rsid w:val="00791F26"/>
    <w:rsid w:val="00792284"/>
    <w:rsid w:val="00792C72"/>
    <w:rsid w:val="007931E5"/>
    <w:rsid w:val="007931E9"/>
    <w:rsid w:val="00793DF5"/>
    <w:rsid w:val="00794173"/>
    <w:rsid w:val="007945EC"/>
    <w:rsid w:val="00794CAC"/>
    <w:rsid w:val="00795EB6"/>
    <w:rsid w:val="0079675C"/>
    <w:rsid w:val="00796CA1"/>
    <w:rsid w:val="00797C17"/>
    <w:rsid w:val="007A12A4"/>
    <w:rsid w:val="007A18FF"/>
    <w:rsid w:val="007A1EB8"/>
    <w:rsid w:val="007A1F04"/>
    <w:rsid w:val="007A2FA2"/>
    <w:rsid w:val="007A2FA6"/>
    <w:rsid w:val="007A376F"/>
    <w:rsid w:val="007A3CF3"/>
    <w:rsid w:val="007A3D2B"/>
    <w:rsid w:val="007A4015"/>
    <w:rsid w:val="007A44C4"/>
    <w:rsid w:val="007A4504"/>
    <w:rsid w:val="007A4542"/>
    <w:rsid w:val="007A4558"/>
    <w:rsid w:val="007A45D2"/>
    <w:rsid w:val="007A4840"/>
    <w:rsid w:val="007A5DC1"/>
    <w:rsid w:val="007A6949"/>
    <w:rsid w:val="007A7A5E"/>
    <w:rsid w:val="007B00D9"/>
    <w:rsid w:val="007B01C8"/>
    <w:rsid w:val="007B01FC"/>
    <w:rsid w:val="007B0315"/>
    <w:rsid w:val="007B096F"/>
    <w:rsid w:val="007B0995"/>
    <w:rsid w:val="007B0B87"/>
    <w:rsid w:val="007B11BC"/>
    <w:rsid w:val="007B1237"/>
    <w:rsid w:val="007B164C"/>
    <w:rsid w:val="007B1733"/>
    <w:rsid w:val="007B21EE"/>
    <w:rsid w:val="007B25CA"/>
    <w:rsid w:val="007B287C"/>
    <w:rsid w:val="007B28BB"/>
    <w:rsid w:val="007B2C53"/>
    <w:rsid w:val="007B2FF8"/>
    <w:rsid w:val="007B399B"/>
    <w:rsid w:val="007B4112"/>
    <w:rsid w:val="007B4852"/>
    <w:rsid w:val="007B536B"/>
    <w:rsid w:val="007B599A"/>
    <w:rsid w:val="007B61FC"/>
    <w:rsid w:val="007B62F3"/>
    <w:rsid w:val="007B65CF"/>
    <w:rsid w:val="007B6834"/>
    <w:rsid w:val="007B6A55"/>
    <w:rsid w:val="007B6ECE"/>
    <w:rsid w:val="007B7EFE"/>
    <w:rsid w:val="007C175C"/>
    <w:rsid w:val="007C27F2"/>
    <w:rsid w:val="007C2EEE"/>
    <w:rsid w:val="007C3668"/>
    <w:rsid w:val="007C45A7"/>
    <w:rsid w:val="007C466A"/>
    <w:rsid w:val="007C49CD"/>
    <w:rsid w:val="007C4B5A"/>
    <w:rsid w:val="007C5F98"/>
    <w:rsid w:val="007C6032"/>
    <w:rsid w:val="007C633C"/>
    <w:rsid w:val="007C6A2B"/>
    <w:rsid w:val="007C7B73"/>
    <w:rsid w:val="007C7F5E"/>
    <w:rsid w:val="007D0A9E"/>
    <w:rsid w:val="007D1333"/>
    <w:rsid w:val="007D1906"/>
    <w:rsid w:val="007D2F5C"/>
    <w:rsid w:val="007D2FA1"/>
    <w:rsid w:val="007D3BA9"/>
    <w:rsid w:val="007D4736"/>
    <w:rsid w:val="007D56FE"/>
    <w:rsid w:val="007D59CD"/>
    <w:rsid w:val="007D5B2E"/>
    <w:rsid w:val="007D61D1"/>
    <w:rsid w:val="007D6403"/>
    <w:rsid w:val="007D69BA"/>
    <w:rsid w:val="007D6B29"/>
    <w:rsid w:val="007D6DC9"/>
    <w:rsid w:val="007D7447"/>
    <w:rsid w:val="007E0341"/>
    <w:rsid w:val="007E03DE"/>
    <w:rsid w:val="007E0746"/>
    <w:rsid w:val="007E09F5"/>
    <w:rsid w:val="007E0B7E"/>
    <w:rsid w:val="007E0D7E"/>
    <w:rsid w:val="007E11C4"/>
    <w:rsid w:val="007E1FBB"/>
    <w:rsid w:val="007E2142"/>
    <w:rsid w:val="007E3E22"/>
    <w:rsid w:val="007E3E64"/>
    <w:rsid w:val="007E4E70"/>
    <w:rsid w:val="007E5654"/>
    <w:rsid w:val="007E5C3B"/>
    <w:rsid w:val="007E634B"/>
    <w:rsid w:val="007E66B8"/>
    <w:rsid w:val="007E6F4C"/>
    <w:rsid w:val="007E727E"/>
    <w:rsid w:val="007E728E"/>
    <w:rsid w:val="007E760F"/>
    <w:rsid w:val="007E784B"/>
    <w:rsid w:val="007E7E19"/>
    <w:rsid w:val="007F054D"/>
    <w:rsid w:val="007F062B"/>
    <w:rsid w:val="007F08B9"/>
    <w:rsid w:val="007F15B5"/>
    <w:rsid w:val="007F1A0D"/>
    <w:rsid w:val="007F2EBE"/>
    <w:rsid w:val="007F30B2"/>
    <w:rsid w:val="007F37AF"/>
    <w:rsid w:val="007F38FF"/>
    <w:rsid w:val="007F3A63"/>
    <w:rsid w:val="007F407B"/>
    <w:rsid w:val="007F5200"/>
    <w:rsid w:val="007F5481"/>
    <w:rsid w:val="007F7E9A"/>
    <w:rsid w:val="00800DA9"/>
    <w:rsid w:val="00801F78"/>
    <w:rsid w:val="008025FE"/>
    <w:rsid w:val="008033E6"/>
    <w:rsid w:val="00803EE4"/>
    <w:rsid w:val="00803F1C"/>
    <w:rsid w:val="00804501"/>
    <w:rsid w:val="00804C77"/>
    <w:rsid w:val="00805C36"/>
    <w:rsid w:val="00805C99"/>
    <w:rsid w:val="0080637D"/>
    <w:rsid w:val="00806534"/>
    <w:rsid w:val="00806F62"/>
    <w:rsid w:val="00807394"/>
    <w:rsid w:val="00807571"/>
    <w:rsid w:val="00807BDB"/>
    <w:rsid w:val="0081009F"/>
    <w:rsid w:val="0081081E"/>
    <w:rsid w:val="0081082A"/>
    <w:rsid w:val="008112BD"/>
    <w:rsid w:val="00811B7D"/>
    <w:rsid w:val="00811D10"/>
    <w:rsid w:val="008125ED"/>
    <w:rsid w:val="00812DA2"/>
    <w:rsid w:val="00812E17"/>
    <w:rsid w:val="008131A7"/>
    <w:rsid w:val="00813485"/>
    <w:rsid w:val="00813BE0"/>
    <w:rsid w:val="00814036"/>
    <w:rsid w:val="0081472F"/>
    <w:rsid w:val="008147DD"/>
    <w:rsid w:val="00814CA0"/>
    <w:rsid w:val="00815B5E"/>
    <w:rsid w:val="00815D89"/>
    <w:rsid w:val="0081774D"/>
    <w:rsid w:val="0081778B"/>
    <w:rsid w:val="00817C66"/>
    <w:rsid w:val="008200E4"/>
    <w:rsid w:val="008205BA"/>
    <w:rsid w:val="00820700"/>
    <w:rsid w:val="00821605"/>
    <w:rsid w:val="00821672"/>
    <w:rsid w:val="0082167E"/>
    <w:rsid w:val="008218D9"/>
    <w:rsid w:val="008226AD"/>
    <w:rsid w:val="00822D55"/>
    <w:rsid w:val="00822E27"/>
    <w:rsid w:val="0082384E"/>
    <w:rsid w:val="008239C2"/>
    <w:rsid w:val="00823AD0"/>
    <w:rsid w:val="00823E3A"/>
    <w:rsid w:val="00824391"/>
    <w:rsid w:val="008253F7"/>
    <w:rsid w:val="0082589E"/>
    <w:rsid w:val="008258C3"/>
    <w:rsid w:val="00826650"/>
    <w:rsid w:val="00826D94"/>
    <w:rsid w:val="00827538"/>
    <w:rsid w:val="00827CD0"/>
    <w:rsid w:val="00830278"/>
    <w:rsid w:val="00830A26"/>
    <w:rsid w:val="00830BFB"/>
    <w:rsid w:val="00830DA2"/>
    <w:rsid w:val="00831613"/>
    <w:rsid w:val="00831B8E"/>
    <w:rsid w:val="00831E1D"/>
    <w:rsid w:val="00831F23"/>
    <w:rsid w:val="00832205"/>
    <w:rsid w:val="008325A1"/>
    <w:rsid w:val="00832681"/>
    <w:rsid w:val="00832CD8"/>
    <w:rsid w:val="0083321E"/>
    <w:rsid w:val="00833630"/>
    <w:rsid w:val="00833B82"/>
    <w:rsid w:val="0083412F"/>
    <w:rsid w:val="008343A6"/>
    <w:rsid w:val="00834749"/>
    <w:rsid w:val="00834C69"/>
    <w:rsid w:val="00835064"/>
    <w:rsid w:val="0083606F"/>
    <w:rsid w:val="00836324"/>
    <w:rsid w:val="008368FB"/>
    <w:rsid w:val="008369EF"/>
    <w:rsid w:val="00836F1D"/>
    <w:rsid w:val="00837572"/>
    <w:rsid w:val="008406E6"/>
    <w:rsid w:val="00840714"/>
    <w:rsid w:val="00840D75"/>
    <w:rsid w:val="00840E22"/>
    <w:rsid w:val="00840E98"/>
    <w:rsid w:val="00841E15"/>
    <w:rsid w:val="00842159"/>
    <w:rsid w:val="00842543"/>
    <w:rsid w:val="00843951"/>
    <w:rsid w:val="00844546"/>
    <w:rsid w:val="008448A2"/>
    <w:rsid w:val="00844DF1"/>
    <w:rsid w:val="00844E17"/>
    <w:rsid w:val="008451F0"/>
    <w:rsid w:val="008457CE"/>
    <w:rsid w:val="00845D5A"/>
    <w:rsid w:val="008468C5"/>
    <w:rsid w:val="00847136"/>
    <w:rsid w:val="008472B4"/>
    <w:rsid w:val="0084785C"/>
    <w:rsid w:val="00850C2A"/>
    <w:rsid w:val="008515F5"/>
    <w:rsid w:val="0085182C"/>
    <w:rsid w:val="00851B99"/>
    <w:rsid w:val="008522B5"/>
    <w:rsid w:val="008524D3"/>
    <w:rsid w:val="00852663"/>
    <w:rsid w:val="00852BBD"/>
    <w:rsid w:val="0085337C"/>
    <w:rsid w:val="00853711"/>
    <w:rsid w:val="00853F16"/>
    <w:rsid w:val="008542F6"/>
    <w:rsid w:val="00854839"/>
    <w:rsid w:val="00856965"/>
    <w:rsid w:val="00856B96"/>
    <w:rsid w:val="00856CDF"/>
    <w:rsid w:val="00856D67"/>
    <w:rsid w:val="00857416"/>
    <w:rsid w:val="00857932"/>
    <w:rsid w:val="00857D67"/>
    <w:rsid w:val="00860230"/>
    <w:rsid w:val="00860E8C"/>
    <w:rsid w:val="008615B9"/>
    <w:rsid w:val="008619D9"/>
    <w:rsid w:val="00861A3D"/>
    <w:rsid w:val="00861BA3"/>
    <w:rsid w:val="00862C03"/>
    <w:rsid w:val="008634A6"/>
    <w:rsid w:val="00863869"/>
    <w:rsid w:val="00863AF3"/>
    <w:rsid w:val="00864CBB"/>
    <w:rsid w:val="00864E1B"/>
    <w:rsid w:val="0086546D"/>
    <w:rsid w:val="00865761"/>
    <w:rsid w:val="00865791"/>
    <w:rsid w:val="008659B4"/>
    <w:rsid w:val="008661AD"/>
    <w:rsid w:val="0086671F"/>
    <w:rsid w:val="008669B1"/>
    <w:rsid w:val="00866FB5"/>
    <w:rsid w:val="00867472"/>
    <w:rsid w:val="00867654"/>
    <w:rsid w:val="00867B6F"/>
    <w:rsid w:val="00867E77"/>
    <w:rsid w:val="00870460"/>
    <w:rsid w:val="00870633"/>
    <w:rsid w:val="00870D02"/>
    <w:rsid w:val="008716C0"/>
    <w:rsid w:val="00871AED"/>
    <w:rsid w:val="00871B3D"/>
    <w:rsid w:val="008720B5"/>
    <w:rsid w:val="008721AE"/>
    <w:rsid w:val="00872501"/>
    <w:rsid w:val="008725C2"/>
    <w:rsid w:val="00872A94"/>
    <w:rsid w:val="008730C6"/>
    <w:rsid w:val="00873701"/>
    <w:rsid w:val="00873C3D"/>
    <w:rsid w:val="008743A9"/>
    <w:rsid w:val="0087467F"/>
    <w:rsid w:val="00876006"/>
    <w:rsid w:val="008774CA"/>
    <w:rsid w:val="00877C55"/>
    <w:rsid w:val="00880664"/>
    <w:rsid w:val="00880C18"/>
    <w:rsid w:val="00880F69"/>
    <w:rsid w:val="00881301"/>
    <w:rsid w:val="00881547"/>
    <w:rsid w:val="00881800"/>
    <w:rsid w:val="008818C2"/>
    <w:rsid w:val="00881CA5"/>
    <w:rsid w:val="00882434"/>
    <w:rsid w:val="00882E7F"/>
    <w:rsid w:val="00882E8D"/>
    <w:rsid w:val="008835C2"/>
    <w:rsid w:val="00883AEE"/>
    <w:rsid w:val="00883E33"/>
    <w:rsid w:val="00883E81"/>
    <w:rsid w:val="008841F0"/>
    <w:rsid w:val="00884738"/>
    <w:rsid w:val="0088490A"/>
    <w:rsid w:val="00884A02"/>
    <w:rsid w:val="008850E6"/>
    <w:rsid w:val="00885A19"/>
    <w:rsid w:val="00885E40"/>
    <w:rsid w:val="008868D3"/>
    <w:rsid w:val="008868DA"/>
    <w:rsid w:val="00886BBF"/>
    <w:rsid w:val="00887183"/>
    <w:rsid w:val="008874EE"/>
    <w:rsid w:val="00887675"/>
    <w:rsid w:val="00887FB1"/>
    <w:rsid w:val="00890909"/>
    <w:rsid w:val="00890BB4"/>
    <w:rsid w:val="00890F66"/>
    <w:rsid w:val="0089104E"/>
    <w:rsid w:val="00891AAC"/>
    <w:rsid w:val="00891D3F"/>
    <w:rsid w:val="0089201D"/>
    <w:rsid w:val="0089212D"/>
    <w:rsid w:val="0089255F"/>
    <w:rsid w:val="008935BA"/>
    <w:rsid w:val="00894346"/>
    <w:rsid w:val="008944B8"/>
    <w:rsid w:val="008944BF"/>
    <w:rsid w:val="008959F0"/>
    <w:rsid w:val="008962FB"/>
    <w:rsid w:val="00896375"/>
    <w:rsid w:val="008974AD"/>
    <w:rsid w:val="00897D54"/>
    <w:rsid w:val="008A09BC"/>
    <w:rsid w:val="008A18CD"/>
    <w:rsid w:val="008A1F56"/>
    <w:rsid w:val="008A2719"/>
    <w:rsid w:val="008A320C"/>
    <w:rsid w:val="008A343A"/>
    <w:rsid w:val="008A3D7E"/>
    <w:rsid w:val="008A43A4"/>
    <w:rsid w:val="008A4E7E"/>
    <w:rsid w:val="008A4EAC"/>
    <w:rsid w:val="008A579A"/>
    <w:rsid w:val="008A5B2A"/>
    <w:rsid w:val="008A629E"/>
    <w:rsid w:val="008A6DD6"/>
    <w:rsid w:val="008A6DEB"/>
    <w:rsid w:val="008A6F2D"/>
    <w:rsid w:val="008A72DA"/>
    <w:rsid w:val="008A7C12"/>
    <w:rsid w:val="008A7DF5"/>
    <w:rsid w:val="008B08BF"/>
    <w:rsid w:val="008B0FFB"/>
    <w:rsid w:val="008B1335"/>
    <w:rsid w:val="008B16B4"/>
    <w:rsid w:val="008B1F03"/>
    <w:rsid w:val="008B1F6A"/>
    <w:rsid w:val="008B20BD"/>
    <w:rsid w:val="008B21D6"/>
    <w:rsid w:val="008B512E"/>
    <w:rsid w:val="008B563A"/>
    <w:rsid w:val="008B5F4F"/>
    <w:rsid w:val="008B6136"/>
    <w:rsid w:val="008B7113"/>
    <w:rsid w:val="008B77EB"/>
    <w:rsid w:val="008C0297"/>
    <w:rsid w:val="008C09F0"/>
    <w:rsid w:val="008C0BCE"/>
    <w:rsid w:val="008C0D87"/>
    <w:rsid w:val="008C0EC8"/>
    <w:rsid w:val="008C1DF3"/>
    <w:rsid w:val="008C2522"/>
    <w:rsid w:val="008C2981"/>
    <w:rsid w:val="008C2BFB"/>
    <w:rsid w:val="008C2F09"/>
    <w:rsid w:val="008C2F3C"/>
    <w:rsid w:val="008C3292"/>
    <w:rsid w:val="008C35E5"/>
    <w:rsid w:val="008C4432"/>
    <w:rsid w:val="008C5F51"/>
    <w:rsid w:val="008D05C4"/>
    <w:rsid w:val="008D0C36"/>
    <w:rsid w:val="008D1672"/>
    <w:rsid w:val="008D20A1"/>
    <w:rsid w:val="008D29C1"/>
    <w:rsid w:val="008D2C1A"/>
    <w:rsid w:val="008D3195"/>
    <w:rsid w:val="008D39DC"/>
    <w:rsid w:val="008D500F"/>
    <w:rsid w:val="008D55FA"/>
    <w:rsid w:val="008D66D6"/>
    <w:rsid w:val="008D67D0"/>
    <w:rsid w:val="008D6CBB"/>
    <w:rsid w:val="008D7658"/>
    <w:rsid w:val="008E099C"/>
    <w:rsid w:val="008E1174"/>
    <w:rsid w:val="008E161E"/>
    <w:rsid w:val="008E19FD"/>
    <w:rsid w:val="008E1B12"/>
    <w:rsid w:val="008E3565"/>
    <w:rsid w:val="008E3A6D"/>
    <w:rsid w:val="008E4109"/>
    <w:rsid w:val="008E47A5"/>
    <w:rsid w:val="008E56D3"/>
    <w:rsid w:val="008E5D1F"/>
    <w:rsid w:val="008E5DB4"/>
    <w:rsid w:val="008E75DB"/>
    <w:rsid w:val="008E794B"/>
    <w:rsid w:val="008F0022"/>
    <w:rsid w:val="008F04C4"/>
    <w:rsid w:val="008F05B9"/>
    <w:rsid w:val="008F0ABF"/>
    <w:rsid w:val="008F0EAB"/>
    <w:rsid w:val="008F17B5"/>
    <w:rsid w:val="008F3DCB"/>
    <w:rsid w:val="008F416F"/>
    <w:rsid w:val="008F42DD"/>
    <w:rsid w:val="008F4B2D"/>
    <w:rsid w:val="008F5028"/>
    <w:rsid w:val="008F51DB"/>
    <w:rsid w:val="008F58C6"/>
    <w:rsid w:val="008F5A2F"/>
    <w:rsid w:val="008F63C3"/>
    <w:rsid w:val="008F6B98"/>
    <w:rsid w:val="008F6E18"/>
    <w:rsid w:val="008F6E2C"/>
    <w:rsid w:val="008F6E8B"/>
    <w:rsid w:val="008F743A"/>
    <w:rsid w:val="008F7F32"/>
    <w:rsid w:val="009000DF"/>
    <w:rsid w:val="0090031C"/>
    <w:rsid w:val="00900684"/>
    <w:rsid w:val="00900749"/>
    <w:rsid w:val="009013C0"/>
    <w:rsid w:val="00901757"/>
    <w:rsid w:val="00901E54"/>
    <w:rsid w:val="009024C0"/>
    <w:rsid w:val="00902EDF"/>
    <w:rsid w:val="009036AF"/>
    <w:rsid w:val="0090453C"/>
    <w:rsid w:val="009047ED"/>
    <w:rsid w:val="00904D08"/>
    <w:rsid w:val="0090521E"/>
    <w:rsid w:val="009063F7"/>
    <w:rsid w:val="00910DF9"/>
    <w:rsid w:val="009111D6"/>
    <w:rsid w:val="009113B1"/>
    <w:rsid w:val="00911F22"/>
    <w:rsid w:val="009121A7"/>
    <w:rsid w:val="009122B2"/>
    <w:rsid w:val="00912B67"/>
    <w:rsid w:val="00912E7A"/>
    <w:rsid w:val="00912FE1"/>
    <w:rsid w:val="00912FE3"/>
    <w:rsid w:val="00913B6B"/>
    <w:rsid w:val="00913D78"/>
    <w:rsid w:val="00914501"/>
    <w:rsid w:val="00915766"/>
    <w:rsid w:val="00916237"/>
    <w:rsid w:val="00916391"/>
    <w:rsid w:val="00916D57"/>
    <w:rsid w:val="00916D89"/>
    <w:rsid w:val="00916F91"/>
    <w:rsid w:val="009175EF"/>
    <w:rsid w:val="009200B5"/>
    <w:rsid w:val="009206C6"/>
    <w:rsid w:val="00921B3C"/>
    <w:rsid w:val="00921F94"/>
    <w:rsid w:val="009221B1"/>
    <w:rsid w:val="0092295F"/>
    <w:rsid w:val="00922DD3"/>
    <w:rsid w:val="00923E00"/>
    <w:rsid w:val="0092491C"/>
    <w:rsid w:val="00924A80"/>
    <w:rsid w:val="00924E94"/>
    <w:rsid w:val="00924F45"/>
    <w:rsid w:val="00925088"/>
    <w:rsid w:val="009252B5"/>
    <w:rsid w:val="009254B1"/>
    <w:rsid w:val="00926007"/>
    <w:rsid w:val="009264FE"/>
    <w:rsid w:val="00926944"/>
    <w:rsid w:val="00926F0C"/>
    <w:rsid w:val="00927675"/>
    <w:rsid w:val="00927A04"/>
    <w:rsid w:val="00930F5C"/>
    <w:rsid w:val="00930F62"/>
    <w:rsid w:val="00931A2C"/>
    <w:rsid w:val="00931ED2"/>
    <w:rsid w:val="00931F9E"/>
    <w:rsid w:val="009322C5"/>
    <w:rsid w:val="00932705"/>
    <w:rsid w:val="0093288A"/>
    <w:rsid w:val="00932B80"/>
    <w:rsid w:val="00933B3B"/>
    <w:rsid w:val="00933F56"/>
    <w:rsid w:val="009349EF"/>
    <w:rsid w:val="00934D98"/>
    <w:rsid w:val="00935083"/>
    <w:rsid w:val="00935C20"/>
    <w:rsid w:val="00935D2D"/>
    <w:rsid w:val="00935E7D"/>
    <w:rsid w:val="00936352"/>
    <w:rsid w:val="00936434"/>
    <w:rsid w:val="00936B68"/>
    <w:rsid w:val="00936DCF"/>
    <w:rsid w:val="009404CE"/>
    <w:rsid w:val="009405AF"/>
    <w:rsid w:val="00940D8F"/>
    <w:rsid w:val="009412AB"/>
    <w:rsid w:val="00941B2A"/>
    <w:rsid w:val="00941B47"/>
    <w:rsid w:val="00942633"/>
    <w:rsid w:val="00943417"/>
    <w:rsid w:val="00943685"/>
    <w:rsid w:val="009437BF"/>
    <w:rsid w:val="00943B9A"/>
    <w:rsid w:val="00943C88"/>
    <w:rsid w:val="00943ECA"/>
    <w:rsid w:val="009440E9"/>
    <w:rsid w:val="00944319"/>
    <w:rsid w:val="00944636"/>
    <w:rsid w:val="00945056"/>
    <w:rsid w:val="00945A4F"/>
    <w:rsid w:val="00946315"/>
    <w:rsid w:val="0094638E"/>
    <w:rsid w:val="00946E2B"/>
    <w:rsid w:val="00947E21"/>
    <w:rsid w:val="00950400"/>
    <w:rsid w:val="00950473"/>
    <w:rsid w:val="0095089F"/>
    <w:rsid w:val="00951B42"/>
    <w:rsid w:val="0095235A"/>
    <w:rsid w:val="0095279E"/>
    <w:rsid w:val="00952C52"/>
    <w:rsid w:val="0095311C"/>
    <w:rsid w:val="009540A0"/>
    <w:rsid w:val="0095438A"/>
    <w:rsid w:val="00954494"/>
    <w:rsid w:val="00954747"/>
    <w:rsid w:val="009547EE"/>
    <w:rsid w:val="009548DC"/>
    <w:rsid w:val="009549E3"/>
    <w:rsid w:val="00954B35"/>
    <w:rsid w:val="00954CFC"/>
    <w:rsid w:val="009557D7"/>
    <w:rsid w:val="00955C54"/>
    <w:rsid w:val="00955E21"/>
    <w:rsid w:val="00956A12"/>
    <w:rsid w:val="0096008A"/>
    <w:rsid w:val="00960968"/>
    <w:rsid w:val="00960ACD"/>
    <w:rsid w:val="00961604"/>
    <w:rsid w:val="009616C1"/>
    <w:rsid w:val="009624E4"/>
    <w:rsid w:val="00962670"/>
    <w:rsid w:val="00962C7D"/>
    <w:rsid w:val="00962D57"/>
    <w:rsid w:val="00963631"/>
    <w:rsid w:val="00964577"/>
    <w:rsid w:val="00964E4D"/>
    <w:rsid w:val="00965826"/>
    <w:rsid w:val="00965948"/>
    <w:rsid w:val="00965AD4"/>
    <w:rsid w:val="00966085"/>
    <w:rsid w:val="00966742"/>
    <w:rsid w:val="009667E1"/>
    <w:rsid w:val="00966FA7"/>
    <w:rsid w:val="00966FAA"/>
    <w:rsid w:val="009671BE"/>
    <w:rsid w:val="009703CF"/>
    <w:rsid w:val="009713D7"/>
    <w:rsid w:val="009715CD"/>
    <w:rsid w:val="00971CA4"/>
    <w:rsid w:val="00972381"/>
    <w:rsid w:val="00972438"/>
    <w:rsid w:val="00972C62"/>
    <w:rsid w:val="00973D04"/>
    <w:rsid w:val="00974046"/>
    <w:rsid w:val="00974613"/>
    <w:rsid w:val="009759A7"/>
    <w:rsid w:val="00975C86"/>
    <w:rsid w:val="00975D57"/>
    <w:rsid w:val="00976447"/>
    <w:rsid w:val="00976CB4"/>
    <w:rsid w:val="00977010"/>
    <w:rsid w:val="00977048"/>
    <w:rsid w:val="009770A9"/>
    <w:rsid w:val="009773F3"/>
    <w:rsid w:val="0098047A"/>
    <w:rsid w:val="009807B3"/>
    <w:rsid w:val="009808BE"/>
    <w:rsid w:val="00980AF8"/>
    <w:rsid w:val="00981843"/>
    <w:rsid w:val="00981CD6"/>
    <w:rsid w:val="0098280C"/>
    <w:rsid w:val="0098295D"/>
    <w:rsid w:val="009834EE"/>
    <w:rsid w:val="009839A5"/>
    <w:rsid w:val="00984739"/>
    <w:rsid w:val="00984BD0"/>
    <w:rsid w:val="00984F1E"/>
    <w:rsid w:val="00985574"/>
    <w:rsid w:val="00985F2C"/>
    <w:rsid w:val="00985F6E"/>
    <w:rsid w:val="00986050"/>
    <w:rsid w:val="009876E4"/>
    <w:rsid w:val="009877DC"/>
    <w:rsid w:val="0098782A"/>
    <w:rsid w:val="009878CB"/>
    <w:rsid w:val="009879F8"/>
    <w:rsid w:val="00987C3A"/>
    <w:rsid w:val="00990743"/>
    <w:rsid w:val="00991193"/>
    <w:rsid w:val="00991436"/>
    <w:rsid w:val="00991496"/>
    <w:rsid w:val="0099189A"/>
    <w:rsid w:val="0099210F"/>
    <w:rsid w:val="009923ED"/>
    <w:rsid w:val="00992C2B"/>
    <w:rsid w:val="00993297"/>
    <w:rsid w:val="00993F9C"/>
    <w:rsid w:val="00994F03"/>
    <w:rsid w:val="00994F0B"/>
    <w:rsid w:val="009950AE"/>
    <w:rsid w:val="00995246"/>
    <w:rsid w:val="00996055"/>
    <w:rsid w:val="0099618A"/>
    <w:rsid w:val="009969DE"/>
    <w:rsid w:val="00996FA1"/>
    <w:rsid w:val="009977A9"/>
    <w:rsid w:val="00997E5E"/>
    <w:rsid w:val="009A01A0"/>
    <w:rsid w:val="009A04DD"/>
    <w:rsid w:val="009A068B"/>
    <w:rsid w:val="009A0BC7"/>
    <w:rsid w:val="009A0E63"/>
    <w:rsid w:val="009A120D"/>
    <w:rsid w:val="009A1560"/>
    <w:rsid w:val="009A18EA"/>
    <w:rsid w:val="009A1C7A"/>
    <w:rsid w:val="009A2360"/>
    <w:rsid w:val="009A253D"/>
    <w:rsid w:val="009A254C"/>
    <w:rsid w:val="009A2F71"/>
    <w:rsid w:val="009A466A"/>
    <w:rsid w:val="009A46D3"/>
    <w:rsid w:val="009A5F20"/>
    <w:rsid w:val="009A7018"/>
    <w:rsid w:val="009A7B0B"/>
    <w:rsid w:val="009B01C2"/>
    <w:rsid w:val="009B0AC2"/>
    <w:rsid w:val="009B0F1B"/>
    <w:rsid w:val="009B1B18"/>
    <w:rsid w:val="009B1DB3"/>
    <w:rsid w:val="009B2E49"/>
    <w:rsid w:val="009B2F70"/>
    <w:rsid w:val="009B3415"/>
    <w:rsid w:val="009B3C4E"/>
    <w:rsid w:val="009B40A5"/>
    <w:rsid w:val="009B42C1"/>
    <w:rsid w:val="009B4B5C"/>
    <w:rsid w:val="009B5220"/>
    <w:rsid w:val="009B6D27"/>
    <w:rsid w:val="009B6E83"/>
    <w:rsid w:val="009B7D79"/>
    <w:rsid w:val="009B7E08"/>
    <w:rsid w:val="009C00BC"/>
    <w:rsid w:val="009C03C9"/>
    <w:rsid w:val="009C07B2"/>
    <w:rsid w:val="009C082D"/>
    <w:rsid w:val="009C09C7"/>
    <w:rsid w:val="009C2146"/>
    <w:rsid w:val="009C320C"/>
    <w:rsid w:val="009C34DC"/>
    <w:rsid w:val="009C38AD"/>
    <w:rsid w:val="009C421E"/>
    <w:rsid w:val="009C45F1"/>
    <w:rsid w:val="009C489F"/>
    <w:rsid w:val="009C4DB7"/>
    <w:rsid w:val="009C572D"/>
    <w:rsid w:val="009C5973"/>
    <w:rsid w:val="009C613B"/>
    <w:rsid w:val="009C62AB"/>
    <w:rsid w:val="009C6462"/>
    <w:rsid w:val="009C6504"/>
    <w:rsid w:val="009C6630"/>
    <w:rsid w:val="009C7469"/>
    <w:rsid w:val="009D15B8"/>
    <w:rsid w:val="009D2827"/>
    <w:rsid w:val="009D2B2A"/>
    <w:rsid w:val="009D2C98"/>
    <w:rsid w:val="009D3066"/>
    <w:rsid w:val="009D31CC"/>
    <w:rsid w:val="009D333D"/>
    <w:rsid w:val="009D4472"/>
    <w:rsid w:val="009D44F4"/>
    <w:rsid w:val="009D522A"/>
    <w:rsid w:val="009D59E8"/>
    <w:rsid w:val="009D5B25"/>
    <w:rsid w:val="009D62F2"/>
    <w:rsid w:val="009D7D74"/>
    <w:rsid w:val="009E09B9"/>
    <w:rsid w:val="009E2468"/>
    <w:rsid w:val="009E255B"/>
    <w:rsid w:val="009E29CA"/>
    <w:rsid w:val="009E327A"/>
    <w:rsid w:val="009E32E0"/>
    <w:rsid w:val="009E3541"/>
    <w:rsid w:val="009E3C9B"/>
    <w:rsid w:val="009E3FD6"/>
    <w:rsid w:val="009E4024"/>
    <w:rsid w:val="009E44DE"/>
    <w:rsid w:val="009E479A"/>
    <w:rsid w:val="009E4910"/>
    <w:rsid w:val="009E4D1B"/>
    <w:rsid w:val="009E56B6"/>
    <w:rsid w:val="009E5ABF"/>
    <w:rsid w:val="009E5EC1"/>
    <w:rsid w:val="009E6181"/>
    <w:rsid w:val="009E652F"/>
    <w:rsid w:val="009E6A7B"/>
    <w:rsid w:val="009F07B4"/>
    <w:rsid w:val="009F1048"/>
    <w:rsid w:val="009F16FE"/>
    <w:rsid w:val="009F34A3"/>
    <w:rsid w:val="009F34C8"/>
    <w:rsid w:val="009F4407"/>
    <w:rsid w:val="009F4582"/>
    <w:rsid w:val="009F4800"/>
    <w:rsid w:val="009F4CF3"/>
    <w:rsid w:val="009F506C"/>
    <w:rsid w:val="009F526E"/>
    <w:rsid w:val="009F5CAD"/>
    <w:rsid w:val="009F67EB"/>
    <w:rsid w:val="009F6922"/>
    <w:rsid w:val="009F7402"/>
    <w:rsid w:val="009F7573"/>
    <w:rsid w:val="009F7B12"/>
    <w:rsid w:val="00A00455"/>
    <w:rsid w:val="00A00982"/>
    <w:rsid w:val="00A00A2E"/>
    <w:rsid w:val="00A00D67"/>
    <w:rsid w:val="00A00EEB"/>
    <w:rsid w:val="00A01299"/>
    <w:rsid w:val="00A015EC"/>
    <w:rsid w:val="00A019B1"/>
    <w:rsid w:val="00A0220E"/>
    <w:rsid w:val="00A02280"/>
    <w:rsid w:val="00A0295C"/>
    <w:rsid w:val="00A03323"/>
    <w:rsid w:val="00A04032"/>
    <w:rsid w:val="00A044CF"/>
    <w:rsid w:val="00A04687"/>
    <w:rsid w:val="00A046BD"/>
    <w:rsid w:val="00A05459"/>
    <w:rsid w:val="00A066A4"/>
    <w:rsid w:val="00A06956"/>
    <w:rsid w:val="00A0771B"/>
    <w:rsid w:val="00A0776D"/>
    <w:rsid w:val="00A10031"/>
    <w:rsid w:val="00A1003F"/>
    <w:rsid w:val="00A10961"/>
    <w:rsid w:val="00A10B5D"/>
    <w:rsid w:val="00A112F7"/>
    <w:rsid w:val="00A11D7F"/>
    <w:rsid w:val="00A11D84"/>
    <w:rsid w:val="00A1211D"/>
    <w:rsid w:val="00A122F9"/>
    <w:rsid w:val="00A12479"/>
    <w:rsid w:val="00A124A6"/>
    <w:rsid w:val="00A12BF6"/>
    <w:rsid w:val="00A12D05"/>
    <w:rsid w:val="00A1343F"/>
    <w:rsid w:val="00A13CEA"/>
    <w:rsid w:val="00A13F2D"/>
    <w:rsid w:val="00A14A25"/>
    <w:rsid w:val="00A14EE9"/>
    <w:rsid w:val="00A15116"/>
    <w:rsid w:val="00A163C6"/>
    <w:rsid w:val="00A1663C"/>
    <w:rsid w:val="00A16B31"/>
    <w:rsid w:val="00A16D68"/>
    <w:rsid w:val="00A1782B"/>
    <w:rsid w:val="00A2006F"/>
    <w:rsid w:val="00A204F9"/>
    <w:rsid w:val="00A21039"/>
    <w:rsid w:val="00A21CB5"/>
    <w:rsid w:val="00A2214B"/>
    <w:rsid w:val="00A22B72"/>
    <w:rsid w:val="00A22CA6"/>
    <w:rsid w:val="00A22CED"/>
    <w:rsid w:val="00A2315D"/>
    <w:rsid w:val="00A23371"/>
    <w:rsid w:val="00A2470B"/>
    <w:rsid w:val="00A2484A"/>
    <w:rsid w:val="00A24AA1"/>
    <w:rsid w:val="00A24EA4"/>
    <w:rsid w:val="00A2513C"/>
    <w:rsid w:val="00A2525F"/>
    <w:rsid w:val="00A259AD"/>
    <w:rsid w:val="00A25A0C"/>
    <w:rsid w:val="00A2602B"/>
    <w:rsid w:val="00A26615"/>
    <w:rsid w:val="00A27215"/>
    <w:rsid w:val="00A278C3"/>
    <w:rsid w:val="00A3140A"/>
    <w:rsid w:val="00A3142C"/>
    <w:rsid w:val="00A31F9C"/>
    <w:rsid w:val="00A3202D"/>
    <w:rsid w:val="00A320DB"/>
    <w:rsid w:val="00A324E3"/>
    <w:rsid w:val="00A3281A"/>
    <w:rsid w:val="00A32A14"/>
    <w:rsid w:val="00A32A7D"/>
    <w:rsid w:val="00A32FC6"/>
    <w:rsid w:val="00A330E6"/>
    <w:rsid w:val="00A33103"/>
    <w:rsid w:val="00A3454A"/>
    <w:rsid w:val="00A34AE0"/>
    <w:rsid w:val="00A34F58"/>
    <w:rsid w:val="00A351B3"/>
    <w:rsid w:val="00A35217"/>
    <w:rsid w:val="00A35473"/>
    <w:rsid w:val="00A35E63"/>
    <w:rsid w:val="00A35F21"/>
    <w:rsid w:val="00A365FC"/>
    <w:rsid w:val="00A37049"/>
    <w:rsid w:val="00A3791C"/>
    <w:rsid w:val="00A37B67"/>
    <w:rsid w:val="00A403BC"/>
    <w:rsid w:val="00A406BC"/>
    <w:rsid w:val="00A40C57"/>
    <w:rsid w:val="00A41CF2"/>
    <w:rsid w:val="00A42211"/>
    <w:rsid w:val="00A42C06"/>
    <w:rsid w:val="00A42DA0"/>
    <w:rsid w:val="00A42F88"/>
    <w:rsid w:val="00A43439"/>
    <w:rsid w:val="00A43C7D"/>
    <w:rsid w:val="00A447AA"/>
    <w:rsid w:val="00A45677"/>
    <w:rsid w:val="00A4682F"/>
    <w:rsid w:val="00A46982"/>
    <w:rsid w:val="00A5020C"/>
    <w:rsid w:val="00A504B7"/>
    <w:rsid w:val="00A517D9"/>
    <w:rsid w:val="00A523BB"/>
    <w:rsid w:val="00A529BB"/>
    <w:rsid w:val="00A52B3F"/>
    <w:rsid w:val="00A52C2B"/>
    <w:rsid w:val="00A538AE"/>
    <w:rsid w:val="00A53A09"/>
    <w:rsid w:val="00A53B99"/>
    <w:rsid w:val="00A53BDD"/>
    <w:rsid w:val="00A53C17"/>
    <w:rsid w:val="00A545D2"/>
    <w:rsid w:val="00A54DEC"/>
    <w:rsid w:val="00A54E1A"/>
    <w:rsid w:val="00A55088"/>
    <w:rsid w:val="00A55752"/>
    <w:rsid w:val="00A563CD"/>
    <w:rsid w:val="00A56617"/>
    <w:rsid w:val="00A57AFA"/>
    <w:rsid w:val="00A60182"/>
    <w:rsid w:val="00A601AC"/>
    <w:rsid w:val="00A60906"/>
    <w:rsid w:val="00A60ADA"/>
    <w:rsid w:val="00A60F14"/>
    <w:rsid w:val="00A60FC2"/>
    <w:rsid w:val="00A617F9"/>
    <w:rsid w:val="00A61D97"/>
    <w:rsid w:val="00A62218"/>
    <w:rsid w:val="00A63B38"/>
    <w:rsid w:val="00A6498A"/>
    <w:rsid w:val="00A64B07"/>
    <w:rsid w:val="00A65899"/>
    <w:rsid w:val="00A658C4"/>
    <w:rsid w:val="00A673E2"/>
    <w:rsid w:val="00A67EDD"/>
    <w:rsid w:val="00A70123"/>
    <w:rsid w:val="00A7074F"/>
    <w:rsid w:val="00A70750"/>
    <w:rsid w:val="00A707E5"/>
    <w:rsid w:val="00A70911"/>
    <w:rsid w:val="00A7141A"/>
    <w:rsid w:val="00A7182C"/>
    <w:rsid w:val="00A729CE"/>
    <w:rsid w:val="00A72AE4"/>
    <w:rsid w:val="00A72E09"/>
    <w:rsid w:val="00A73368"/>
    <w:rsid w:val="00A73AFC"/>
    <w:rsid w:val="00A7421F"/>
    <w:rsid w:val="00A743FC"/>
    <w:rsid w:val="00A76590"/>
    <w:rsid w:val="00A76F20"/>
    <w:rsid w:val="00A77111"/>
    <w:rsid w:val="00A77397"/>
    <w:rsid w:val="00A77DC1"/>
    <w:rsid w:val="00A808AA"/>
    <w:rsid w:val="00A81006"/>
    <w:rsid w:val="00A81069"/>
    <w:rsid w:val="00A811BF"/>
    <w:rsid w:val="00A81C42"/>
    <w:rsid w:val="00A81E48"/>
    <w:rsid w:val="00A826EC"/>
    <w:rsid w:val="00A827B5"/>
    <w:rsid w:val="00A82EA8"/>
    <w:rsid w:val="00A83194"/>
    <w:rsid w:val="00A832FB"/>
    <w:rsid w:val="00A84597"/>
    <w:rsid w:val="00A84893"/>
    <w:rsid w:val="00A84E1E"/>
    <w:rsid w:val="00A85204"/>
    <w:rsid w:val="00A8565C"/>
    <w:rsid w:val="00A8642B"/>
    <w:rsid w:val="00A865A2"/>
    <w:rsid w:val="00A86631"/>
    <w:rsid w:val="00A86912"/>
    <w:rsid w:val="00A86A3A"/>
    <w:rsid w:val="00A871E2"/>
    <w:rsid w:val="00A87A3D"/>
    <w:rsid w:val="00A909BF"/>
    <w:rsid w:val="00A90B91"/>
    <w:rsid w:val="00A90B95"/>
    <w:rsid w:val="00A91218"/>
    <w:rsid w:val="00A91BEA"/>
    <w:rsid w:val="00A92693"/>
    <w:rsid w:val="00A93105"/>
    <w:rsid w:val="00A93CB6"/>
    <w:rsid w:val="00A94874"/>
    <w:rsid w:val="00A956FE"/>
    <w:rsid w:val="00A95C9E"/>
    <w:rsid w:val="00A96A41"/>
    <w:rsid w:val="00A971BC"/>
    <w:rsid w:val="00A9795C"/>
    <w:rsid w:val="00A979FD"/>
    <w:rsid w:val="00A97F2E"/>
    <w:rsid w:val="00AA04D8"/>
    <w:rsid w:val="00AA076E"/>
    <w:rsid w:val="00AA0833"/>
    <w:rsid w:val="00AA0A44"/>
    <w:rsid w:val="00AA0E0D"/>
    <w:rsid w:val="00AA1C45"/>
    <w:rsid w:val="00AA2620"/>
    <w:rsid w:val="00AA30A6"/>
    <w:rsid w:val="00AA340C"/>
    <w:rsid w:val="00AA3846"/>
    <w:rsid w:val="00AA3D75"/>
    <w:rsid w:val="00AA43FC"/>
    <w:rsid w:val="00AA45C7"/>
    <w:rsid w:val="00AA4A8D"/>
    <w:rsid w:val="00AA6182"/>
    <w:rsid w:val="00AA698C"/>
    <w:rsid w:val="00AA75EF"/>
    <w:rsid w:val="00AA7D81"/>
    <w:rsid w:val="00AB006D"/>
    <w:rsid w:val="00AB00BB"/>
    <w:rsid w:val="00AB0A74"/>
    <w:rsid w:val="00AB1B30"/>
    <w:rsid w:val="00AB220C"/>
    <w:rsid w:val="00AB2781"/>
    <w:rsid w:val="00AB278B"/>
    <w:rsid w:val="00AB2A29"/>
    <w:rsid w:val="00AB2DFE"/>
    <w:rsid w:val="00AB2F03"/>
    <w:rsid w:val="00AB36A7"/>
    <w:rsid w:val="00AB374E"/>
    <w:rsid w:val="00AB3E81"/>
    <w:rsid w:val="00AB43D3"/>
    <w:rsid w:val="00AB4441"/>
    <w:rsid w:val="00AB482B"/>
    <w:rsid w:val="00AB489D"/>
    <w:rsid w:val="00AB4A52"/>
    <w:rsid w:val="00AB4BDE"/>
    <w:rsid w:val="00AB4DCF"/>
    <w:rsid w:val="00AB51B2"/>
    <w:rsid w:val="00AB608F"/>
    <w:rsid w:val="00AB70AC"/>
    <w:rsid w:val="00AB7313"/>
    <w:rsid w:val="00AB790E"/>
    <w:rsid w:val="00AB79AD"/>
    <w:rsid w:val="00AB7F6E"/>
    <w:rsid w:val="00AC0325"/>
    <w:rsid w:val="00AC0506"/>
    <w:rsid w:val="00AC1653"/>
    <w:rsid w:val="00AC1AAC"/>
    <w:rsid w:val="00AC1AF3"/>
    <w:rsid w:val="00AC1B11"/>
    <w:rsid w:val="00AC1B30"/>
    <w:rsid w:val="00AC1EEC"/>
    <w:rsid w:val="00AC1F5E"/>
    <w:rsid w:val="00AC21D5"/>
    <w:rsid w:val="00AC2C87"/>
    <w:rsid w:val="00AC31C6"/>
    <w:rsid w:val="00AC3BB7"/>
    <w:rsid w:val="00AC40C3"/>
    <w:rsid w:val="00AC455F"/>
    <w:rsid w:val="00AC4C48"/>
    <w:rsid w:val="00AC52C4"/>
    <w:rsid w:val="00AC55AC"/>
    <w:rsid w:val="00AC5FD6"/>
    <w:rsid w:val="00AC601F"/>
    <w:rsid w:val="00AC6C2D"/>
    <w:rsid w:val="00AC7466"/>
    <w:rsid w:val="00AC7853"/>
    <w:rsid w:val="00AC7E63"/>
    <w:rsid w:val="00AD0F53"/>
    <w:rsid w:val="00AD3851"/>
    <w:rsid w:val="00AD40A4"/>
    <w:rsid w:val="00AD488F"/>
    <w:rsid w:val="00AD56CB"/>
    <w:rsid w:val="00AD69CB"/>
    <w:rsid w:val="00AD7583"/>
    <w:rsid w:val="00AD7862"/>
    <w:rsid w:val="00AD7AF3"/>
    <w:rsid w:val="00AE0B7B"/>
    <w:rsid w:val="00AE1130"/>
    <w:rsid w:val="00AE2373"/>
    <w:rsid w:val="00AE3425"/>
    <w:rsid w:val="00AE3C4E"/>
    <w:rsid w:val="00AE50B1"/>
    <w:rsid w:val="00AE5987"/>
    <w:rsid w:val="00AE604F"/>
    <w:rsid w:val="00AE6D29"/>
    <w:rsid w:val="00AE76F6"/>
    <w:rsid w:val="00AE78FE"/>
    <w:rsid w:val="00AE7B8A"/>
    <w:rsid w:val="00AE7D95"/>
    <w:rsid w:val="00AF09F7"/>
    <w:rsid w:val="00AF0F45"/>
    <w:rsid w:val="00AF11A9"/>
    <w:rsid w:val="00AF14C5"/>
    <w:rsid w:val="00AF1709"/>
    <w:rsid w:val="00AF184B"/>
    <w:rsid w:val="00AF1966"/>
    <w:rsid w:val="00AF23E9"/>
    <w:rsid w:val="00AF24BB"/>
    <w:rsid w:val="00AF2840"/>
    <w:rsid w:val="00AF34EB"/>
    <w:rsid w:val="00AF357D"/>
    <w:rsid w:val="00AF3872"/>
    <w:rsid w:val="00AF3E7C"/>
    <w:rsid w:val="00AF4217"/>
    <w:rsid w:val="00AF42E3"/>
    <w:rsid w:val="00AF46EF"/>
    <w:rsid w:val="00AF5479"/>
    <w:rsid w:val="00AF59DA"/>
    <w:rsid w:val="00AF5FED"/>
    <w:rsid w:val="00AF5FF9"/>
    <w:rsid w:val="00AF63CA"/>
    <w:rsid w:val="00AF6446"/>
    <w:rsid w:val="00AF681B"/>
    <w:rsid w:val="00AF6DC9"/>
    <w:rsid w:val="00AF716A"/>
    <w:rsid w:val="00AF7913"/>
    <w:rsid w:val="00B005DD"/>
    <w:rsid w:val="00B006E3"/>
    <w:rsid w:val="00B00EC2"/>
    <w:rsid w:val="00B02D05"/>
    <w:rsid w:val="00B036AB"/>
    <w:rsid w:val="00B043A1"/>
    <w:rsid w:val="00B05967"/>
    <w:rsid w:val="00B07E07"/>
    <w:rsid w:val="00B103AC"/>
    <w:rsid w:val="00B1091F"/>
    <w:rsid w:val="00B10D85"/>
    <w:rsid w:val="00B1104C"/>
    <w:rsid w:val="00B11C6E"/>
    <w:rsid w:val="00B11D36"/>
    <w:rsid w:val="00B11DA7"/>
    <w:rsid w:val="00B12E23"/>
    <w:rsid w:val="00B136DC"/>
    <w:rsid w:val="00B13E49"/>
    <w:rsid w:val="00B1409F"/>
    <w:rsid w:val="00B14770"/>
    <w:rsid w:val="00B14839"/>
    <w:rsid w:val="00B15059"/>
    <w:rsid w:val="00B159F3"/>
    <w:rsid w:val="00B16C77"/>
    <w:rsid w:val="00B16D8F"/>
    <w:rsid w:val="00B17762"/>
    <w:rsid w:val="00B17AAF"/>
    <w:rsid w:val="00B207D3"/>
    <w:rsid w:val="00B21DE7"/>
    <w:rsid w:val="00B23ED0"/>
    <w:rsid w:val="00B24169"/>
    <w:rsid w:val="00B245BD"/>
    <w:rsid w:val="00B24D3F"/>
    <w:rsid w:val="00B25CAE"/>
    <w:rsid w:val="00B25F76"/>
    <w:rsid w:val="00B26289"/>
    <w:rsid w:val="00B271FD"/>
    <w:rsid w:val="00B27306"/>
    <w:rsid w:val="00B275DF"/>
    <w:rsid w:val="00B27695"/>
    <w:rsid w:val="00B27F38"/>
    <w:rsid w:val="00B3048D"/>
    <w:rsid w:val="00B314EA"/>
    <w:rsid w:val="00B318F1"/>
    <w:rsid w:val="00B319F3"/>
    <w:rsid w:val="00B3238A"/>
    <w:rsid w:val="00B32A65"/>
    <w:rsid w:val="00B32D97"/>
    <w:rsid w:val="00B32DA5"/>
    <w:rsid w:val="00B32FF8"/>
    <w:rsid w:val="00B34A76"/>
    <w:rsid w:val="00B34B2F"/>
    <w:rsid w:val="00B351E9"/>
    <w:rsid w:val="00B35BA9"/>
    <w:rsid w:val="00B3601A"/>
    <w:rsid w:val="00B36BD5"/>
    <w:rsid w:val="00B36DDA"/>
    <w:rsid w:val="00B37939"/>
    <w:rsid w:val="00B40A1D"/>
    <w:rsid w:val="00B40F25"/>
    <w:rsid w:val="00B42020"/>
    <w:rsid w:val="00B42D6A"/>
    <w:rsid w:val="00B43160"/>
    <w:rsid w:val="00B43299"/>
    <w:rsid w:val="00B43B9F"/>
    <w:rsid w:val="00B445EB"/>
    <w:rsid w:val="00B44915"/>
    <w:rsid w:val="00B44A30"/>
    <w:rsid w:val="00B45644"/>
    <w:rsid w:val="00B4569B"/>
    <w:rsid w:val="00B45E7B"/>
    <w:rsid w:val="00B46271"/>
    <w:rsid w:val="00B4645F"/>
    <w:rsid w:val="00B47627"/>
    <w:rsid w:val="00B5029C"/>
    <w:rsid w:val="00B502A0"/>
    <w:rsid w:val="00B502AE"/>
    <w:rsid w:val="00B50387"/>
    <w:rsid w:val="00B51256"/>
    <w:rsid w:val="00B52A33"/>
    <w:rsid w:val="00B54D9F"/>
    <w:rsid w:val="00B55703"/>
    <w:rsid w:val="00B559A0"/>
    <w:rsid w:val="00B55DD1"/>
    <w:rsid w:val="00B55FDD"/>
    <w:rsid w:val="00B56AFD"/>
    <w:rsid w:val="00B57029"/>
    <w:rsid w:val="00B573CF"/>
    <w:rsid w:val="00B573F2"/>
    <w:rsid w:val="00B57946"/>
    <w:rsid w:val="00B60E4C"/>
    <w:rsid w:val="00B610DF"/>
    <w:rsid w:val="00B6145F"/>
    <w:rsid w:val="00B61AA2"/>
    <w:rsid w:val="00B6213D"/>
    <w:rsid w:val="00B6231E"/>
    <w:rsid w:val="00B626E9"/>
    <w:rsid w:val="00B6284C"/>
    <w:rsid w:val="00B641A2"/>
    <w:rsid w:val="00B64418"/>
    <w:rsid w:val="00B64C10"/>
    <w:rsid w:val="00B6672A"/>
    <w:rsid w:val="00B66A6B"/>
    <w:rsid w:val="00B66B12"/>
    <w:rsid w:val="00B66E43"/>
    <w:rsid w:val="00B67015"/>
    <w:rsid w:val="00B671C8"/>
    <w:rsid w:val="00B673C2"/>
    <w:rsid w:val="00B67411"/>
    <w:rsid w:val="00B6741A"/>
    <w:rsid w:val="00B674F9"/>
    <w:rsid w:val="00B67D0A"/>
    <w:rsid w:val="00B70A3C"/>
    <w:rsid w:val="00B7122A"/>
    <w:rsid w:val="00B716EA"/>
    <w:rsid w:val="00B7176E"/>
    <w:rsid w:val="00B71FF4"/>
    <w:rsid w:val="00B724F0"/>
    <w:rsid w:val="00B7266C"/>
    <w:rsid w:val="00B7319A"/>
    <w:rsid w:val="00B734EB"/>
    <w:rsid w:val="00B73EAC"/>
    <w:rsid w:val="00B740B4"/>
    <w:rsid w:val="00B74BEA"/>
    <w:rsid w:val="00B752DB"/>
    <w:rsid w:val="00B752EC"/>
    <w:rsid w:val="00B757E2"/>
    <w:rsid w:val="00B75EAE"/>
    <w:rsid w:val="00B7662D"/>
    <w:rsid w:val="00B7675F"/>
    <w:rsid w:val="00B77019"/>
    <w:rsid w:val="00B77135"/>
    <w:rsid w:val="00B77962"/>
    <w:rsid w:val="00B779BB"/>
    <w:rsid w:val="00B77F73"/>
    <w:rsid w:val="00B80B27"/>
    <w:rsid w:val="00B80C6A"/>
    <w:rsid w:val="00B81287"/>
    <w:rsid w:val="00B81305"/>
    <w:rsid w:val="00B81C0C"/>
    <w:rsid w:val="00B82AE5"/>
    <w:rsid w:val="00B83D43"/>
    <w:rsid w:val="00B841F1"/>
    <w:rsid w:val="00B84559"/>
    <w:rsid w:val="00B84A34"/>
    <w:rsid w:val="00B85F84"/>
    <w:rsid w:val="00B86C14"/>
    <w:rsid w:val="00B86C33"/>
    <w:rsid w:val="00B87261"/>
    <w:rsid w:val="00B874C3"/>
    <w:rsid w:val="00B907DA"/>
    <w:rsid w:val="00B9089E"/>
    <w:rsid w:val="00B90A2F"/>
    <w:rsid w:val="00B9113E"/>
    <w:rsid w:val="00B91429"/>
    <w:rsid w:val="00B914D3"/>
    <w:rsid w:val="00B917F3"/>
    <w:rsid w:val="00B92A8A"/>
    <w:rsid w:val="00B92FFB"/>
    <w:rsid w:val="00B935A4"/>
    <w:rsid w:val="00B93DAB"/>
    <w:rsid w:val="00B93DCD"/>
    <w:rsid w:val="00B94634"/>
    <w:rsid w:val="00B948EA"/>
    <w:rsid w:val="00B94F02"/>
    <w:rsid w:val="00B94F78"/>
    <w:rsid w:val="00B956C2"/>
    <w:rsid w:val="00B9575F"/>
    <w:rsid w:val="00B95C5A"/>
    <w:rsid w:val="00B968E5"/>
    <w:rsid w:val="00B97700"/>
    <w:rsid w:val="00B97932"/>
    <w:rsid w:val="00BA08BB"/>
    <w:rsid w:val="00BA09E0"/>
    <w:rsid w:val="00BA0EA5"/>
    <w:rsid w:val="00BA1B08"/>
    <w:rsid w:val="00BA1C77"/>
    <w:rsid w:val="00BA1EB9"/>
    <w:rsid w:val="00BA24CC"/>
    <w:rsid w:val="00BA2548"/>
    <w:rsid w:val="00BA3C8B"/>
    <w:rsid w:val="00BA3CB3"/>
    <w:rsid w:val="00BA450F"/>
    <w:rsid w:val="00BA5F8B"/>
    <w:rsid w:val="00BA6DC4"/>
    <w:rsid w:val="00BA6E9E"/>
    <w:rsid w:val="00BB00CB"/>
    <w:rsid w:val="00BB02D1"/>
    <w:rsid w:val="00BB0DA1"/>
    <w:rsid w:val="00BB19B2"/>
    <w:rsid w:val="00BB1D52"/>
    <w:rsid w:val="00BB2BE8"/>
    <w:rsid w:val="00BB2FCD"/>
    <w:rsid w:val="00BB38B6"/>
    <w:rsid w:val="00BB481C"/>
    <w:rsid w:val="00BB4CB7"/>
    <w:rsid w:val="00BB4D2D"/>
    <w:rsid w:val="00BB5654"/>
    <w:rsid w:val="00BB5B2B"/>
    <w:rsid w:val="00BB67D7"/>
    <w:rsid w:val="00BB6BC2"/>
    <w:rsid w:val="00BC2920"/>
    <w:rsid w:val="00BC2C9D"/>
    <w:rsid w:val="00BC301B"/>
    <w:rsid w:val="00BC3226"/>
    <w:rsid w:val="00BC3A0A"/>
    <w:rsid w:val="00BC486F"/>
    <w:rsid w:val="00BC51EE"/>
    <w:rsid w:val="00BC535C"/>
    <w:rsid w:val="00BC576B"/>
    <w:rsid w:val="00BC5C5F"/>
    <w:rsid w:val="00BC5CFE"/>
    <w:rsid w:val="00BC628E"/>
    <w:rsid w:val="00BC6455"/>
    <w:rsid w:val="00BC65C8"/>
    <w:rsid w:val="00BC6DA7"/>
    <w:rsid w:val="00BC7018"/>
    <w:rsid w:val="00BC731F"/>
    <w:rsid w:val="00BD151B"/>
    <w:rsid w:val="00BD268A"/>
    <w:rsid w:val="00BD2A91"/>
    <w:rsid w:val="00BD2B95"/>
    <w:rsid w:val="00BD2D44"/>
    <w:rsid w:val="00BD3867"/>
    <w:rsid w:val="00BD3F5C"/>
    <w:rsid w:val="00BD4214"/>
    <w:rsid w:val="00BD44DB"/>
    <w:rsid w:val="00BD498D"/>
    <w:rsid w:val="00BD4C59"/>
    <w:rsid w:val="00BD4C83"/>
    <w:rsid w:val="00BD4D1E"/>
    <w:rsid w:val="00BD554A"/>
    <w:rsid w:val="00BD5D3F"/>
    <w:rsid w:val="00BD5EAB"/>
    <w:rsid w:val="00BD6316"/>
    <w:rsid w:val="00BD67DB"/>
    <w:rsid w:val="00BD7319"/>
    <w:rsid w:val="00BD74B4"/>
    <w:rsid w:val="00BE0523"/>
    <w:rsid w:val="00BE0F67"/>
    <w:rsid w:val="00BE11BF"/>
    <w:rsid w:val="00BE154F"/>
    <w:rsid w:val="00BE164C"/>
    <w:rsid w:val="00BE199B"/>
    <w:rsid w:val="00BE1F0B"/>
    <w:rsid w:val="00BE2246"/>
    <w:rsid w:val="00BE26CC"/>
    <w:rsid w:val="00BE2745"/>
    <w:rsid w:val="00BE2F13"/>
    <w:rsid w:val="00BE31F2"/>
    <w:rsid w:val="00BE36FD"/>
    <w:rsid w:val="00BE3C11"/>
    <w:rsid w:val="00BE4B3B"/>
    <w:rsid w:val="00BE4C67"/>
    <w:rsid w:val="00BE57CA"/>
    <w:rsid w:val="00BE57F7"/>
    <w:rsid w:val="00BE5C1D"/>
    <w:rsid w:val="00BE679A"/>
    <w:rsid w:val="00BE6B4C"/>
    <w:rsid w:val="00BE750F"/>
    <w:rsid w:val="00BE7663"/>
    <w:rsid w:val="00BE7B0B"/>
    <w:rsid w:val="00BE7B8E"/>
    <w:rsid w:val="00BE7EC3"/>
    <w:rsid w:val="00BF0314"/>
    <w:rsid w:val="00BF0EB1"/>
    <w:rsid w:val="00BF0EEC"/>
    <w:rsid w:val="00BF184B"/>
    <w:rsid w:val="00BF1AA9"/>
    <w:rsid w:val="00BF1C0A"/>
    <w:rsid w:val="00BF205D"/>
    <w:rsid w:val="00BF30D4"/>
    <w:rsid w:val="00BF31B6"/>
    <w:rsid w:val="00BF35FC"/>
    <w:rsid w:val="00BF3ABE"/>
    <w:rsid w:val="00BF4242"/>
    <w:rsid w:val="00BF42B9"/>
    <w:rsid w:val="00BF4E78"/>
    <w:rsid w:val="00BF4F59"/>
    <w:rsid w:val="00BF5BE8"/>
    <w:rsid w:val="00BF6130"/>
    <w:rsid w:val="00BF640E"/>
    <w:rsid w:val="00BF6863"/>
    <w:rsid w:val="00BF71B9"/>
    <w:rsid w:val="00BF7924"/>
    <w:rsid w:val="00BF7E7B"/>
    <w:rsid w:val="00BF7EDC"/>
    <w:rsid w:val="00C00342"/>
    <w:rsid w:val="00C02DA2"/>
    <w:rsid w:val="00C02E5E"/>
    <w:rsid w:val="00C04042"/>
    <w:rsid w:val="00C041A6"/>
    <w:rsid w:val="00C04B3E"/>
    <w:rsid w:val="00C04C60"/>
    <w:rsid w:val="00C066D4"/>
    <w:rsid w:val="00C06E0A"/>
    <w:rsid w:val="00C0790B"/>
    <w:rsid w:val="00C07999"/>
    <w:rsid w:val="00C10BBE"/>
    <w:rsid w:val="00C10C42"/>
    <w:rsid w:val="00C10DAA"/>
    <w:rsid w:val="00C116C4"/>
    <w:rsid w:val="00C11737"/>
    <w:rsid w:val="00C11904"/>
    <w:rsid w:val="00C121C6"/>
    <w:rsid w:val="00C123E0"/>
    <w:rsid w:val="00C12487"/>
    <w:rsid w:val="00C12975"/>
    <w:rsid w:val="00C12F29"/>
    <w:rsid w:val="00C138B7"/>
    <w:rsid w:val="00C13908"/>
    <w:rsid w:val="00C13EE7"/>
    <w:rsid w:val="00C14389"/>
    <w:rsid w:val="00C147F3"/>
    <w:rsid w:val="00C14AE3"/>
    <w:rsid w:val="00C14B17"/>
    <w:rsid w:val="00C14DDB"/>
    <w:rsid w:val="00C1516E"/>
    <w:rsid w:val="00C151E1"/>
    <w:rsid w:val="00C164D2"/>
    <w:rsid w:val="00C16990"/>
    <w:rsid w:val="00C17428"/>
    <w:rsid w:val="00C206A1"/>
    <w:rsid w:val="00C207D4"/>
    <w:rsid w:val="00C21A01"/>
    <w:rsid w:val="00C21ACA"/>
    <w:rsid w:val="00C221D9"/>
    <w:rsid w:val="00C224A9"/>
    <w:rsid w:val="00C22881"/>
    <w:rsid w:val="00C23537"/>
    <w:rsid w:val="00C238D3"/>
    <w:rsid w:val="00C23DB3"/>
    <w:rsid w:val="00C242B6"/>
    <w:rsid w:val="00C24C97"/>
    <w:rsid w:val="00C24F6D"/>
    <w:rsid w:val="00C25082"/>
    <w:rsid w:val="00C255CE"/>
    <w:rsid w:val="00C255EA"/>
    <w:rsid w:val="00C2572D"/>
    <w:rsid w:val="00C25753"/>
    <w:rsid w:val="00C25ED0"/>
    <w:rsid w:val="00C25FCA"/>
    <w:rsid w:val="00C2622C"/>
    <w:rsid w:val="00C268E1"/>
    <w:rsid w:val="00C26FA5"/>
    <w:rsid w:val="00C2718F"/>
    <w:rsid w:val="00C27365"/>
    <w:rsid w:val="00C303D7"/>
    <w:rsid w:val="00C305CA"/>
    <w:rsid w:val="00C31529"/>
    <w:rsid w:val="00C316DC"/>
    <w:rsid w:val="00C31C36"/>
    <w:rsid w:val="00C31D6E"/>
    <w:rsid w:val="00C33483"/>
    <w:rsid w:val="00C336A1"/>
    <w:rsid w:val="00C33FCA"/>
    <w:rsid w:val="00C34631"/>
    <w:rsid w:val="00C34E14"/>
    <w:rsid w:val="00C3500A"/>
    <w:rsid w:val="00C35267"/>
    <w:rsid w:val="00C3573A"/>
    <w:rsid w:val="00C35AC3"/>
    <w:rsid w:val="00C36537"/>
    <w:rsid w:val="00C37140"/>
    <w:rsid w:val="00C373E8"/>
    <w:rsid w:val="00C3795D"/>
    <w:rsid w:val="00C37BA6"/>
    <w:rsid w:val="00C40687"/>
    <w:rsid w:val="00C407C0"/>
    <w:rsid w:val="00C40AF7"/>
    <w:rsid w:val="00C40B78"/>
    <w:rsid w:val="00C4158C"/>
    <w:rsid w:val="00C41632"/>
    <w:rsid w:val="00C419F8"/>
    <w:rsid w:val="00C41A42"/>
    <w:rsid w:val="00C41E52"/>
    <w:rsid w:val="00C428C1"/>
    <w:rsid w:val="00C42D26"/>
    <w:rsid w:val="00C42F9C"/>
    <w:rsid w:val="00C43661"/>
    <w:rsid w:val="00C4370E"/>
    <w:rsid w:val="00C439FC"/>
    <w:rsid w:val="00C4419B"/>
    <w:rsid w:val="00C44960"/>
    <w:rsid w:val="00C44AFF"/>
    <w:rsid w:val="00C456B6"/>
    <w:rsid w:val="00C45C37"/>
    <w:rsid w:val="00C45FAD"/>
    <w:rsid w:val="00C463B7"/>
    <w:rsid w:val="00C4642E"/>
    <w:rsid w:val="00C464AD"/>
    <w:rsid w:val="00C465E7"/>
    <w:rsid w:val="00C46761"/>
    <w:rsid w:val="00C500F7"/>
    <w:rsid w:val="00C50C97"/>
    <w:rsid w:val="00C514D3"/>
    <w:rsid w:val="00C515CB"/>
    <w:rsid w:val="00C51B9C"/>
    <w:rsid w:val="00C5300E"/>
    <w:rsid w:val="00C531C9"/>
    <w:rsid w:val="00C53A7C"/>
    <w:rsid w:val="00C53B32"/>
    <w:rsid w:val="00C54635"/>
    <w:rsid w:val="00C549BB"/>
    <w:rsid w:val="00C54D16"/>
    <w:rsid w:val="00C5522C"/>
    <w:rsid w:val="00C555EA"/>
    <w:rsid w:val="00C56B9F"/>
    <w:rsid w:val="00C6011B"/>
    <w:rsid w:val="00C61779"/>
    <w:rsid w:val="00C6222D"/>
    <w:rsid w:val="00C62632"/>
    <w:rsid w:val="00C62E79"/>
    <w:rsid w:val="00C631B3"/>
    <w:rsid w:val="00C634A0"/>
    <w:rsid w:val="00C642EE"/>
    <w:rsid w:val="00C6441F"/>
    <w:rsid w:val="00C6509B"/>
    <w:rsid w:val="00C65213"/>
    <w:rsid w:val="00C6535F"/>
    <w:rsid w:val="00C653DB"/>
    <w:rsid w:val="00C658EE"/>
    <w:rsid w:val="00C6596C"/>
    <w:rsid w:val="00C66D0F"/>
    <w:rsid w:val="00C67BDF"/>
    <w:rsid w:val="00C70051"/>
    <w:rsid w:val="00C71C2A"/>
    <w:rsid w:val="00C71F72"/>
    <w:rsid w:val="00C72268"/>
    <w:rsid w:val="00C745C2"/>
    <w:rsid w:val="00C74788"/>
    <w:rsid w:val="00C748A8"/>
    <w:rsid w:val="00C7505F"/>
    <w:rsid w:val="00C751BC"/>
    <w:rsid w:val="00C75418"/>
    <w:rsid w:val="00C756B9"/>
    <w:rsid w:val="00C75944"/>
    <w:rsid w:val="00C76542"/>
    <w:rsid w:val="00C767AC"/>
    <w:rsid w:val="00C76947"/>
    <w:rsid w:val="00C7699B"/>
    <w:rsid w:val="00C7742B"/>
    <w:rsid w:val="00C775A5"/>
    <w:rsid w:val="00C80693"/>
    <w:rsid w:val="00C80B10"/>
    <w:rsid w:val="00C80C0B"/>
    <w:rsid w:val="00C8100E"/>
    <w:rsid w:val="00C81541"/>
    <w:rsid w:val="00C82403"/>
    <w:rsid w:val="00C8261B"/>
    <w:rsid w:val="00C82663"/>
    <w:rsid w:val="00C82FDD"/>
    <w:rsid w:val="00C83618"/>
    <w:rsid w:val="00C837FA"/>
    <w:rsid w:val="00C83CD4"/>
    <w:rsid w:val="00C83DED"/>
    <w:rsid w:val="00C84F47"/>
    <w:rsid w:val="00C84F49"/>
    <w:rsid w:val="00C8502D"/>
    <w:rsid w:val="00C8530E"/>
    <w:rsid w:val="00C86A61"/>
    <w:rsid w:val="00C86BD2"/>
    <w:rsid w:val="00C8750F"/>
    <w:rsid w:val="00C87F3C"/>
    <w:rsid w:val="00C90178"/>
    <w:rsid w:val="00C90243"/>
    <w:rsid w:val="00C90747"/>
    <w:rsid w:val="00C91861"/>
    <w:rsid w:val="00C919C6"/>
    <w:rsid w:val="00C91AB9"/>
    <w:rsid w:val="00C9280F"/>
    <w:rsid w:val="00C9296A"/>
    <w:rsid w:val="00C92E66"/>
    <w:rsid w:val="00C93184"/>
    <w:rsid w:val="00C9378E"/>
    <w:rsid w:val="00C93B4E"/>
    <w:rsid w:val="00C943F1"/>
    <w:rsid w:val="00C94B85"/>
    <w:rsid w:val="00C9514B"/>
    <w:rsid w:val="00C96979"/>
    <w:rsid w:val="00C96F6E"/>
    <w:rsid w:val="00C97292"/>
    <w:rsid w:val="00C97461"/>
    <w:rsid w:val="00C97D26"/>
    <w:rsid w:val="00C97E64"/>
    <w:rsid w:val="00CA0402"/>
    <w:rsid w:val="00CA080B"/>
    <w:rsid w:val="00CA0B62"/>
    <w:rsid w:val="00CA1393"/>
    <w:rsid w:val="00CA1586"/>
    <w:rsid w:val="00CA1960"/>
    <w:rsid w:val="00CA1FA5"/>
    <w:rsid w:val="00CA2547"/>
    <w:rsid w:val="00CA2783"/>
    <w:rsid w:val="00CA288D"/>
    <w:rsid w:val="00CA3547"/>
    <w:rsid w:val="00CA3A06"/>
    <w:rsid w:val="00CA3BE2"/>
    <w:rsid w:val="00CA4079"/>
    <w:rsid w:val="00CA4147"/>
    <w:rsid w:val="00CA4A6E"/>
    <w:rsid w:val="00CA60BE"/>
    <w:rsid w:val="00CA6876"/>
    <w:rsid w:val="00CA7203"/>
    <w:rsid w:val="00CA7684"/>
    <w:rsid w:val="00CA7762"/>
    <w:rsid w:val="00CA77EC"/>
    <w:rsid w:val="00CA7C0F"/>
    <w:rsid w:val="00CB0AA6"/>
    <w:rsid w:val="00CB0D8C"/>
    <w:rsid w:val="00CB4E3E"/>
    <w:rsid w:val="00CB691D"/>
    <w:rsid w:val="00CB6980"/>
    <w:rsid w:val="00CB7149"/>
    <w:rsid w:val="00CB739D"/>
    <w:rsid w:val="00CC0351"/>
    <w:rsid w:val="00CC0AA7"/>
    <w:rsid w:val="00CC18EB"/>
    <w:rsid w:val="00CC1DA4"/>
    <w:rsid w:val="00CC2ED5"/>
    <w:rsid w:val="00CC3665"/>
    <w:rsid w:val="00CC39D0"/>
    <w:rsid w:val="00CC3B49"/>
    <w:rsid w:val="00CC55D3"/>
    <w:rsid w:val="00CC5621"/>
    <w:rsid w:val="00CC65E6"/>
    <w:rsid w:val="00CC6B87"/>
    <w:rsid w:val="00CC7517"/>
    <w:rsid w:val="00CC7C7F"/>
    <w:rsid w:val="00CC7F7B"/>
    <w:rsid w:val="00CD0828"/>
    <w:rsid w:val="00CD090F"/>
    <w:rsid w:val="00CD0F5F"/>
    <w:rsid w:val="00CD1F40"/>
    <w:rsid w:val="00CD3660"/>
    <w:rsid w:val="00CD4226"/>
    <w:rsid w:val="00CD444F"/>
    <w:rsid w:val="00CD4772"/>
    <w:rsid w:val="00CD4C2D"/>
    <w:rsid w:val="00CD4C9B"/>
    <w:rsid w:val="00CD70C6"/>
    <w:rsid w:val="00CD7621"/>
    <w:rsid w:val="00CD7A72"/>
    <w:rsid w:val="00CD7C0C"/>
    <w:rsid w:val="00CE0656"/>
    <w:rsid w:val="00CE0AA9"/>
    <w:rsid w:val="00CE0AF3"/>
    <w:rsid w:val="00CE1834"/>
    <w:rsid w:val="00CE1AF1"/>
    <w:rsid w:val="00CE1E70"/>
    <w:rsid w:val="00CE21AB"/>
    <w:rsid w:val="00CE237B"/>
    <w:rsid w:val="00CE281E"/>
    <w:rsid w:val="00CE2EE9"/>
    <w:rsid w:val="00CE3577"/>
    <w:rsid w:val="00CE3E30"/>
    <w:rsid w:val="00CE4C87"/>
    <w:rsid w:val="00CE54B3"/>
    <w:rsid w:val="00CE56DF"/>
    <w:rsid w:val="00CE60A4"/>
    <w:rsid w:val="00CE6327"/>
    <w:rsid w:val="00CE65B6"/>
    <w:rsid w:val="00CE6614"/>
    <w:rsid w:val="00CE6953"/>
    <w:rsid w:val="00CE6F45"/>
    <w:rsid w:val="00CE72F1"/>
    <w:rsid w:val="00CE7AF8"/>
    <w:rsid w:val="00CE7EFD"/>
    <w:rsid w:val="00CF0594"/>
    <w:rsid w:val="00CF07F6"/>
    <w:rsid w:val="00CF0A72"/>
    <w:rsid w:val="00CF0C38"/>
    <w:rsid w:val="00CF0E65"/>
    <w:rsid w:val="00CF1050"/>
    <w:rsid w:val="00CF14E7"/>
    <w:rsid w:val="00CF176F"/>
    <w:rsid w:val="00CF22B9"/>
    <w:rsid w:val="00CF260E"/>
    <w:rsid w:val="00CF2E57"/>
    <w:rsid w:val="00CF400C"/>
    <w:rsid w:val="00CF4196"/>
    <w:rsid w:val="00CF420A"/>
    <w:rsid w:val="00CF4569"/>
    <w:rsid w:val="00CF5685"/>
    <w:rsid w:val="00CF5B97"/>
    <w:rsid w:val="00CF6555"/>
    <w:rsid w:val="00CF6831"/>
    <w:rsid w:val="00CF6B12"/>
    <w:rsid w:val="00CF72FB"/>
    <w:rsid w:val="00D00434"/>
    <w:rsid w:val="00D0051F"/>
    <w:rsid w:val="00D00C6E"/>
    <w:rsid w:val="00D00E71"/>
    <w:rsid w:val="00D013DF"/>
    <w:rsid w:val="00D01626"/>
    <w:rsid w:val="00D01670"/>
    <w:rsid w:val="00D01B9A"/>
    <w:rsid w:val="00D01B9F"/>
    <w:rsid w:val="00D02569"/>
    <w:rsid w:val="00D02B66"/>
    <w:rsid w:val="00D0302D"/>
    <w:rsid w:val="00D03967"/>
    <w:rsid w:val="00D03ED8"/>
    <w:rsid w:val="00D044A9"/>
    <w:rsid w:val="00D04A5B"/>
    <w:rsid w:val="00D05389"/>
    <w:rsid w:val="00D05879"/>
    <w:rsid w:val="00D05E59"/>
    <w:rsid w:val="00D06ACC"/>
    <w:rsid w:val="00D06D9F"/>
    <w:rsid w:val="00D0749E"/>
    <w:rsid w:val="00D07950"/>
    <w:rsid w:val="00D079A1"/>
    <w:rsid w:val="00D10A85"/>
    <w:rsid w:val="00D10ECB"/>
    <w:rsid w:val="00D126BF"/>
    <w:rsid w:val="00D12922"/>
    <w:rsid w:val="00D12A35"/>
    <w:rsid w:val="00D1328A"/>
    <w:rsid w:val="00D1421B"/>
    <w:rsid w:val="00D15782"/>
    <w:rsid w:val="00D169C0"/>
    <w:rsid w:val="00D17C16"/>
    <w:rsid w:val="00D17D1C"/>
    <w:rsid w:val="00D20978"/>
    <w:rsid w:val="00D2129F"/>
    <w:rsid w:val="00D212B8"/>
    <w:rsid w:val="00D21AB3"/>
    <w:rsid w:val="00D222C0"/>
    <w:rsid w:val="00D226BD"/>
    <w:rsid w:val="00D227A3"/>
    <w:rsid w:val="00D2286E"/>
    <w:rsid w:val="00D23085"/>
    <w:rsid w:val="00D24063"/>
    <w:rsid w:val="00D2507A"/>
    <w:rsid w:val="00D256D6"/>
    <w:rsid w:val="00D25795"/>
    <w:rsid w:val="00D257CB"/>
    <w:rsid w:val="00D2650C"/>
    <w:rsid w:val="00D27438"/>
    <w:rsid w:val="00D27775"/>
    <w:rsid w:val="00D2780B"/>
    <w:rsid w:val="00D3044D"/>
    <w:rsid w:val="00D3051D"/>
    <w:rsid w:val="00D31AF4"/>
    <w:rsid w:val="00D31E55"/>
    <w:rsid w:val="00D31E9B"/>
    <w:rsid w:val="00D31FAA"/>
    <w:rsid w:val="00D320EA"/>
    <w:rsid w:val="00D32485"/>
    <w:rsid w:val="00D3343B"/>
    <w:rsid w:val="00D336F0"/>
    <w:rsid w:val="00D3494E"/>
    <w:rsid w:val="00D3508C"/>
    <w:rsid w:val="00D35398"/>
    <w:rsid w:val="00D35751"/>
    <w:rsid w:val="00D35E08"/>
    <w:rsid w:val="00D361AD"/>
    <w:rsid w:val="00D36B85"/>
    <w:rsid w:val="00D36B8B"/>
    <w:rsid w:val="00D36E05"/>
    <w:rsid w:val="00D37829"/>
    <w:rsid w:val="00D40430"/>
    <w:rsid w:val="00D40478"/>
    <w:rsid w:val="00D40656"/>
    <w:rsid w:val="00D40F25"/>
    <w:rsid w:val="00D41858"/>
    <w:rsid w:val="00D4228F"/>
    <w:rsid w:val="00D42688"/>
    <w:rsid w:val="00D4309E"/>
    <w:rsid w:val="00D4389F"/>
    <w:rsid w:val="00D43A94"/>
    <w:rsid w:val="00D43ACD"/>
    <w:rsid w:val="00D43E69"/>
    <w:rsid w:val="00D4411A"/>
    <w:rsid w:val="00D441FD"/>
    <w:rsid w:val="00D4452A"/>
    <w:rsid w:val="00D453B3"/>
    <w:rsid w:val="00D458F9"/>
    <w:rsid w:val="00D45B10"/>
    <w:rsid w:val="00D4691C"/>
    <w:rsid w:val="00D470A4"/>
    <w:rsid w:val="00D509CD"/>
    <w:rsid w:val="00D5112B"/>
    <w:rsid w:val="00D51627"/>
    <w:rsid w:val="00D5292D"/>
    <w:rsid w:val="00D529B8"/>
    <w:rsid w:val="00D533D5"/>
    <w:rsid w:val="00D533F0"/>
    <w:rsid w:val="00D53913"/>
    <w:rsid w:val="00D539B3"/>
    <w:rsid w:val="00D53F31"/>
    <w:rsid w:val="00D54CD3"/>
    <w:rsid w:val="00D54D78"/>
    <w:rsid w:val="00D5547E"/>
    <w:rsid w:val="00D5599F"/>
    <w:rsid w:val="00D55C30"/>
    <w:rsid w:val="00D55DA0"/>
    <w:rsid w:val="00D55E20"/>
    <w:rsid w:val="00D55E59"/>
    <w:rsid w:val="00D55F05"/>
    <w:rsid w:val="00D56528"/>
    <w:rsid w:val="00D57135"/>
    <w:rsid w:val="00D576BD"/>
    <w:rsid w:val="00D6006A"/>
    <w:rsid w:val="00D60623"/>
    <w:rsid w:val="00D6105B"/>
    <w:rsid w:val="00D61725"/>
    <w:rsid w:val="00D61D8A"/>
    <w:rsid w:val="00D62370"/>
    <w:rsid w:val="00D625F3"/>
    <w:rsid w:val="00D629F0"/>
    <w:rsid w:val="00D63531"/>
    <w:rsid w:val="00D63DF9"/>
    <w:rsid w:val="00D64456"/>
    <w:rsid w:val="00D64579"/>
    <w:rsid w:val="00D647FE"/>
    <w:rsid w:val="00D64A6A"/>
    <w:rsid w:val="00D64F07"/>
    <w:rsid w:val="00D65000"/>
    <w:rsid w:val="00D65950"/>
    <w:rsid w:val="00D65D3B"/>
    <w:rsid w:val="00D65F25"/>
    <w:rsid w:val="00D66552"/>
    <w:rsid w:val="00D6740B"/>
    <w:rsid w:val="00D674FA"/>
    <w:rsid w:val="00D676CF"/>
    <w:rsid w:val="00D706F8"/>
    <w:rsid w:val="00D71745"/>
    <w:rsid w:val="00D726C8"/>
    <w:rsid w:val="00D72D3F"/>
    <w:rsid w:val="00D73219"/>
    <w:rsid w:val="00D73C1E"/>
    <w:rsid w:val="00D73D40"/>
    <w:rsid w:val="00D73DF4"/>
    <w:rsid w:val="00D7464D"/>
    <w:rsid w:val="00D74873"/>
    <w:rsid w:val="00D74DBA"/>
    <w:rsid w:val="00D75231"/>
    <w:rsid w:val="00D75375"/>
    <w:rsid w:val="00D760D0"/>
    <w:rsid w:val="00D76372"/>
    <w:rsid w:val="00D767EF"/>
    <w:rsid w:val="00D76B25"/>
    <w:rsid w:val="00D76B6D"/>
    <w:rsid w:val="00D7714C"/>
    <w:rsid w:val="00D778EF"/>
    <w:rsid w:val="00D779E8"/>
    <w:rsid w:val="00D804E8"/>
    <w:rsid w:val="00D80FE0"/>
    <w:rsid w:val="00D8101B"/>
    <w:rsid w:val="00D814AF"/>
    <w:rsid w:val="00D81FED"/>
    <w:rsid w:val="00D82621"/>
    <w:rsid w:val="00D82A5A"/>
    <w:rsid w:val="00D83229"/>
    <w:rsid w:val="00D8349E"/>
    <w:rsid w:val="00D83952"/>
    <w:rsid w:val="00D83D0F"/>
    <w:rsid w:val="00D8430D"/>
    <w:rsid w:val="00D84424"/>
    <w:rsid w:val="00D84E0F"/>
    <w:rsid w:val="00D84E6F"/>
    <w:rsid w:val="00D8560E"/>
    <w:rsid w:val="00D85669"/>
    <w:rsid w:val="00D85AF9"/>
    <w:rsid w:val="00D85CE8"/>
    <w:rsid w:val="00D861B7"/>
    <w:rsid w:val="00D867A4"/>
    <w:rsid w:val="00D86972"/>
    <w:rsid w:val="00D872C3"/>
    <w:rsid w:val="00D87882"/>
    <w:rsid w:val="00D87A05"/>
    <w:rsid w:val="00D87CD8"/>
    <w:rsid w:val="00D90623"/>
    <w:rsid w:val="00D90AD1"/>
    <w:rsid w:val="00D910C1"/>
    <w:rsid w:val="00D914B6"/>
    <w:rsid w:val="00D91956"/>
    <w:rsid w:val="00D92DAB"/>
    <w:rsid w:val="00D9381C"/>
    <w:rsid w:val="00D938D4"/>
    <w:rsid w:val="00D939BD"/>
    <w:rsid w:val="00D93C6D"/>
    <w:rsid w:val="00D9435C"/>
    <w:rsid w:val="00D94576"/>
    <w:rsid w:val="00D945A8"/>
    <w:rsid w:val="00D9559E"/>
    <w:rsid w:val="00D960C4"/>
    <w:rsid w:val="00D97714"/>
    <w:rsid w:val="00DA09E8"/>
    <w:rsid w:val="00DA0C75"/>
    <w:rsid w:val="00DA13E2"/>
    <w:rsid w:val="00DA18DF"/>
    <w:rsid w:val="00DA1979"/>
    <w:rsid w:val="00DA19FC"/>
    <w:rsid w:val="00DA1EBA"/>
    <w:rsid w:val="00DA1ECD"/>
    <w:rsid w:val="00DA37EC"/>
    <w:rsid w:val="00DA3862"/>
    <w:rsid w:val="00DA3A14"/>
    <w:rsid w:val="00DA3F74"/>
    <w:rsid w:val="00DA460C"/>
    <w:rsid w:val="00DA4FCB"/>
    <w:rsid w:val="00DA51A8"/>
    <w:rsid w:val="00DA53FE"/>
    <w:rsid w:val="00DA553A"/>
    <w:rsid w:val="00DA5791"/>
    <w:rsid w:val="00DA58DA"/>
    <w:rsid w:val="00DA5931"/>
    <w:rsid w:val="00DA66AA"/>
    <w:rsid w:val="00DA686D"/>
    <w:rsid w:val="00DA6F81"/>
    <w:rsid w:val="00DA70C2"/>
    <w:rsid w:val="00DA731A"/>
    <w:rsid w:val="00DA7445"/>
    <w:rsid w:val="00DA7E6C"/>
    <w:rsid w:val="00DA7E7C"/>
    <w:rsid w:val="00DB0BF6"/>
    <w:rsid w:val="00DB0F82"/>
    <w:rsid w:val="00DB121D"/>
    <w:rsid w:val="00DB17D0"/>
    <w:rsid w:val="00DB20DD"/>
    <w:rsid w:val="00DB2D9D"/>
    <w:rsid w:val="00DB3BE2"/>
    <w:rsid w:val="00DB4034"/>
    <w:rsid w:val="00DB4247"/>
    <w:rsid w:val="00DB4576"/>
    <w:rsid w:val="00DB481C"/>
    <w:rsid w:val="00DB49FB"/>
    <w:rsid w:val="00DB4B46"/>
    <w:rsid w:val="00DB5415"/>
    <w:rsid w:val="00DB5E3D"/>
    <w:rsid w:val="00DB626D"/>
    <w:rsid w:val="00DB639D"/>
    <w:rsid w:val="00DB63EB"/>
    <w:rsid w:val="00DB681A"/>
    <w:rsid w:val="00DB7098"/>
    <w:rsid w:val="00DC0367"/>
    <w:rsid w:val="00DC04D4"/>
    <w:rsid w:val="00DC0C08"/>
    <w:rsid w:val="00DC24CE"/>
    <w:rsid w:val="00DC2FD1"/>
    <w:rsid w:val="00DC3B7B"/>
    <w:rsid w:val="00DC3CB7"/>
    <w:rsid w:val="00DC3F1E"/>
    <w:rsid w:val="00DC4B06"/>
    <w:rsid w:val="00DC5FCE"/>
    <w:rsid w:val="00DC686C"/>
    <w:rsid w:val="00DC70B2"/>
    <w:rsid w:val="00DC753D"/>
    <w:rsid w:val="00DC7AA4"/>
    <w:rsid w:val="00DD0175"/>
    <w:rsid w:val="00DD0204"/>
    <w:rsid w:val="00DD14AD"/>
    <w:rsid w:val="00DD14EF"/>
    <w:rsid w:val="00DD1DC6"/>
    <w:rsid w:val="00DD2222"/>
    <w:rsid w:val="00DD2BD9"/>
    <w:rsid w:val="00DD3046"/>
    <w:rsid w:val="00DD3E5B"/>
    <w:rsid w:val="00DD432C"/>
    <w:rsid w:val="00DD445D"/>
    <w:rsid w:val="00DD4B24"/>
    <w:rsid w:val="00DD4D8F"/>
    <w:rsid w:val="00DD4FB4"/>
    <w:rsid w:val="00DD4FFD"/>
    <w:rsid w:val="00DD5CAF"/>
    <w:rsid w:val="00DD66B7"/>
    <w:rsid w:val="00DD715A"/>
    <w:rsid w:val="00DD7206"/>
    <w:rsid w:val="00DE0138"/>
    <w:rsid w:val="00DE033C"/>
    <w:rsid w:val="00DE07FA"/>
    <w:rsid w:val="00DE086D"/>
    <w:rsid w:val="00DE09AC"/>
    <w:rsid w:val="00DE0DC0"/>
    <w:rsid w:val="00DE1559"/>
    <w:rsid w:val="00DE2823"/>
    <w:rsid w:val="00DE335C"/>
    <w:rsid w:val="00DE3452"/>
    <w:rsid w:val="00DE3500"/>
    <w:rsid w:val="00DE3666"/>
    <w:rsid w:val="00DE3B5B"/>
    <w:rsid w:val="00DE3B84"/>
    <w:rsid w:val="00DE414A"/>
    <w:rsid w:val="00DE4A7D"/>
    <w:rsid w:val="00DE53A1"/>
    <w:rsid w:val="00DE61F0"/>
    <w:rsid w:val="00DE628C"/>
    <w:rsid w:val="00DE639C"/>
    <w:rsid w:val="00DE726E"/>
    <w:rsid w:val="00DE7ED0"/>
    <w:rsid w:val="00DF1486"/>
    <w:rsid w:val="00DF2999"/>
    <w:rsid w:val="00DF2E1F"/>
    <w:rsid w:val="00DF3BE8"/>
    <w:rsid w:val="00DF4618"/>
    <w:rsid w:val="00DF4BCC"/>
    <w:rsid w:val="00DF5400"/>
    <w:rsid w:val="00DF607B"/>
    <w:rsid w:val="00DF74AF"/>
    <w:rsid w:val="00DF7B31"/>
    <w:rsid w:val="00E0060C"/>
    <w:rsid w:val="00E00822"/>
    <w:rsid w:val="00E00ABF"/>
    <w:rsid w:val="00E00CC6"/>
    <w:rsid w:val="00E019BA"/>
    <w:rsid w:val="00E01DBE"/>
    <w:rsid w:val="00E03131"/>
    <w:rsid w:val="00E0328B"/>
    <w:rsid w:val="00E033D1"/>
    <w:rsid w:val="00E0400B"/>
    <w:rsid w:val="00E04206"/>
    <w:rsid w:val="00E0438A"/>
    <w:rsid w:val="00E0497F"/>
    <w:rsid w:val="00E0560F"/>
    <w:rsid w:val="00E05DDE"/>
    <w:rsid w:val="00E0716D"/>
    <w:rsid w:val="00E071A3"/>
    <w:rsid w:val="00E0764C"/>
    <w:rsid w:val="00E10993"/>
    <w:rsid w:val="00E11C85"/>
    <w:rsid w:val="00E11D76"/>
    <w:rsid w:val="00E11F8B"/>
    <w:rsid w:val="00E124CA"/>
    <w:rsid w:val="00E12E88"/>
    <w:rsid w:val="00E13087"/>
    <w:rsid w:val="00E131D6"/>
    <w:rsid w:val="00E13292"/>
    <w:rsid w:val="00E13EFF"/>
    <w:rsid w:val="00E14793"/>
    <w:rsid w:val="00E148BF"/>
    <w:rsid w:val="00E14A11"/>
    <w:rsid w:val="00E15092"/>
    <w:rsid w:val="00E15180"/>
    <w:rsid w:val="00E15716"/>
    <w:rsid w:val="00E15AF6"/>
    <w:rsid w:val="00E15B95"/>
    <w:rsid w:val="00E16836"/>
    <w:rsid w:val="00E16871"/>
    <w:rsid w:val="00E169BB"/>
    <w:rsid w:val="00E16AFF"/>
    <w:rsid w:val="00E16E76"/>
    <w:rsid w:val="00E1775D"/>
    <w:rsid w:val="00E179C8"/>
    <w:rsid w:val="00E17B12"/>
    <w:rsid w:val="00E20C5B"/>
    <w:rsid w:val="00E210F3"/>
    <w:rsid w:val="00E213D9"/>
    <w:rsid w:val="00E2193D"/>
    <w:rsid w:val="00E21AD7"/>
    <w:rsid w:val="00E21EC6"/>
    <w:rsid w:val="00E23043"/>
    <w:rsid w:val="00E23141"/>
    <w:rsid w:val="00E2326C"/>
    <w:rsid w:val="00E23480"/>
    <w:rsid w:val="00E238B6"/>
    <w:rsid w:val="00E23A91"/>
    <w:rsid w:val="00E2453D"/>
    <w:rsid w:val="00E24AEE"/>
    <w:rsid w:val="00E2558A"/>
    <w:rsid w:val="00E25C24"/>
    <w:rsid w:val="00E260C4"/>
    <w:rsid w:val="00E269E5"/>
    <w:rsid w:val="00E274B8"/>
    <w:rsid w:val="00E31278"/>
    <w:rsid w:val="00E31487"/>
    <w:rsid w:val="00E316D8"/>
    <w:rsid w:val="00E324AC"/>
    <w:rsid w:val="00E327C5"/>
    <w:rsid w:val="00E34151"/>
    <w:rsid w:val="00E350FB"/>
    <w:rsid w:val="00E35178"/>
    <w:rsid w:val="00E35606"/>
    <w:rsid w:val="00E35C95"/>
    <w:rsid w:val="00E36A98"/>
    <w:rsid w:val="00E373A5"/>
    <w:rsid w:val="00E374B4"/>
    <w:rsid w:val="00E37E8C"/>
    <w:rsid w:val="00E37F4A"/>
    <w:rsid w:val="00E41446"/>
    <w:rsid w:val="00E415B0"/>
    <w:rsid w:val="00E4180E"/>
    <w:rsid w:val="00E418C5"/>
    <w:rsid w:val="00E41967"/>
    <w:rsid w:val="00E427CF"/>
    <w:rsid w:val="00E42947"/>
    <w:rsid w:val="00E43434"/>
    <w:rsid w:val="00E43CE4"/>
    <w:rsid w:val="00E43D91"/>
    <w:rsid w:val="00E44C11"/>
    <w:rsid w:val="00E45823"/>
    <w:rsid w:val="00E4619E"/>
    <w:rsid w:val="00E4677D"/>
    <w:rsid w:val="00E469D9"/>
    <w:rsid w:val="00E46C8A"/>
    <w:rsid w:val="00E46D27"/>
    <w:rsid w:val="00E47136"/>
    <w:rsid w:val="00E50EB2"/>
    <w:rsid w:val="00E51588"/>
    <w:rsid w:val="00E52231"/>
    <w:rsid w:val="00E529AF"/>
    <w:rsid w:val="00E54351"/>
    <w:rsid w:val="00E54638"/>
    <w:rsid w:val="00E54D70"/>
    <w:rsid w:val="00E5531B"/>
    <w:rsid w:val="00E5563F"/>
    <w:rsid w:val="00E55E36"/>
    <w:rsid w:val="00E564CC"/>
    <w:rsid w:val="00E56A55"/>
    <w:rsid w:val="00E57008"/>
    <w:rsid w:val="00E571C7"/>
    <w:rsid w:val="00E60143"/>
    <w:rsid w:val="00E60677"/>
    <w:rsid w:val="00E606C0"/>
    <w:rsid w:val="00E60BA7"/>
    <w:rsid w:val="00E60FC9"/>
    <w:rsid w:val="00E61288"/>
    <w:rsid w:val="00E612D9"/>
    <w:rsid w:val="00E625CF"/>
    <w:rsid w:val="00E6287A"/>
    <w:rsid w:val="00E62970"/>
    <w:rsid w:val="00E62A33"/>
    <w:rsid w:val="00E63A61"/>
    <w:rsid w:val="00E640E8"/>
    <w:rsid w:val="00E645B1"/>
    <w:rsid w:val="00E6486B"/>
    <w:rsid w:val="00E648FD"/>
    <w:rsid w:val="00E64F31"/>
    <w:rsid w:val="00E655DD"/>
    <w:rsid w:val="00E6598D"/>
    <w:rsid w:val="00E65E96"/>
    <w:rsid w:val="00E65EB8"/>
    <w:rsid w:val="00E66220"/>
    <w:rsid w:val="00E66413"/>
    <w:rsid w:val="00E67005"/>
    <w:rsid w:val="00E6736E"/>
    <w:rsid w:val="00E67629"/>
    <w:rsid w:val="00E70219"/>
    <w:rsid w:val="00E7097A"/>
    <w:rsid w:val="00E709F1"/>
    <w:rsid w:val="00E713DC"/>
    <w:rsid w:val="00E71CB2"/>
    <w:rsid w:val="00E725E9"/>
    <w:rsid w:val="00E7296F"/>
    <w:rsid w:val="00E73507"/>
    <w:rsid w:val="00E74E73"/>
    <w:rsid w:val="00E75546"/>
    <w:rsid w:val="00E75CC1"/>
    <w:rsid w:val="00E76665"/>
    <w:rsid w:val="00E76711"/>
    <w:rsid w:val="00E76772"/>
    <w:rsid w:val="00E77286"/>
    <w:rsid w:val="00E77A9A"/>
    <w:rsid w:val="00E77C21"/>
    <w:rsid w:val="00E77EB6"/>
    <w:rsid w:val="00E804A8"/>
    <w:rsid w:val="00E80BD8"/>
    <w:rsid w:val="00E80E4B"/>
    <w:rsid w:val="00E81632"/>
    <w:rsid w:val="00E81FA2"/>
    <w:rsid w:val="00E82917"/>
    <w:rsid w:val="00E8307B"/>
    <w:rsid w:val="00E83136"/>
    <w:rsid w:val="00E83789"/>
    <w:rsid w:val="00E837DD"/>
    <w:rsid w:val="00E84390"/>
    <w:rsid w:val="00E85C91"/>
    <w:rsid w:val="00E86A21"/>
    <w:rsid w:val="00E870B9"/>
    <w:rsid w:val="00E87556"/>
    <w:rsid w:val="00E878B2"/>
    <w:rsid w:val="00E87FC4"/>
    <w:rsid w:val="00E90635"/>
    <w:rsid w:val="00E9146C"/>
    <w:rsid w:val="00E917D7"/>
    <w:rsid w:val="00E919B5"/>
    <w:rsid w:val="00E91F0A"/>
    <w:rsid w:val="00E9233C"/>
    <w:rsid w:val="00E92595"/>
    <w:rsid w:val="00E931D6"/>
    <w:rsid w:val="00E93399"/>
    <w:rsid w:val="00E93812"/>
    <w:rsid w:val="00E940D3"/>
    <w:rsid w:val="00E94150"/>
    <w:rsid w:val="00E94411"/>
    <w:rsid w:val="00E9447D"/>
    <w:rsid w:val="00E9460D"/>
    <w:rsid w:val="00E94EFF"/>
    <w:rsid w:val="00E94F51"/>
    <w:rsid w:val="00E94F53"/>
    <w:rsid w:val="00E95061"/>
    <w:rsid w:val="00E95997"/>
    <w:rsid w:val="00E95C24"/>
    <w:rsid w:val="00E961A3"/>
    <w:rsid w:val="00E966ED"/>
    <w:rsid w:val="00E968B7"/>
    <w:rsid w:val="00E97222"/>
    <w:rsid w:val="00E978F9"/>
    <w:rsid w:val="00EA051F"/>
    <w:rsid w:val="00EA0E06"/>
    <w:rsid w:val="00EA18D2"/>
    <w:rsid w:val="00EA2306"/>
    <w:rsid w:val="00EA2773"/>
    <w:rsid w:val="00EA2879"/>
    <w:rsid w:val="00EA2EDF"/>
    <w:rsid w:val="00EA418B"/>
    <w:rsid w:val="00EA44AD"/>
    <w:rsid w:val="00EA44F9"/>
    <w:rsid w:val="00EA5056"/>
    <w:rsid w:val="00EA5DEC"/>
    <w:rsid w:val="00EA5EFA"/>
    <w:rsid w:val="00EA648F"/>
    <w:rsid w:val="00EA668A"/>
    <w:rsid w:val="00EA6D11"/>
    <w:rsid w:val="00EA7040"/>
    <w:rsid w:val="00EA7661"/>
    <w:rsid w:val="00EA769A"/>
    <w:rsid w:val="00EA77FF"/>
    <w:rsid w:val="00EB0D02"/>
    <w:rsid w:val="00EB0DF6"/>
    <w:rsid w:val="00EB11B4"/>
    <w:rsid w:val="00EB1330"/>
    <w:rsid w:val="00EB1515"/>
    <w:rsid w:val="00EB1B2A"/>
    <w:rsid w:val="00EB2C3F"/>
    <w:rsid w:val="00EB2DBC"/>
    <w:rsid w:val="00EB3581"/>
    <w:rsid w:val="00EB3DA6"/>
    <w:rsid w:val="00EB4322"/>
    <w:rsid w:val="00EB466F"/>
    <w:rsid w:val="00EB4BF9"/>
    <w:rsid w:val="00EB505A"/>
    <w:rsid w:val="00EB5182"/>
    <w:rsid w:val="00EB58AF"/>
    <w:rsid w:val="00EB6098"/>
    <w:rsid w:val="00EB6B3F"/>
    <w:rsid w:val="00EB7AE0"/>
    <w:rsid w:val="00EB7DA4"/>
    <w:rsid w:val="00EB7FC3"/>
    <w:rsid w:val="00EC09DD"/>
    <w:rsid w:val="00EC163F"/>
    <w:rsid w:val="00EC1DF2"/>
    <w:rsid w:val="00EC22F0"/>
    <w:rsid w:val="00EC3963"/>
    <w:rsid w:val="00EC42EF"/>
    <w:rsid w:val="00EC462A"/>
    <w:rsid w:val="00EC4CC2"/>
    <w:rsid w:val="00EC514C"/>
    <w:rsid w:val="00EC5755"/>
    <w:rsid w:val="00EC5FA2"/>
    <w:rsid w:val="00EC6281"/>
    <w:rsid w:val="00EC63EC"/>
    <w:rsid w:val="00EC6810"/>
    <w:rsid w:val="00EC6B6D"/>
    <w:rsid w:val="00EC731C"/>
    <w:rsid w:val="00EC787F"/>
    <w:rsid w:val="00EC7ABD"/>
    <w:rsid w:val="00EC7B05"/>
    <w:rsid w:val="00EC7C2C"/>
    <w:rsid w:val="00ED0115"/>
    <w:rsid w:val="00ED1386"/>
    <w:rsid w:val="00ED1702"/>
    <w:rsid w:val="00ED270F"/>
    <w:rsid w:val="00ED2830"/>
    <w:rsid w:val="00ED2ACA"/>
    <w:rsid w:val="00ED2C2F"/>
    <w:rsid w:val="00ED312E"/>
    <w:rsid w:val="00ED3E88"/>
    <w:rsid w:val="00ED4C31"/>
    <w:rsid w:val="00ED6797"/>
    <w:rsid w:val="00ED6EED"/>
    <w:rsid w:val="00ED77FD"/>
    <w:rsid w:val="00ED7C1D"/>
    <w:rsid w:val="00EE0156"/>
    <w:rsid w:val="00EE0D6A"/>
    <w:rsid w:val="00EE1537"/>
    <w:rsid w:val="00EE15C1"/>
    <w:rsid w:val="00EE1682"/>
    <w:rsid w:val="00EE1A56"/>
    <w:rsid w:val="00EE2A4F"/>
    <w:rsid w:val="00EE2DA8"/>
    <w:rsid w:val="00EE3119"/>
    <w:rsid w:val="00EE33D2"/>
    <w:rsid w:val="00EE3788"/>
    <w:rsid w:val="00EE37DA"/>
    <w:rsid w:val="00EE39DF"/>
    <w:rsid w:val="00EE3AE3"/>
    <w:rsid w:val="00EE3BE2"/>
    <w:rsid w:val="00EE450B"/>
    <w:rsid w:val="00EE4776"/>
    <w:rsid w:val="00EE4919"/>
    <w:rsid w:val="00EE5CA7"/>
    <w:rsid w:val="00EE624D"/>
    <w:rsid w:val="00EE67F3"/>
    <w:rsid w:val="00EE7170"/>
    <w:rsid w:val="00EF07D2"/>
    <w:rsid w:val="00EF081E"/>
    <w:rsid w:val="00EF17ED"/>
    <w:rsid w:val="00EF25D5"/>
    <w:rsid w:val="00EF4B06"/>
    <w:rsid w:val="00EF56F7"/>
    <w:rsid w:val="00EF5BCB"/>
    <w:rsid w:val="00EF688F"/>
    <w:rsid w:val="00EF68C3"/>
    <w:rsid w:val="00EF7EC0"/>
    <w:rsid w:val="00F00264"/>
    <w:rsid w:val="00F00BE7"/>
    <w:rsid w:val="00F00E0E"/>
    <w:rsid w:val="00F018B8"/>
    <w:rsid w:val="00F01D28"/>
    <w:rsid w:val="00F022F8"/>
    <w:rsid w:val="00F02613"/>
    <w:rsid w:val="00F02CF2"/>
    <w:rsid w:val="00F030F1"/>
    <w:rsid w:val="00F03653"/>
    <w:rsid w:val="00F03702"/>
    <w:rsid w:val="00F04604"/>
    <w:rsid w:val="00F047A7"/>
    <w:rsid w:val="00F049EE"/>
    <w:rsid w:val="00F04BF0"/>
    <w:rsid w:val="00F06845"/>
    <w:rsid w:val="00F0693A"/>
    <w:rsid w:val="00F07FF9"/>
    <w:rsid w:val="00F10D88"/>
    <w:rsid w:val="00F1106C"/>
    <w:rsid w:val="00F111E8"/>
    <w:rsid w:val="00F112A2"/>
    <w:rsid w:val="00F1142D"/>
    <w:rsid w:val="00F11D28"/>
    <w:rsid w:val="00F124A2"/>
    <w:rsid w:val="00F125AB"/>
    <w:rsid w:val="00F1279D"/>
    <w:rsid w:val="00F12C93"/>
    <w:rsid w:val="00F1309C"/>
    <w:rsid w:val="00F131EF"/>
    <w:rsid w:val="00F1472E"/>
    <w:rsid w:val="00F14E37"/>
    <w:rsid w:val="00F15094"/>
    <w:rsid w:val="00F15A58"/>
    <w:rsid w:val="00F16ED1"/>
    <w:rsid w:val="00F16ED7"/>
    <w:rsid w:val="00F17070"/>
    <w:rsid w:val="00F179C2"/>
    <w:rsid w:val="00F20E4F"/>
    <w:rsid w:val="00F20F2C"/>
    <w:rsid w:val="00F21362"/>
    <w:rsid w:val="00F21452"/>
    <w:rsid w:val="00F21E16"/>
    <w:rsid w:val="00F221A4"/>
    <w:rsid w:val="00F22AEB"/>
    <w:rsid w:val="00F22C78"/>
    <w:rsid w:val="00F236F2"/>
    <w:rsid w:val="00F237FB"/>
    <w:rsid w:val="00F238BA"/>
    <w:rsid w:val="00F23AA1"/>
    <w:rsid w:val="00F243A1"/>
    <w:rsid w:val="00F24AF7"/>
    <w:rsid w:val="00F25332"/>
    <w:rsid w:val="00F255ED"/>
    <w:rsid w:val="00F25DFE"/>
    <w:rsid w:val="00F2614D"/>
    <w:rsid w:val="00F2646E"/>
    <w:rsid w:val="00F269F9"/>
    <w:rsid w:val="00F26D3C"/>
    <w:rsid w:val="00F274D5"/>
    <w:rsid w:val="00F278EC"/>
    <w:rsid w:val="00F27B9D"/>
    <w:rsid w:val="00F30CB0"/>
    <w:rsid w:val="00F3128F"/>
    <w:rsid w:val="00F314C5"/>
    <w:rsid w:val="00F31C83"/>
    <w:rsid w:val="00F3274A"/>
    <w:rsid w:val="00F34572"/>
    <w:rsid w:val="00F3546B"/>
    <w:rsid w:val="00F355BD"/>
    <w:rsid w:val="00F35898"/>
    <w:rsid w:val="00F35A16"/>
    <w:rsid w:val="00F362C3"/>
    <w:rsid w:val="00F37126"/>
    <w:rsid w:val="00F374DE"/>
    <w:rsid w:val="00F40299"/>
    <w:rsid w:val="00F40F08"/>
    <w:rsid w:val="00F41C3F"/>
    <w:rsid w:val="00F433F2"/>
    <w:rsid w:val="00F44061"/>
    <w:rsid w:val="00F4447E"/>
    <w:rsid w:val="00F4457A"/>
    <w:rsid w:val="00F4463A"/>
    <w:rsid w:val="00F447DA"/>
    <w:rsid w:val="00F44AB5"/>
    <w:rsid w:val="00F45CD2"/>
    <w:rsid w:val="00F45EBA"/>
    <w:rsid w:val="00F46113"/>
    <w:rsid w:val="00F46464"/>
    <w:rsid w:val="00F46555"/>
    <w:rsid w:val="00F46CE6"/>
    <w:rsid w:val="00F46DBA"/>
    <w:rsid w:val="00F47029"/>
    <w:rsid w:val="00F474FD"/>
    <w:rsid w:val="00F47A31"/>
    <w:rsid w:val="00F501E9"/>
    <w:rsid w:val="00F5051E"/>
    <w:rsid w:val="00F50CF2"/>
    <w:rsid w:val="00F50E25"/>
    <w:rsid w:val="00F52056"/>
    <w:rsid w:val="00F525DE"/>
    <w:rsid w:val="00F53063"/>
    <w:rsid w:val="00F53BAD"/>
    <w:rsid w:val="00F54878"/>
    <w:rsid w:val="00F54CEB"/>
    <w:rsid w:val="00F54E88"/>
    <w:rsid w:val="00F551E3"/>
    <w:rsid w:val="00F56709"/>
    <w:rsid w:val="00F579C2"/>
    <w:rsid w:val="00F57B9F"/>
    <w:rsid w:val="00F60219"/>
    <w:rsid w:val="00F603A1"/>
    <w:rsid w:val="00F605E0"/>
    <w:rsid w:val="00F60816"/>
    <w:rsid w:val="00F608E3"/>
    <w:rsid w:val="00F60DFA"/>
    <w:rsid w:val="00F61896"/>
    <w:rsid w:val="00F61ADE"/>
    <w:rsid w:val="00F61CF5"/>
    <w:rsid w:val="00F62677"/>
    <w:rsid w:val="00F62A50"/>
    <w:rsid w:val="00F62A69"/>
    <w:rsid w:val="00F62E3B"/>
    <w:rsid w:val="00F63A1F"/>
    <w:rsid w:val="00F641AE"/>
    <w:rsid w:val="00F64ECB"/>
    <w:rsid w:val="00F65EA0"/>
    <w:rsid w:val="00F66F26"/>
    <w:rsid w:val="00F67319"/>
    <w:rsid w:val="00F673E7"/>
    <w:rsid w:val="00F67A84"/>
    <w:rsid w:val="00F70063"/>
    <w:rsid w:val="00F706EA"/>
    <w:rsid w:val="00F70A2F"/>
    <w:rsid w:val="00F711A3"/>
    <w:rsid w:val="00F711BF"/>
    <w:rsid w:val="00F726F4"/>
    <w:rsid w:val="00F73C72"/>
    <w:rsid w:val="00F74A49"/>
    <w:rsid w:val="00F7583D"/>
    <w:rsid w:val="00F76167"/>
    <w:rsid w:val="00F768BE"/>
    <w:rsid w:val="00F7708F"/>
    <w:rsid w:val="00F773CA"/>
    <w:rsid w:val="00F80062"/>
    <w:rsid w:val="00F80B5E"/>
    <w:rsid w:val="00F8120A"/>
    <w:rsid w:val="00F81764"/>
    <w:rsid w:val="00F8213D"/>
    <w:rsid w:val="00F834B1"/>
    <w:rsid w:val="00F84BC5"/>
    <w:rsid w:val="00F850AB"/>
    <w:rsid w:val="00F85371"/>
    <w:rsid w:val="00F85500"/>
    <w:rsid w:val="00F85ABF"/>
    <w:rsid w:val="00F86655"/>
    <w:rsid w:val="00F866BA"/>
    <w:rsid w:val="00F86F78"/>
    <w:rsid w:val="00F87A50"/>
    <w:rsid w:val="00F87C66"/>
    <w:rsid w:val="00F87F4D"/>
    <w:rsid w:val="00F909AD"/>
    <w:rsid w:val="00F90E35"/>
    <w:rsid w:val="00F9168C"/>
    <w:rsid w:val="00F9182E"/>
    <w:rsid w:val="00F91D7A"/>
    <w:rsid w:val="00F93497"/>
    <w:rsid w:val="00F93FB7"/>
    <w:rsid w:val="00F94A60"/>
    <w:rsid w:val="00F94DE9"/>
    <w:rsid w:val="00F95EBF"/>
    <w:rsid w:val="00F95EDA"/>
    <w:rsid w:val="00F960EA"/>
    <w:rsid w:val="00F961B7"/>
    <w:rsid w:val="00F9639F"/>
    <w:rsid w:val="00F963B1"/>
    <w:rsid w:val="00F96484"/>
    <w:rsid w:val="00F9662A"/>
    <w:rsid w:val="00F96A39"/>
    <w:rsid w:val="00F96ECB"/>
    <w:rsid w:val="00F9710C"/>
    <w:rsid w:val="00F97357"/>
    <w:rsid w:val="00F97568"/>
    <w:rsid w:val="00FA05BC"/>
    <w:rsid w:val="00FA0BC3"/>
    <w:rsid w:val="00FA0DA9"/>
    <w:rsid w:val="00FA15DD"/>
    <w:rsid w:val="00FA15EF"/>
    <w:rsid w:val="00FA4542"/>
    <w:rsid w:val="00FA5404"/>
    <w:rsid w:val="00FA5DCD"/>
    <w:rsid w:val="00FA5F5F"/>
    <w:rsid w:val="00FA6435"/>
    <w:rsid w:val="00FA665D"/>
    <w:rsid w:val="00FB048C"/>
    <w:rsid w:val="00FB17FC"/>
    <w:rsid w:val="00FB3374"/>
    <w:rsid w:val="00FB3805"/>
    <w:rsid w:val="00FB388D"/>
    <w:rsid w:val="00FB391E"/>
    <w:rsid w:val="00FB4A89"/>
    <w:rsid w:val="00FB4AD5"/>
    <w:rsid w:val="00FB501D"/>
    <w:rsid w:val="00FB55A7"/>
    <w:rsid w:val="00FB592A"/>
    <w:rsid w:val="00FB5DFF"/>
    <w:rsid w:val="00FB6EDF"/>
    <w:rsid w:val="00FB7265"/>
    <w:rsid w:val="00FB7FDE"/>
    <w:rsid w:val="00FC0084"/>
    <w:rsid w:val="00FC0AFC"/>
    <w:rsid w:val="00FC0CD0"/>
    <w:rsid w:val="00FC0DC0"/>
    <w:rsid w:val="00FC23C7"/>
    <w:rsid w:val="00FC27F5"/>
    <w:rsid w:val="00FC2914"/>
    <w:rsid w:val="00FC2BAA"/>
    <w:rsid w:val="00FC2CF3"/>
    <w:rsid w:val="00FC2D13"/>
    <w:rsid w:val="00FC2D8E"/>
    <w:rsid w:val="00FC4400"/>
    <w:rsid w:val="00FC55D6"/>
    <w:rsid w:val="00FC5B69"/>
    <w:rsid w:val="00FC5C84"/>
    <w:rsid w:val="00FC5D07"/>
    <w:rsid w:val="00FC5F8B"/>
    <w:rsid w:val="00FC6713"/>
    <w:rsid w:val="00FC7002"/>
    <w:rsid w:val="00FC7348"/>
    <w:rsid w:val="00FC7DAE"/>
    <w:rsid w:val="00FD0944"/>
    <w:rsid w:val="00FD0A8C"/>
    <w:rsid w:val="00FD116C"/>
    <w:rsid w:val="00FD1696"/>
    <w:rsid w:val="00FD1C85"/>
    <w:rsid w:val="00FD1E65"/>
    <w:rsid w:val="00FD2DCD"/>
    <w:rsid w:val="00FD3BA8"/>
    <w:rsid w:val="00FD3D46"/>
    <w:rsid w:val="00FD3EA0"/>
    <w:rsid w:val="00FD3F15"/>
    <w:rsid w:val="00FD3F2A"/>
    <w:rsid w:val="00FD3F66"/>
    <w:rsid w:val="00FD4108"/>
    <w:rsid w:val="00FD5D44"/>
    <w:rsid w:val="00FD6825"/>
    <w:rsid w:val="00FD70C8"/>
    <w:rsid w:val="00FD7261"/>
    <w:rsid w:val="00FE02BB"/>
    <w:rsid w:val="00FE0AB0"/>
    <w:rsid w:val="00FE1216"/>
    <w:rsid w:val="00FE1A27"/>
    <w:rsid w:val="00FE3265"/>
    <w:rsid w:val="00FE4054"/>
    <w:rsid w:val="00FE4070"/>
    <w:rsid w:val="00FE42E7"/>
    <w:rsid w:val="00FE459E"/>
    <w:rsid w:val="00FE46F3"/>
    <w:rsid w:val="00FE48A8"/>
    <w:rsid w:val="00FE4DB8"/>
    <w:rsid w:val="00FE4F34"/>
    <w:rsid w:val="00FE5B97"/>
    <w:rsid w:val="00FE699A"/>
    <w:rsid w:val="00FE6FBD"/>
    <w:rsid w:val="00FE75B2"/>
    <w:rsid w:val="00FE75FF"/>
    <w:rsid w:val="00FE76A8"/>
    <w:rsid w:val="00FF06C4"/>
    <w:rsid w:val="00FF0795"/>
    <w:rsid w:val="00FF0978"/>
    <w:rsid w:val="00FF11EE"/>
    <w:rsid w:val="00FF1A1C"/>
    <w:rsid w:val="00FF1DB2"/>
    <w:rsid w:val="00FF37E2"/>
    <w:rsid w:val="00FF3ED1"/>
    <w:rsid w:val="00FF4506"/>
    <w:rsid w:val="00FF4527"/>
    <w:rsid w:val="00FF4BE4"/>
    <w:rsid w:val="00FF4BE6"/>
    <w:rsid w:val="00FF6820"/>
    <w:rsid w:val="00FF7AA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3E90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qFormat="1"/>
    <w:lsdException w:name="caption" w:uiPriority="35" w:qFormat="1"/>
    <w:lsdException w:name="footnote reference" w:qFormat="1"/>
    <w:lsdException w:name="annotation reference" w:qFormat="1"/>
    <w:lsdException w:name="page number" w:uiPriority="0" w:qFormat="1"/>
    <w:lsdException w:name="List" w:uiPriority="0"/>
    <w:lsdException w:name="List Bullet"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Balloon Text"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3FF7"/>
  </w:style>
  <w:style w:type="paragraph" w:styleId="Heading1">
    <w:name w:val="heading 1"/>
    <w:basedOn w:val="Normal"/>
    <w:next w:val="Normal"/>
    <w:link w:val="Heading1Char"/>
    <w:uiPriority w:val="9"/>
    <w:qFormat/>
    <w:rsid w:val="007E09F5"/>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7E09F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7E09F5"/>
    <w:pPr>
      <w:pBdr>
        <w:top w:val="single" w:sz="6" w:space="2" w:color="5B9BD5" w:themeColor="accent1"/>
      </w:pBdr>
      <w:spacing w:before="300" w:after="0"/>
      <w:outlineLvl w:val="2"/>
    </w:pPr>
    <w:rPr>
      <w:caps/>
      <w:color w:val="1F4D78" w:themeColor="accent1" w:themeShade="7F"/>
      <w:spacing w:val="15"/>
    </w:rPr>
  </w:style>
  <w:style w:type="paragraph" w:styleId="Heading4">
    <w:name w:val="heading 4"/>
    <w:basedOn w:val="Normal"/>
    <w:next w:val="Normal"/>
    <w:link w:val="Heading4Char"/>
    <w:uiPriority w:val="9"/>
    <w:unhideWhenUsed/>
    <w:qFormat/>
    <w:rsid w:val="007E09F5"/>
    <w:pPr>
      <w:pBdr>
        <w:top w:val="dotted" w:sz="6" w:space="2" w:color="5B9BD5" w:themeColor="accent1"/>
      </w:pBdr>
      <w:spacing w:before="200" w:after="0"/>
      <w:outlineLvl w:val="3"/>
    </w:pPr>
    <w:rPr>
      <w:caps/>
      <w:color w:val="2E74B5" w:themeColor="accent1" w:themeShade="BF"/>
      <w:spacing w:val="10"/>
    </w:rPr>
  </w:style>
  <w:style w:type="paragraph" w:styleId="Heading5">
    <w:name w:val="heading 5"/>
    <w:basedOn w:val="Normal"/>
    <w:next w:val="Normal"/>
    <w:link w:val="Heading5Char"/>
    <w:uiPriority w:val="9"/>
    <w:unhideWhenUsed/>
    <w:qFormat/>
    <w:rsid w:val="007E09F5"/>
    <w:pPr>
      <w:pBdr>
        <w:bottom w:val="single" w:sz="6" w:space="1" w:color="5B9BD5" w:themeColor="accent1"/>
      </w:pBdr>
      <w:spacing w:before="200" w:after="0"/>
      <w:outlineLvl w:val="4"/>
    </w:pPr>
    <w:rPr>
      <w:caps/>
      <w:color w:val="2E74B5" w:themeColor="accent1" w:themeShade="BF"/>
      <w:spacing w:val="10"/>
    </w:rPr>
  </w:style>
  <w:style w:type="paragraph" w:styleId="Heading6">
    <w:name w:val="heading 6"/>
    <w:basedOn w:val="Normal"/>
    <w:next w:val="Normal"/>
    <w:link w:val="Heading6Char"/>
    <w:uiPriority w:val="9"/>
    <w:semiHidden/>
    <w:unhideWhenUsed/>
    <w:qFormat/>
    <w:rsid w:val="007E09F5"/>
    <w:pPr>
      <w:pBdr>
        <w:bottom w:val="dotted" w:sz="6" w:space="1" w:color="5B9BD5" w:themeColor="accent1"/>
      </w:pBdr>
      <w:spacing w:before="200" w:after="0"/>
      <w:outlineLvl w:val="5"/>
    </w:pPr>
    <w:rPr>
      <w:caps/>
      <w:color w:val="2E74B5" w:themeColor="accent1" w:themeShade="BF"/>
      <w:spacing w:val="10"/>
    </w:rPr>
  </w:style>
  <w:style w:type="paragraph" w:styleId="Heading7">
    <w:name w:val="heading 7"/>
    <w:basedOn w:val="Normal"/>
    <w:next w:val="Normal"/>
    <w:link w:val="Heading7Char"/>
    <w:uiPriority w:val="9"/>
    <w:semiHidden/>
    <w:unhideWhenUsed/>
    <w:qFormat/>
    <w:rsid w:val="007E09F5"/>
    <w:pPr>
      <w:spacing w:before="200" w:after="0"/>
      <w:outlineLvl w:val="6"/>
    </w:pPr>
    <w:rPr>
      <w:caps/>
      <w:color w:val="2E74B5" w:themeColor="accent1" w:themeShade="BF"/>
      <w:spacing w:val="10"/>
    </w:rPr>
  </w:style>
  <w:style w:type="paragraph" w:styleId="Heading8">
    <w:name w:val="heading 8"/>
    <w:basedOn w:val="Normal"/>
    <w:next w:val="Normal"/>
    <w:link w:val="Heading8Char"/>
    <w:uiPriority w:val="9"/>
    <w:semiHidden/>
    <w:unhideWhenUsed/>
    <w:qFormat/>
    <w:rsid w:val="007E09F5"/>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7E09F5"/>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E09F5"/>
    <w:rPr>
      <w:caps/>
      <w:color w:val="FFFFFF" w:themeColor="background1"/>
      <w:spacing w:val="15"/>
      <w:sz w:val="22"/>
      <w:szCs w:val="22"/>
      <w:shd w:val="clear" w:color="auto" w:fill="5B9BD5" w:themeFill="accent1"/>
    </w:rPr>
  </w:style>
  <w:style w:type="character" w:customStyle="1" w:styleId="Heading2Char">
    <w:name w:val="Heading 2 Char"/>
    <w:basedOn w:val="DefaultParagraphFont"/>
    <w:link w:val="Heading2"/>
    <w:uiPriority w:val="9"/>
    <w:qFormat/>
    <w:rsid w:val="007E09F5"/>
    <w:rPr>
      <w:caps/>
      <w:spacing w:val="15"/>
      <w:shd w:val="clear" w:color="auto" w:fill="DEEAF6" w:themeFill="accent1" w:themeFillTint="33"/>
    </w:rPr>
  </w:style>
  <w:style w:type="character" w:customStyle="1" w:styleId="Heading3Char">
    <w:name w:val="Heading 3 Char"/>
    <w:basedOn w:val="DefaultParagraphFont"/>
    <w:link w:val="Heading3"/>
    <w:uiPriority w:val="9"/>
    <w:qFormat/>
    <w:rsid w:val="007E09F5"/>
    <w:rPr>
      <w:caps/>
      <w:color w:val="1F4D78" w:themeColor="accent1" w:themeShade="7F"/>
      <w:spacing w:val="15"/>
    </w:rPr>
  </w:style>
  <w:style w:type="character" w:customStyle="1" w:styleId="Heading4Char">
    <w:name w:val="Heading 4 Char"/>
    <w:basedOn w:val="DefaultParagraphFont"/>
    <w:link w:val="Heading4"/>
    <w:uiPriority w:val="9"/>
    <w:rsid w:val="007E09F5"/>
    <w:rPr>
      <w:caps/>
      <w:color w:val="2E74B5" w:themeColor="accent1" w:themeShade="BF"/>
      <w:spacing w:val="10"/>
    </w:rPr>
  </w:style>
  <w:style w:type="character" w:customStyle="1" w:styleId="Heading5Char">
    <w:name w:val="Heading 5 Char"/>
    <w:basedOn w:val="DefaultParagraphFont"/>
    <w:link w:val="Heading5"/>
    <w:uiPriority w:val="9"/>
    <w:rsid w:val="007E09F5"/>
    <w:rPr>
      <w:caps/>
      <w:color w:val="2E74B5" w:themeColor="accent1" w:themeShade="BF"/>
      <w:spacing w:val="10"/>
    </w:rPr>
  </w:style>
  <w:style w:type="character" w:customStyle="1" w:styleId="Heading6Char">
    <w:name w:val="Heading 6 Char"/>
    <w:basedOn w:val="DefaultParagraphFont"/>
    <w:link w:val="Heading6"/>
    <w:uiPriority w:val="9"/>
    <w:semiHidden/>
    <w:rsid w:val="007E09F5"/>
    <w:rPr>
      <w:caps/>
      <w:color w:val="2E74B5" w:themeColor="accent1" w:themeShade="BF"/>
      <w:spacing w:val="10"/>
    </w:rPr>
  </w:style>
  <w:style w:type="character" w:customStyle="1" w:styleId="Heading7Char">
    <w:name w:val="Heading 7 Char"/>
    <w:basedOn w:val="DefaultParagraphFont"/>
    <w:link w:val="Heading7"/>
    <w:uiPriority w:val="9"/>
    <w:semiHidden/>
    <w:rsid w:val="007E09F5"/>
    <w:rPr>
      <w:caps/>
      <w:color w:val="2E74B5" w:themeColor="accent1" w:themeShade="BF"/>
      <w:spacing w:val="10"/>
    </w:rPr>
  </w:style>
  <w:style w:type="character" w:customStyle="1" w:styleId="Heading8Char">
    <w:name w:val="Heading 8 Char"/>
    <w:basedOn w:val="DefaultParagraphFont"/>
    <w:link w:val="Heading8"/>
    <w:uiPriority w:val="9"/>
    <w:semiHidden/>
    <w:rsid w:val="007E09F5"/>
    <w:rPr>
      <w:caps/>
      <w:spacing w:val="10"/>
      <w:sz w:val="18"/>
      <w:szCs w:val="18"/>
    </w:rPr>
  </w:style>
  <w:style w:type="character" w:customStyle="1" w:styleId="Heading9Char">
    <w:name w:val="Heading 9 Char"/>
    <w:basedOn w:val="DefaultParagraphFont"/>
    <w:link w:val="Heading9"/>
    <w:uiPriority w:val="9"/>
    <w:semiHidden/>
    <w:rsid w:val="007E09F5"/>
    <w:rPr>
      <w:i/>
      <w:iCs/>
      <w:caps/>
      <w:spacing w:val="10"/>
      <w:sz w:val="18"/>
      <w:szCs w:val="18"/>
    </w:rPr>
  </w:style>
  <w:style w:type="paragraph" w:styleId="FootnoteText">
    <w:name w:val="footnote text"/>
    <w:aliases w:val="single space,footnote text,fn,FOOTNOTES,Footnote Text Char Char Char Char,Footnote Text Char Char Char,ADB,Footnote Text Char Char Char Char Char,Footnote Text Char Char1,ft,Texto nota pie Car,ft Car,ft Car Car,Texto nota pie2,ft1,f,A"/>
    <w:basedOn w:val="Normal"/>
    <w:link w:val="FootnoteTextChar"/>
    <w:uiPriority w:val="99"/>
    <w:qFormat/>
    <w:rsid w:val="007D6B29"/>
    <w:pPr>
      <w:spacing w:after="0" w:line="240" w:lineRule="auto"/>
    </w:pPr>
    <w:rPr>
      <w:rFonts w:ascii="Calibri" w:eastAsia="Times New Roman" w:hAnsi="Calibri" w:cs="Times New Roman"/>
    </w:rPr>
  </w:style>
  <w:style w:type="character" w:customStyle="1" w:styleId="FootnoteTextChar">
    <w:name w:val="Footnote Text Char"/>
    <w:aliases w:val="single space Char,footnote text Char,fn Char,FOOTNOTES Char,Footnote Text Char Char Char Char Char1,Footnote Text Char Char Char Char1,ADB Char,Footnote Text Char Char Char Char Char Char,Footnote Text Char Char1 Char,ft Char,ft1 Char"/>
    <w:basedOn w:val="DefaultParagraphFont"/>
    <w:link w:val="FootnoteText"/>
    <w:uiPriority w:val="99"/>
    <w:qFormat/>
    <w:rsid w:val="007D6B29"/>
    <w:rPr>
      <w:rFonts w:ascii="Calibri" w:eastAsia="Times New Roman" w:hAnsi="Calibri" w:cs="Times New Roman"/>
      <w:sz w:val="20"/>
      <w:szCs w:val="20"/>
    </w:rPr>
  </w:style>
  <w:style w:type="character" w:styleId="FootnoteReference">
    <w:name w:val="footnote reference"/>
    <w:aliases w:val="ftref,Normal + Font:9 Point,Superscript 3 Point Times,SUPERS,EN Footnote Reference,number,Char Char,BVI fnr,Footnote symbol,Footnote reference number,note TESI,ftref Char,BVI fnr Char,BVI fnr Car Char,Char Char Car Char,16 Point Char"/>
    <w:link w:val="NumPar1"/>
    <w:uiPriority w:val="99"/>
    <w:qFormat/>
    <w:rsid w:val="007D6B29"/>
    <w:rPr>
      <w:vertAlign w:val="superscript"/>
    </w:rPr>
  </w:style>
  <w:style w:type="paragraph" w:customStyle="1" w:styleId="NumPar1">
    <w:name w:val="NumPar 1"/>
    <w:basedOn w:val="Normal"/>
    <w:next w:val="Normal"/>
    <w:link w:val="FootnoteReference"/>
    <w:uiPriority w:val="99"/>
    <w:rsid w:val="007D6B29"/>
    <w:pPr>
      <w:numPr>
        <w:numId w:val="1"/>
      </w:numPr>
      <w:spacing w:before="120" w:after="120" w:line="240" w:lineRule="auto"/>
      <w:jc w:val="both"/>
    </w:pPr>
    <w:rPr>
      <w:vertAlign w:val="superscript"/>
    </w:rPr>
  </w:style>
  <w:style w:type="character" w:styleId="Hyperlink">
    <w:name w:val="Hyperlink"/>
    <w:uiPriority w:val="99"/>
    <w:rsid w:val="007D6B29"/>
    <w:rPr>
      <w:color w:val="0000FF"/>
      <w:u w:val="single"/>
    </w:rPr>
  </w:style>
  <w:style w:type="paragraph" w:customStyle="1" w:styleId="NumPar2">
    <w:name w:val="NumPar 2"/>
    <w:basedOn w:val="Normal"/>
    <w:next w:val="Normal"/>
    <w:rsid w:val="007D6B29"/>
    <w:pPr>
      <w:numPr>
        <w:ilvl w:val="1"/>
        <w:numId w:val="1"/>
      </w:numPr>
      <w:spacing w:before="120" w:after="120" w:line="240" w:lineRule="auto"/>
      <w:jc w:val="both"/>
    </w:pPr>
    <w:rPr>
      <w:rFonts w:ascii="Tunga" w:eastAsia="Arial Unicode MS" w:hAnsi="Tunga" w:cs="Tunga"/>
      <w:snapToGrid w:val="0"/>
    </w:rPr>
  </w:style>
  <w:style w:type="paragraph" w:customStyle="1" w:styleId="NumPar3">
    <w:name w:val="NumPar 3"/>
    <w:basedOn w:val="Normal"/>
    <w:next w:val="Normal"/>
    <w:rsid w:val="007D6B29"/>
    <w:pPr>
      <w:numPr>
        <w:ilvl w:val="2"/>
        <w:numId w:val="1"/>
      </w:numPr>
      <w:spacing w:before="120" w:after="120" w:line="240" w:lineRule="auto"/>
      <w:jc w:val="both"/>
    </w:pPr>
    <w:rPr>
      <w:rFonts w:ascii="Tunga" w:eastAsia="Arial Unicode MS" w:hAnsi="Tunga" w:cs="Tunga"/>
      <w:snapToGrid w:val="0"/>
    </w:rPr>
  </w:style>
  <w:style w:type="paragraph" w:customStyle="1" w:styleId="NumPar4">
    <w:name w:val="NumPar 4"/>
    <w:basedOn w:val="Normal"/>
    <w:next w:val="Normal"/>
    <w:rsid w:val="007D6B29"/>
    <w:pPr>
      <w:numPr>
        <w:ilvl w:val="3"/>
        <w:numId w:val="1"/>
      </w:numPr>
      <w:spacing w:before="120" w:after="120" w:line="240" w:lineRule="auto"/>
      <w:jc w:val="both"/>
    </w:pPr>
    <w:rPr>
      <w:rFonts w:ascii="Tunga" w:eastAsia="Arial Unicode MS" w:hAnsi="Tunga" w:cs="Tunga"/>
      <w:snapToGrid w:val="0"/>
    </w:rPr>
  </w:style>
  <w:style w:type="character" w:customStyle="1" w:styleId="UnresolvedMention1">
    <w:name w:val="Unresolved Mention1"/>
    <w:basedOn w:val="DefaultParagraphFont"/>
    <w:uiPriority w:val="99"/>
    <w:semiHidden/>
    <w:unhideWhenUsed/>
    <w:rsid w:val="00715680"/>
    <w:rPr>
      <w:color w:val="605E5C"/>
      <w:shd w:val="clear" w:color="auto" w:fill="E1DFDD"/>
    </w:rPr>
  </w:style>
  <w:style w:type="character" w:styleId="Strong">
    <w:name w:val="Strong"/>
    <w:uiPriority w:val="22"/>
    <w:qFormat/>
    <w:rsid w:val="007E09F5"/>
    <w:rPr>
      <w:b/>
      <w:bCs/>
    </w:rPr>
  </w:style>
  <w:style w:type="paragraph" w:styleId="NormalWeb">
    <w:name w:val="Normal (Web)"/>
    <w:basedOn w:val="Normal"/>
    <w:uiPriority w:val="99"/>
    <w:unhideWhenUsed/>
    <w:qFormat/>
    <w:rsid w:val="003752C7"/>
    <w:pPr>
      <w:spacing w:before="300" w:after="300" w:line="240" w:lineRule="auto"/>
    </w:pPr>
    <w:rPr>
      <w:rFonts w:ascii="Times New Roman" w:eastAsia="Times New Roman" w:hAnsi="Times New Roman" w:cs="Times New Roman"/>
      <w:sz w:val="24"/>
      <w:szCs w:val="24"/>
      <w:lang w:val="en-GB" w:eastAsia="en-GB"/>
    </w:rPr>
  </w:style>
  <w:style w:type="paragraph" w:styleId="BalloonText">
    <w:name w:val="Balloon Text"/>
    <w:basedOn w:val="Normal"/>
    <w:link w:val="BalloonTextChar"/>
    <w:uiPriority w:val="99"/>
    <w:unhideWhenUsed/>
    <w:qFormat/>
    <w:rsid w:val="00FF06C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qFormat/>
    <w:rsid w:val="00FF06C4"/>
    <w:rPr>
      <w:rFonts w:ascii="Segoe UI" w:hAnsi="Segoe UI" w:cs="Segoe UI"/>
      <w:sz w:val="18"/>
      <w:szCs w:val="18"/>
    </w:rPr>
  </w:style>
  <w:style w:type="table" w:styleId="TableGrid">
    <w:name w:val="Table Grid"/>
    <w:basedOn w:val="TableNormal"/>
    <w:uiPriority w:val="39"/>
    <w:rsid w:val="002076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51">
    <w:name w:val="Grid Table 1 Light - Accent 51"/>
    <w:basedOn w:val="TableNormal"/>
    <w:uiPriority w:val="46"/>
    <w:rsid w:val="002076AF"/>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GridTable3-Accent51">
    <w:name w:val="Grid Table 3 - Accent 51"/>
    <w:basedOn w:val="TableNormal"/>
    <w:uiPriority w:val="48"/>
    <w:rsid w:val="002076AF"/>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GridTable2-Accent11">
    <w:name w:val="Grid Table 2 - Accent 11"/>
    <w:basedOn w:val="TableNormal"/>
    <w:uiPriority w:val="47"/>
    <w:rsid w:val="002076AF"/>
    <w:pPr>
      <w:spacing w:after="0" w:line="240" w:lineRule="auto"/>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GridTable4-Accent11">
    <w:name w:val="Grid Table 4 - Accent 11"/>
    <w:basedOn w:val="TableNormal"/>
    <w:uiPriority w:val="49"/>
    <w:rsid w:val="002076AF"/>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GridTable6Colorful-Accent51">
    <w:name w:val="Grid Table 6 Colorful - Accent 51"/>
    <w:basedOn w:val="TableNormal"/>
    <w:uiPriority w:val="51"/>
    <w:rsid w:val="002076AF"/>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Caption">
    <w:name w:val="caption"/>
    <w:basedOn w:val="Normal"/>
    <w:next w:val="Normal"/>
    <w:uiPriority w:val="35"/>
    <w:unhideWhenUsed/>
    <w:qFormat/>
    <w:rsid w:val="007E09F5"/>
    <w:rPr>
      <w:b/>
      <w:bCs/>
      <w:color w:val="2E74B5" w:themeColor="accent1" w:themeShade="BF"/>
      <w:sz w:val="16"/>
      <w:szCs w:val="16"/>
    </w:rPr>
  </w:style>
  <w:style w:type="paragraph" w:styleId="Title">
    <w:name w:val="Title"/>
    <w:basedOn w:val="Normal"/>
    <w:next w:val="Normal"/>
    <w:link w:val="TitleChar"/>
    <w:uiPriority w:val="10"/>
    <w:qFormat/>
    <w:rsid w:val="007E09F5"/>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itleChar">
    <w:name w:val="Title Char"/>
    <w:basedOn w:val="DefaultParagraphFont"/>
    <w:link w:val="Title"/>
    <w:uiPriority w:val="10"/>
    <w:rsid w:val="007E09F5"/>
    <w:rPr>
      <w:rFonts w:asciiTheme="majorHAnsi" w:eastAsiaTheme="majorEastAsia" w:hAnsiTheme="majorHAnsi" w:cstheme="majorBidi"/>
      <w:caps/>
      <w:color w:val="5B9BD5" w:themeColor="accent1"/>
      <w:spacing w:val="10"/>
      <w:sz w:val="52"/>
      <w:szCs w:val="52"/>
    </w:rPr>
  </w:style>
  <w:style w:type="paragraph" w:styleId="Subtitle">
    <w:name w:val="Subtitle"/>
    <w:basedOn w:val="Normal"/>
    <w:next w:val="Normal"/>
    <w:link w:val="SubtitleChar"/>
    <w:uiPriority w:val="11"/>
    <w:qFormat/>
    <w:rsid w:val="007E09F5"/>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7E09F5"/>
    <w:rPr>
      <w:caps/>
      <w:color w:val="595959" w:themeColor="text1" w:themeTint="A6"/>
      <w:spacing w:val="10"/>
      <w:sz w:val="21"/>
      <w:szCs w:val="21"/>
    </w:rPr>
  </w:style>
  <w:style w:type="character" w:styleId="Emphasis">
    <w:name w:val="Emphasis"/>
    <w:uiPriority w:val="20"/>
    <w:qFormat/>
    <w:rsid w:val="007E09F5"/>
    <w:rPr>
      <w:caps/>
      <w:color w:val="1F4D78" w:themeColor="accent1" w:themeShade="7F"/>
      <w:spacing w:val="5"/>
    </w:rPr>
  </w:style>
  <w:style w:type="paragraph" w:styleId="NoSpacing">
    <w:name w:val="No Spacing"/>
    <w:link w:val="NoSpacingChar"/>
    <w:uiPriority w:val="1"/>
    <w:qFormat/>
    <w:rsid w:val="007E09F5"/>
    <w:pPr>
      <w:spacing w:after="0" w:line="240" w:lineRule="auto"/>
    </w:pPr>
  </w:style>
  <w:style w:type="paragraph" w:styleId="Quote">
    <w:name w:val="Quote"/>
    <w:basedOn w:val="Normal"/>
    <w:next w:val="Normal"/>
    <w:link w:val="QuoteChar"/>
    <w:uiPriority w:val="29"/>
    <w:qFormat/>
    <w:rsid w:val="007E09F5"/>
    <w:rPr>
      <w:i/>
      <w:iCs/>
      <w:sz w:val="24"/>
      <w:szCs w:val="24"/>
    </w:rPr>
  </w:style>
  <w:style w:type="character" w:customStyle="1" w:styleId="QuoteChar">
    <w:name w:val="Quote Char"/>
    <w:basedOn w:val="DefaultParagraphFont"/>
    <w:link w:val="Quote"/>
    <w:uiPriority w:val="29"/>
    <w:rsid w:val="007E09F5"/>
    <w:rPr>
      <w:i/>
      <w:iCs/>
      <w:sz w:val="24"/>
      <w:szCs w:val="24"/>
    </w:rPr>
  </w:style>
  <w:style w:type="paragraph" w:styleId="IntenseQuote">
    <w:name w:val="Intense Quote"/>
    <w:basedOn w:val="Normal"/>
    <w:next w:val="Normal"/>
    <w:link w:val="IntenseQuoteChar"/>
    <w:uiPriority w:val="30"/>
    <w:qFormat/>
    <w:rsid w:val="007E09F5"/>
    <w:pPr>
      <w:spacing w:before="240" w:after="240" w:line="240" w:lineRule="auto"/>
      <w:ind w:left="1080" w:right="1080"/>
      <w:jc w:val="center"/>
    </w:pPr>
    <w:rPr>
      <w:color w:val="5B9BD5" w:themeColor="accent1"/>
      <w:sz w:val="24"/>
      <w:szCs w:val="24"/>
    </w:rPr>
  </w:style>
  <w:style w:type="character" w:customStyle="1" w:styleId="IntenseQuoteChar">
    <w:name w:val="Intense Quote Char"/>
    <w:basedOn w:val="DefaultParagraphFont"/>
    <w:link w:val="IntenseQuote"/>
    <w:uiPriority w:val="30"/>
    <w:rsid w:val="007E09F5"/>
    <w:rPr>
      <w:color w:val="5B9BD5" w:themeColor="accent1"/>
      <w:sz w:val="24"/>
      <w:szCs w:val="24"/>
    </w:rPr>
  </w:style>
  <w:style w:type="character" w:styleId="SubtleEmphasis">
    <w:name w:val="Subtle Emphasis"/>
    <w:qFormat/>
    <w:rsid w:val="007E09F5"/>
    <w:rPr>
      <w:i/>
      <w:iCs/>
      <w:color w:val="1F4D78" w:themeColor="accent1" w:themeShade="7F"/>
    </w:rPr>
  </w:style>
  <w:style w:type="character" w:styleId="IntenseEmphasis">
    <w:name w:val="Intense Emphasis"/>
    <w:uiPriority w:val="21"/>
    <w:qFormat/>
    <w:rsid w:val="007E09F5"/>
    <w:rPr>
      <w:b/>
      <w:bCs/>
      <w:caps/>
      <w:color w:val="1F4D78" w:themeColor="accent1" w:themeShade="7F"/>
      <w:spacing w:val="10"/>
    </w:rPr>
  </w:style>
  <w:style w:type="character" w:styleId="SubtleReference">
    <w:name w:val="Subtle Reference"/>
    <w:uiPriority w:val="31"/>
    <w:qFormat/>
    <w:rsid w:val="007E09F5"/>
    <w:rPr>
      <w:b/>
      <w:bCs/>
      <w:color w:val="5B9BD5" w:themeColor="accent1"/>
    </w:rPr>
  </w:style>
  <w:style w:type="character" w:styleId="IntenseReference">
    <w:name w:val="Intense Reference"/>
    <w:uiPriority w:val="32"/>
    <w:qFormat/>
    <w:rsid w:val="007E09F5"/>
    <w:rPr>
      <w:b/>
      <w:bCs/>
      <w:i/>
      <w:iCs/>
      <w:caps/>
      <w:color w:val="5B9BD5" w:themeColor="accent1"/>
    </w:rPr>
  </w:style>
  <w:style w:type="character" w:styleId="BookTitle">
    <w:name w:val="Book Title"/>
    <w:uiPriority w:val="33"/>
    <w:qFormat/>
    <w:rsid w:val="007E09F5"/>
    <w:rPr>
      <w:b/>
      <w:bCs/>
      <w:i/>
      <w:iCs/>
      <w:spacing w:val="0"/>
    </w:rPr>
  </w:style>
  <w:style w:type="paragraph" w:styleId="TOCHeading">
    <w:name w:val="TOC Heading"/>
    <w:basedOn w:val="Heading1"/>
    <w:next w:val="Normal"/>
    <w:uiPriority w:val="39"/>
    <w:unhideWhenUsed/>
    <w:qFormat/>
    <w:rsid w:val="007E09F5"/>
    <w:pPr>
      <w:outlineLvl w:val="9"/>
    </w:pPr>
  </w:style>
  <w:style w:type="paragraph" w:styleId="ListParagraph">
    <w:name w:val="List Paragraph"/>
    <w:aliases w:val="Citation List,List_Paragraph,Multilevel para_II,List Paragraph1,본문(내용),List Paragraph (numbered (a)),Akapit z listą BS,List Paragraph 1,Bullets,NUMBERED PARAGRAPH,Bullet1,Main numbered paragraph,Numbered Paragraph,References,Liste 1,ANNEX"/>
    <w:basedOn w:val="Normal"/>
    <w:link w:val="ListParagraphChar"/>
    <w:uiPriority w:val="34"/>
    <w:qFormat/>
    <w:rsid w:val="005F54D0"/>
    <w:pPr>
      <w:spacing w:before="0"/>
      <w:ind w:left="720"/>
      <w:contextualSpacing/>
    </w:pPr>
    <w:rPr>
      <w:rFonts w:eastAsiaTheme="minorHAnsi"/>
      <w:sz w:val="22"/>
      <w:szCs w:val="22"/>
    </w:rPr>
  </w:style>
  <w:style w:type="character" w:customStyle="1" w:styleId="ListParagraphChar">
    <w:name w:val="List Paragraph Char"/>
    <w:aliases w:val="Citation List Char,List_Paragraph Char,Multilevel para_II Char,List Paragraph1 Char,본문(내용) Char,List Paragraph (numbered (a)) Char,Akapit z listą BS Char,List Paragraph 1 Char,Bullets Char,NUMBERED PARAGRAPH Char,Bullet1 Char"/>
    <w:basedOn w:val="DefaultParagraphFont"/>
    <w:link w:val="ListParagraph"/>
    <w:uiPriority w:val="34"/>
    <w:qFormat/>
    <w:locked/>
    <w:rsid w:val="00BF4E78"/>
    <w:rPr>
      <w:rFonts w:eastAsiaTheme="minorHAnsi"/>
      <w:sz w:val="22"/>
      <w:szCs w:val="22"/>
    </w:rPr>
  </w:style>
  <w:style w:type="paragraph" w:styleId="Header">
    <w:name w:val="header"/>
    <w:basedOn w:val="Normal"/>
    <w:link w:val="HeaderChar"/>
    <w:uiPriority w:val="99"/>
    <w:unhideWhenUsed/>
    <w:rsid w:val="001676D5"/>
    <w:pPr>
      <w:tabs>
        <w:tab w:val="center" w:pos="4513"/>
        <w:tab w:val="right" w:pos="9026"/>
      </w:tabs>
      <w:spacing w:before="0" w:after="0" w:line="240" w:lineRule="auto"/>
    </w:pPr>
  </w:style>
  <w:style w:type="character" w:customStyle="1" w:styleId="HeaderChar">
    <w:name w:val="Header Char"/>
    <w:basedOn w:val="DefaultParagraphFont"/>
    <w:link w:val="Header"/>
    <w:uiPriority w:val="99"/>
    <w:qFormat/>
    <w:rsid w:val="001676D5"/>
  </w:style>
  <w:style w:type="paragraph" w:styleId="Footer">
    <w:name w:val="footer"/>
    <w:basedOn w:val="Normal"/>
    <w:link w:val="FooterChar"/>
    <w:uiPriority w:val="99"/>
    <w:unhideWhenUsed/>
    <w:rsid w:val="001676D5"/>
    <w:pPr>
      <w:tabs>
        <w:tab w:val="center" w:pos="4513"/>
        <w:tab w:val="right" w:pos="9026"/>
      </w:tabs>
      <w:spacing w:before="0" w:after="0" w:line="240" w:lineRule="auto"/>
    </w:pPr>
  </w:style>
  <w:style w:type="character" w:customStyle="1" w:styleId="FooterChar">
    <w:name w:val="Footer Char"/>
    <w:basedOn w:val="DefaultParagraphFont"/>
    <w:link w:val="Footer"/>
    <w:uiPriority w:val="99"/>
    <w:qFormat/>
    <w:rsid w:val="001676D5"/>
  </w:style>
  <w:style w:type="character" w:styleId="CommentReference">
    <w:name w:val="annotation reference"/>
    <w:basedOn w:val="DefaultParagraphFont"/>
    <w:uiPriority w:val="99"/>
    <w:semiHidden/>
    <w:unhideWhenUsed/>
    <w:qFormat/>
    <w:rsid w:val="00A86A3A"/>
    <w:rPr>
      <w:sz w:val="16"/>
      <w:szCs w:val="16"/>
    </w:rPr>
  </w:style>
  <w:style w:type="paragraph" w:styleId="CommentText">
    <w:name w:val="annotation text"/>
    <w:aliases w:val="Char2"/>
    <w:basedOn w:val="Normal"/>
    <w:link w:val="CommentTextChar"/>
    <w:uiPriority w:val="99"/>
    <w:unhideWhenUsed/>
    <w:qFormat/>
    <w:rsid w:val="00A86A3A"/>
    <w:pPr>
      <w:spacing w:line="240" w:lineRule="auto"/>
    </w:pPr>
  </w:style>
  <w:style w:type="character" w:customStyle="1" w:styleId="CommentTextChar">
    <w:name w:val="Comment Text Char"/>
    <w:aliases w:val="Char2 Char"/>
    <w:basedOn w:val="DefaultParagraphFont"/>
    <w:link w:val="CommentText"/>
    <w:uiPriority w:val="99"/>
    <w:qFormat/>
    <w:rsid w:val="00A86A3A"/>
  </w:style>
  <w:style w:type="paragraph" w:styleId="CommentSubject">
    <w:name w:val="annotation subject"/>
    <w:basedOn w:val="CommentText"/>
    <w:next w:val="CommentText"/>
    <w:link w:val="CommentSubjectChar"/>
    <w:uiPriority w:val="99"/>
    <w:semiHidden/>
    <w:unhideWhenUsed/>
    <w:rsid w:val="00A86A3A"/>
    <w:rPr>
      <w:b/>
      <w:bCs/>
    </w:rPr>
  </w:style>
  <w:style w:type="character" w:customStyle="1" w:styleId="CommentSubjectChar">
    <w:name w:val="Comment Subject Char"/>
    <w:basedOn w:val="CommentTextChar"/>
    <w:link w:val="CommentSubject"/>
    <w:uiPriority w:val="99"/>
    <w:semiHidden/>
    <w:rsid w:val="00A86A3A"/>
    <w:rPr>
      <w:b/>
      <w:bCs/>
    </w:rPr>
  </w:style>
  <w:style w:type="paragraph" w:customStyle="1" w:styleId="bold">
    <w:name w:val="bold"/>
    <w:basedOn w:val="Normal"/>
    <w:rsid w:val="00A86A3A"/>
    <w:pPr>
      <w:spacing w:beforeAutospacing="1" w:after="100" w:afterAutospacing="1" w:line="240" w:lineRule="auto"/>
    </w:pPr>
    <w:rPr>
      <w:rFonts w:ascii="Times New Roman" w:eastAsia="Times New Roman" w:hAnsi="Times New Roman" w:cs="Times New Roman"/>
      <w:sz w:val="24"/>
      <w:szCs w:val="24"/>
    </w:rPr>
  </w:style>
  <w:style w:type="paragraph" w:customStyle="1" w:styleId="clan">
    <w:name w:val="clan"/>
    <w:basedOn w:val="Normal"/>
    <w:rsid w:val="00A86A3A"/>
    <w:pPr>
      <w:spacing w:beforeAutospacing="1" w:after="100" w:afterAutospacing="1" w:line="240" w:lineRule="auto"/>
    </w:pPr>
    <w:rPr>
      <w:rFonts w:ascii="Times New Roman" w:eastAsia="Times New Roman" w:hAnsi="Times New Roman" w:cs="Times New Roman"/>
      <w:sz w:val="24"/>
      <w:szCs w:val="24"/>
    </w:rPr>
  </w:style>
  <w:style w:type="paragraph" w:customStyle="1" w:styleId="basic-paragraph">
    <w:name w:val="basic-paragraph"/>
    <w:basedOn w:val="Normal"/>
    <w:qFormat/>
    <w:rsid w:val="00A86A3A"/>
    <w:pPr>
      <w:spacing w:beforeAutospacing="1" w:after="100" w:afterAutospacing="1" w:line="240" w:lineRule="auto"/>
    </w:pPr>
    <w:rPr>
      <w:rFonts w:ascii="Times New Roman" w:eastAsia="Times New Roman" w:hAnsi="Times New Roman" w:cs="Times New Roman"/>
      <w:sz w:val="24"/>
      <w:szCs w:val="24"/>
    </w:rPr>
  </w:style>
  <w:style w:type="character" w:customStyle="1" w:styleId="italik">
    <w:name w:val="italik"/>
    <w:basedOn w:val="DefaultParagraphFont"/>
    <w:rsid w:val="00A86A3A"/>
  </w:style>
  <w:style w:type="paragraph" w:styleId="Revision">
    <w:name w:val="Revision"/>
    <w:hidden/>
    <w:uiPriority w:val="99"/>
    <w:semiHidden/>
    <w:rsid w:val="0013549C"/>
    <w:pPr>
      <w:spacing w:before="0" w:after="0" w:line="240" w:lineRule="auto"/>
    </w:pPr>
  </w:style>
  <w:style w:type="paragraph" w:customStyle="1" w:styleId="p1">
    <w:name w:val="p1"/>
    <w:basedOn w:val="Normal"/>
    <w:rsid w:val="00BF4E78"/>
    <w:pPr>
      <w:spacing w:beforeAutospacing="1" w:after="100" w:afterAutospacing="1" w:line="240" w:lineRule="auto"/>
    </w:pPr>
    <w:rPr>
      <w:rFonts w:ascii="Calibri" w:eastAsiaTheme="minorHAnsi" w:hAnsi="Calibri" w:cs="Calibri"/>
      <w:sz w:val="22"/>
      <w:szCs w:val="22"/>
    </w:rPr>
  </w:style>
  <w:style w:type="character" w:customStyle="1" w:styleId="s1">
    <w:name w:val="s1"/>
    <w:basedOn w:val="DefaultParagraphFont"/>
    <w:rsid w:val="00BF4E78"/>
  </w:style>
  <w:style w:type="paragraph" w:customStyle="1" w:styleId="f1">
    <w:name w:val="f1"/>
    <w:basedOn w:val="Normal"/>
    <w:next w:val="FootnoteText"/>
    <w:uiPriority w:val="99"/>
    <w:unhideWhenUsed/>
    <w:qFormat/>
    <w:rsid w:val="00721398"/>
    <w:pPr>
      <w:spacing w:before="0" w:after="0" w:line="240" w:lineRule="auto"/>
    </w:pPr>
    <w:rPr>
      <w:rFonts w:eastAsiaTheme="minorHAnsi"/>
      <w:lang w:val="en-GB"/>
    </w:rPr>
  </w:style>
  <w:style w:type="character" w:customStyle="1" w:styleId="Hyperlink1">
    <w:name w:val="Hyperlink1"/>
    <w:basedOn w:val="DefaultParagraphFont"/>
    <w:uiPriority w:val="99"/>
    <w:unhideWhenUsed/>
    <w:rsid w:val="00721398"/>
    <w:rPr>
      <w:color w:val="0000FF"/>
      <w:u w:val="single"/>
    </w:rPr>
  </w:style>
  <w:style w:type="paragraph" w:customStyle="1" w:styleId="Ref">
    <w:name w:val="Ref"/>
    <w:aliases w:val="Footnotes refs"/>
    <w:basedOn w:val="Normal"/>
    <w:uiPriority w:val="99"/>
    <w:qFormat/>
    <w:rsid w:val="00721398"/>
    <w:pPr>
      <w:spacing w:before="0" w:after="120" w:line="240" w:lineRule="exact"/>
    </w:pPr>
    <w:rPr>
      <w:vertAlign w:val="superscript"/>
      <w:lang w:val="en-GB"/>
    </w:rPr>
  </w:style>
  <w:style w:type="table" w:customStyle="1" w:styleId="GridTable5DarkAccent1">
    <w:name w:val="Grid Table 5 Dark Accent 1"/>
    <w:basedOn w:val="TableNormal"/>
    <w:uiPriority w:val="50"/>
    <w:rsid w:val="0022597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character" w:styleId="FollowedHyperlink">
    <w:name w:val="FollowedHyperlink"/>
    <w:basedOn w:val="DefaultParagraphFont"/>
    <w:uiPriority w:val="99"/>
    <w:semiHidden/>
    <w:unhideWhenUsed/>
    <w:rsid w:val="00C90243"/>
    <w:rPr>
      <w:color w:val="954F72" w:themeColor="followedHyperlink"/>
      <w:u w:val="single"/>
    </w:rPr>
  </w:style>
  <w:style w:type="paragraph" w:customStyle="1" w:styleId="LightGrid-Accent31">
    <w:name w:val="Light Grid - Accent 31"/>
    <w:basedOn w:val="Normal"/>
    <w:uiPriority w:val="99"/>
    <w:rsid w:val="00C90243"/>
    <w:pPr>
      <w:spacing w:before="0"/>
      <w:ind w:left="720"/>
      <w:jc w:val="both"/>
    </w:pPr>
    <w:rPr>
      <w:rFonts w:ascii="Calibri" w:eastAsia="MS PGothic" w:hAnsi="Calibri" w:cs="Calibri"/>
      <w:sz w:val="22"/>
      <w:szCs w:val="22"/>
      <w:lang w:val="en-GB" w:eastAsia="zh-CN"/>
    </w:rPr>
  </w:style>
  <w:style w:type="paragraph" w:customStyle="1" w:styleId="Default">
    <w:name w:val="Default"/>
    <w:qFormat/>
    <w:rsid w:val="00C90243"/>
    <w:pPr>
      <w:autoSpaceDE w:val="0"/>
      <w:autoSpaceDN w:val="0"/>
      <w:adjustRightInd w:val="0"/>
      <w:spacing w:before="0" w:after="0" w:line="240" w:lineRule="auto"/>
    </w:pPr>
    <w:rPr>
      <w:rFonts w:ascii="Calibri" w:eastAsia="Times New Roman" w:hAnsi="Calibri" w:cs="Calibri"/>
      <w:color w:val="000000"/>
      <w:sz w:val="24"/>
      <w:szCs w:val="24"/>
      <w:lang w:val="en-GB" w:eastAsia="en-GB"/>
    </w:rPr>
  </w:style>
  <w:style w:type="paragraph" w:styleId="TOC1">
    <w:name w:val="toc 1"/>
    <w:basedOn w:val="Normal"/>
    <w:next w:val="Normal"/>
    <w:autoRedefine/>
    <w:uiPriority w:val="39"/>
    <w:qFormat/>
    <w:rsid w:val="00C90243"/>
    <w:pPr>
      <w:tabs>
        <w:tab w:val="left" w:pos="440"/>
        <w:tab w:val="right" w:pos="9016"/>
      </w:tabs>
      <w:spacing w:before="0" w:after="0" w:line="240" w:lineRule="auto"/>
    </w:pPr>
    <w:rPr>
      <w:rFonts w:ascii="Times New Roman" w:eastAsia="Times New Roman" w:hAnsi="Times New Roman" w:cs="Times New Roman"/>
      <w:noProof/>
      <w:sz w:val="22"/>
      <w:szCs w:val="22"/>
      <w:lang w:val="sr-Cyrl-RS" w:eastAsia="en-GB"/>
    </w:rPr>
  </w:style>
  <w:style w:type="paragraph" w:styleId="TOC2">
    <w:name w:val="toc 2"/>
    <w:basedOn w:val="Normal"/>
    <w:next w:val="Normal"/>
    <w:autoRedefine/>
    <w:uiPriority w:val="39"/>
    <w:qFormat/>
    <w:rsid w:val="007738AE"/>
    <w:pPr>
      <w:tabs>
        <w:tab w:val="right" w:pos="9016"/>
      </w:tabs>
      <w:spacing w:before="0" w:after="0" w:line="240" w:lineRule="auto"/>
      <w:ind w:left="216"/>
    </w:pPr>
    <w:rPr>
      <w:rFonts w:ascii="Calibri" w:eastAsia="Times New Roman" w:hAnsi="Calibri" w:cs="Calibri"/>
      <w:sz w:val="22"/>
      <w:szCs w:val="22"/>
      <w:lang w:val="en-GB" w:eastAsia="en-GB"/>
    </w:rPr>
  </w:style>
  <w:style w:type="paragraph" w:customStyle="1" w:styleId="IFS2012naslov3">
    <w:name w:val="IFS 2012 naslov 3"/>
    <w:basedOn w:val="Heading3"/>
    <w:autoRedefine/>
    <w:qFormat/>
    <w:rsid w:val="00C90243"/>
    <w:pPr>
      <w:keepNext/>
      <w:keepLines/>
      <w:pBdr>
        <w:top w:val="none" w:sz="0" w:space="0" w:color="auto"/>
      </w:pBdr>
      <w:spacing w:before="0" w:after="120" w:line="240" w:lineRule="auto"/>
      <w:jc w:val="both"/>
      <w:outlineLvl w:val="9"/>
    </w:pPr>
    <w:rPr>
      <w:rFonts w:ascii="Cambria" w:eastAsia="Times New Roman" w:hAnsi="Cambria" w:cs="Times New Roman"/>
      <w:bCs/>
      <w:caps w:val="0"/>
      <w:noProof/>
      <w:color w:val="7F7F7F"/>
      <w:spacing w:val="0"/>
      <w:sz w:val="24"/>
      <w:szCs w:val="24"/>
      <w:lang w:val="sr-Cyrl-RS" w:bidi="en-US"/>
    </w:rPr>
  </w:style>
  <w:style w:type="numbering" w:customStyle="1" w:styleId="NoList1">
    <w:name w:val="No List1"/>
    <w:next w:val="NoList"/>
    <w:uiPriority w:val="99"/>
    <w:semiHidden/>
    <w:unhideWhenUsed/>
    <w:rsid w:val="00C90243"/>
  </w:style>
  <w:style w:type="table" w:customStyle="1" w:styleId="TableGrid1">
    <w:name w:val="Table Grid1"/>
    <w:basedOn w:val="TableNormal"/>
    <w:next w:val="TableGrid"/>
    <w:uiPriority w:val="59"/>
    <w:rsid w:val="00C90243"/>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Numbering">
    <w:name w:val="Paragraph Numbering"/>
    <w:basedOn w:val="Normal"/>
    <w:link w:val="ParagraphNumberingChar"/>
    <w:uiPriority w:val="1"/>
    <w:qFormat/>
    <w:rsid w:val="00C90243"/>
    <w:pPr>
      <w:numPr>
        <w:numId w:val="8"/>
      </w:numPr>
      <w:tabs>
        <w:tab w:val="clear" w:pos="1260"/>
        <w:tab w:val="num" w:pos="720"/>
      </w:tabs>
      <w:spacing w:before="0" w:after="240" w:line="264" w:lineRule="auto"/>
      <w:ind w:left="0"/>
    </w:pPr>
    <w:rPr>
      <w:rFonts w:ascii="Times New Roman" w:eastAsia="SimSun" w:hAnsi="Times New Roman" w:cs="Times New Roman"/>
      <w:sz w:val="24"/>
      <w:szCs w:val="24"/>
    </w:rPr>
  </w:style>
  <w:style w:type="character" w:customStyle="1" w:styleId="ParagraphNumberingChar">
    <w:name w:val="Paragraph Numbering Char"/>
    <w:link w:val="ParagraphNumbering"/>
    <w:uiPriority w:val="1"/>
    <w:rsid w:val="00C90243"/>
    <w:rPr>
      <w:rFonts w:ascii="Times New Roman" w:eastAsia="SimSun" w:hAnsi="Times New Roman" w:cs="Times New Roman"/>
      <w:sz w:val="24"/>
      <w:szCs w:val="24"/>
    </w:rPr>
  </w:style>
  <w:style w:type="paragraph" w:styleId="ListBullet">
    <w:name w:val="List Bullet"/>
    <w:aliases w:val="List Bullet Char Char, Char Char Char, Char,List Bullet Char2 Char Char,List Bullet Char1 Char Char Char,List Bullet Char Char Char Char Char,List Bullet Char Char1 Char Char,List Bullet Char2 Char1"/>
    <w:basedOn w:val="Normal"/>
    <w:link w:val="ListBulletChar"/>
    <w:uiPriority w:val="99"/>
    <w:qFormat/>
    <w:rsid w:val="00C90243"/>
    <w:pPr>
      <w:numPr>
        <w:numId w:val="9"/>
      </w:numPr>
      <w:spacing w:before="0" w:after="240" w:line="264" w:lineRule="auto"/>
    </w:pPr>
    <w:rPr>
      <w:rFonts w:ascii="Times New Roman" w:eastAsia="SimSun" w:hAnsi="Times New Roman" w:cs="Times New Roman"/>
      <w:sz w:val="24"/>
    </w:rPr>
  </w:style>
  <w:style w:type="character" w:customStyle="1" w:styleId="ListBulletChar">
    <w:name w:val="List Bullet Char"/>
    <w:aliases w:val="List Bullet Char Char Char, Char Char Char Char, Char Char,List Bullet Char2 Char Char Char,List Bullet Char1 Char Char Char Char,List Bullet Char Char Char Char Char Char,List Bullet Char Char1 Char Char Char"/>
    <w:link w:val="ListBullet"/>
    <w:uiPriority w:val="99"/>
    <w:rsid w:val="00C90243"/>
    <w:rPr>
      <w:rFonts w:ascii="Times New Roman" w:eastAsia="SimSun" w:hAnsi="Times New Roman" w:cs="Times New Roman"/>
      <w:sz w:val="24"/>
    </w:rPr>
  </w:style>
  <w:style w:type="character" w:styleId="PageNumber">
    <w:name w:val="page number"/>
    <w:qFormat/>
    <w:rsid w:val="00C90243"/>
  </w:style>
  <w:style w:type="paragraph" w:styleId="TOC3">
    <w:name w:val="toc 3"/>
    <w:basedOn w:val="Normal"/>
    <w:next w:val="Normal"/>
    <w:autoRedefine/>
    <w:uiPriority w:val="39"/>
    <w:unhideWhenUsed/>
    <w:qFormat/>
    <w:rsid w:val="00C90243"/>
    <w:pPr>
      <w:spacing w:before="0" w:after="100" w:line="259" w:lineRule="auto"/>
      <w:ind w:left="440"/>
    </w:pPr>
    <w:rPr>
      <w:rFonts w:ascii="Calibri" w:eastAsia="Calibri" w:hAnsi="Calibri" w:cs="Times New Roman"/>
      <w:sz w:val="22"/>
      <w:szCs w:val="22"/>
    </w:rPr>
  </w:style>
  <w:style w:type="paragraph" w:customStyle="1" w:styleId="TOC41">
    <w:name w:val="TOC 41"/>
    <w:basedOn w:val="Normal"/>
    <w:next w:val="Normal"/>
    <w:autoRedefine/>
    <w:uiPriority w:val="39"/>
    <w:unhideWhenUsed/>
    <w:rsid w:val="00C90243"/>
    <w:pPr>
      <w:spacing w:before="0" w:after="100" w:line="259" w:lineRule="auto"/>
      <w:ind w:left="660"/>
    </w:pPr>
    <w:rPr>
      <w:rFonts w:ascii="Calibri" w:eastAsia="Times New Roman" w:hAnsi="Calibri" w:cs="Times New Roman"/>
      <w:sz w:val="22"/>
      <w:szCs w:val="22"/>
    </w:rPr>
  </w:style>
  <w:style w:type="paragraph" w:customStyle="1" w:styleId="TOC51">
    <w:name w:val="TOC 51"/>
    <w:basedOn w:val="Normal"/>
    <w:next w:val="Normal"/>
    <w:autoRedefine/>
    <w:uiPriority w:val="39"/>
    <w:unhideWhenUsed/>
    <w:rsid w:val="00C90243"/>
    <w:pPr>
      <w:spacing w:before="0" w:after="100" w:line="259" w:lineRule="auto"/>
      <w:ind w:left="880"/>
    </w:pPr>
    <w:rPr>
      <w:rFonts w:ascii="Calibri" w:eastAsia="Times New Roman" w:hAnsi="Calibri" w:cs="Times New Roman"/>
      <w:sz w:val="22"/>
      <w:szCs w:val="22"/>
    </w:rPr>
  </w:style>
  <w:style w:type="paragraph" w:customStyle="1" w:styleId="TOC61">
    <w:name w:val="TOC 61"/>
    <w:basedOn w:val="Normal"/>
    <w:next w:val="Normal"/>
    <w:autoRedefine/>
    <w:uiPriority w:val="39"/>
    <w:unhideWhenUsed/>
    <w:rsid w:val="00C90243"/>
    <w:pPr>
      <w:spacing w:before="0" w:after="100" w:line="259" w:lineRule="auto"/>
      <w:ind w:left="1100"/>
    </w:pPr>
    <w:rPr>
      <w:rFonts w:ascii="Calibri" w:eastAsia="Times New Roman" w:hAnsi="Calibri" w:cs="Times New Roman"/>
      <w:sz w:val="22"/>
      <w:szCs w:val="22"/>
    </w:rPr>
  </w:style>
  <w:style w:type="paragraph" w:customStyle="1" w:styleId="TOC71">
    <w:name w:val="TOC 71"/>
    <w:basedOn w:val="Normal"/>
    <w:next w:val="Normal"/>
    <w:autoRedefine/>
    <w:uiPriority w:val="39"/>
    <w:unhideWhenUsed/>
    <w:rsid w:val="00C90243"/>
    <w:pPr>
      <w:spacing w:before="0" w:after="100" w:line="259" w:lineRule="auto"/>
      <w:ind w:left="1320"/>
    </w:pPr>
    <w:rPr>
      <w:rFonts w:ascii="Calibri" w:eastAsia="Times New Roman" w:hAnsi="Calibri" w:cs="Times New Roman"/>
      <w:sz w:val="22"/>
      <w:szCs w:val="22"/>
    </w:rPr>
  </w:style>
  <w:style w:type="paragraph" w:customStyle="1" w:styleId="TOC81">
    <w:name w:val="TOC 81"/>
    <w:basedOn w:val="Normal"/>
    <w:next w:val="Normal"/>
    <w:autoRedefine/>
    <w:uiPriority w:val="39"/>
    <w:unhideWhenUsed/>
    <w:rsid w:val="00C90243"/>
    <w:pPr>
      <w:spacing w:before="0" w:after="100" w:line="259" w:lineRule="auto"/>
      <w:ind w:left="1540"/>
    </w:pPr>
    <w:rPr>
      <w:rFonts w:ascii="Calibri" w:eastAsia="Times New Roman" w:hAnsi="Calibri" w:cs="Times New Roman"/>
      <w:sz w:val="22"/>
      <w:szCs w:val="22"/>
    </w:rPr>
  </w:style>
  <w:style w:type="paragraph" w:customStyle="1" w:styleId="TOC91">
    <w:name w:val="TOC 91"/>
    <w:basedOn w:val="Normal"/>
    <w:next w:val="Normal"/>
    <w:autoRedefine/>
    <w:uiPriority w:val="39"/>
    <w:unhideWhenUsed/>
    <w:rsid w:val="00C90243"/>
    <w:pPr>
      <w:spacing w:before="0" w:after="100" w:line="259" w:lineRule="auto"/>
      <w:ind w:left="1760"/>
    </w:pPr>
    <w:rPr>
      <w:rFonts w:ascii="Calibri" w:eastAsia="Times New Roman" w:hAnsi="Calibri" w:cs="Times New Roman"/>
      <w:sz w:val="22"/>
      <w:szCs w:val="22"/>
    </w:rPr>
  </w:style>
  <w:style w:type="paragraph" w:styleId="TOC5">
    <w:name w:val="toc 5"/>
    <w:basedOn w:val="Normal"/>
    <w:next w:val="Normal"/>
    <w:autoRedefine/>
    <w:uiPriority w:val="39"/>
    <w:rsid w:val="00C90243"/>
    <w:pPr>
      <w:spacing w:before="0" w:after="100"/>
      <w:ind w:left="880"/>
    </w:pPr>
    <w:rPr>
      <w:rFonts w:ascii="Calibri" w:eastAsia="Times New Roman" w:hAnsi="Calibri" w:cs="Calibri"/>
      <w:sz w:val="22"/>
      <w:szCs w:val="22"/>
      <w:lang w:val="en-GB" w:eastAsia="en-GB"/>
    </w:rPr>
  </w:style>
  <w:style w:type="character" w:customStyle="1" w:styleId="apple-converted-space">
    <w:name w:val="apple-converted-space"/>
    <w:basedOn w:val="DefaultParagraphFont"/>
    <w:rsid w:val="00C90243"/>
  </w:style>
  <w:style w:type="numbering" w:customStyle="1" w:styleId="NoList2">
    <w:name w:val="No List2"/>
    <w:next w:val="NoList"/>
    <w:uiPriority w:val="99"/>
    <w:semiHidden/>
    <w:unhideWhenUsed/>
    <w:rsid w:val="00C90243"/>
  </w:style>
  <w:style w:type="numbering" w:customStyle="1" w:styleId="NoList3">
    <w:name w:val="No List3"/>
    <w:next w:val="NoList"/>
    <w:uiPriority w:val="99"/>
    <w:semiHidden/>
    <w:unhideWhenUsed/>
    <w:rsid w:val="00C90243"/>
  </w:style>
  <w:style w:type="numbering" w:customStyle="1" w:styleId="NoList4">
    <w:name w:val="No List4"/>
    <w:next w:val="NoList"/>
    <w:uiPriority w:val="99"/>
    <w:semiHidden/>
    <w:unhideWhenUsed/>
    <w:rsid w:val="00C90243"/>
  </w:style>
  <w:style w:type="numbering" w:customStyle="1" w:styleId="NoList11">
    <w:name w:val="No List11"/>
    <w:next w:val="NoList"/>
    <w:uiPriority w:val="99"/>
    <w:semiHidden/>
    <w:unhideWhenUsed/>
    <w:rsid w:val="00C90243"/>
  </w:style>
  <w:style w:type="table" w:customStyle="1" w:styleId="TableGrid2">
    <w:name w:val="Table Grid2"/>
    <w:basedOn w:val="TableNormal"/>
    <w:next w:val="TableGrid"/>
    <w:uiPriority w:val="59"/>
    <w:rsid w:val="00C90243"/>
    <w:pPr>
      <w:spacing w:before="0" w:after="0" w:line="240" w:lineRule="auto"/>
    </w:pPr>
    <w:rPr>
      <w:rFonts w:ascii="Calibri" w:eastAsia="Times New Roman" w:hAnsi="Calibri" w:cs="Calibri"/>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C90243"/>
  </w:style>
  <w:style w:type="table" w:customStyle="1" w:styleId="TableGrid11">
    <w:name w:val="Table Grid11"/>
    <w:basedOn w:val="TableNormal"/>
    <w:next w:val="TableGrid"/>
    <w:uiPriority w:val="39"/>
    <w:rsid w:val="00C90243"/>
    <w:pPr>
      <w:spacing w:before="0"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C90243"/>
  </w:style>
  <w:style w:type="paragraph" w:customStyle="1" w:styleId="xl65">
    <w:name w:val="xl65"/>
    <w:basedOn w:val="Normal"/>
    <w:rsid w:val="00C90243"/>
    <w:pPr>
      <w:pBdr>
        <w:top w:val="single" w:sz="4" w:space="0" w:color="auto"/>
        <w:left w:val="single" w:sz="4" w:space="0" w:color="auto"/>
        <w:bottom w:val="single" w:sz="4" w:space="0" w:color="auto"/>
        <w:right w:val="single" w:sz="4" w:space="0" w:color="auto"/>
      </w:pBdr>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66">
    <w:name w:val="xl66"/>
    <w:basedOn w:val="Normal"/>
    <w:rsid w:val="00C90243"/>
    <w:pPr>
      <w:pBdr>
        <w:top w:val="single" w:sz="4" w:space="0" w:color="auto"/>
        <w:bottom w:val="single" w:sz="4" w:space="0" w:color="auto"/>
        <w:right w:val="single" w:sz="4" w:space="0" w:color="auto"/>
      </w:pBdr>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67">
    <w:name w:val="xl67"/>
    <w:basedOn w:val="Normal"/>
    <w:rsid w:val="00C90243"/>
    <w:pPr>
      <w:spacing w:beforeAutospacing="1" w:after="100" w:afterAutospacing="1" w:line="240" w:lineRule="auto"/>
    </w:pPr>
    <w:rPr>
      <w:rFonts w:ascii="Cambria" w:eastAsia="Times New Roman" w:hAnsi="Cambria" w:cs="Times New Roman"/>
      <w:lang w:val="en-GB" w:eastAsia="en-GB"/>
    </w:rPr>
  </w:style>
  <w:style w:type="paragraph" w:customStyle="1" w:styleId="xl68">
    <w:name w:val="xl68"/>
    <w:basedOn w:val="Normal"/>
    <w:rsid w:val="00C90243"/>
    <w:pPr>
      <w:pBdr>
        <w:top w:val="single" w:sz="4" w:space="0" w:color="auto"/>
        <w:left w:val="single" w:sz="4" w:space="0" w:color="auto"/>
        <w:bottom w:val="single" w:sz="4" w:space="0" w:color="auto"/>
        <w:right w:val="single" w:sz="4" w:space="0" w:color="auto"/>
      </w:pBdr>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69">
    <w:name w:val="xl69"/>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lang w:val="en-GB" w:eastAsia="en-GB"/>
    </w:rPr>
  </w:style>
  <w:style w:type="paragraph" w:customStyle="1" w:styleId="xl70">
    <w:name w:val="xl70"/>
    <w:basedOn w:val="Normal"/>
    <w:rsid w:val="00C90243"/>
    <w:pPr>
      <w:pBdr>
        <w:top w:val="single" w:sz="4" w:space="0" w:color="auto"/>
        <w:left w:val="single" w:sz="4" w:space="0" w:color="auto"/>
        <w:bottom w:val="single" w:sz="4" w:space="0" w:color="auto"/>
        <w:right w:val="single" w:sz="4" w:space="0" w:color="auto"/>
      </w:pBdr>
      <w:shd w:val="clear" w:color="000000" w:fill="F2F2F2"/>
      <w:spacing w:beforeAutospacing="1" w:after="100" w:afterAutospacing="1" w:line="240" w:lineRule="auto"/>
      <w:jc w:val="center"/>
      <w:textAlignment w:val="center"/>
    </w:pPr>
    <w:rPr>
      <w:rFonts w:ascii="Times New Roman" w:eastAsia="Times New Roman" w:hAnsi="Times New Roman" w:cs="Times New Roman"/>
      <w:b/>
      <w:bCs/>
      <w:sz w:val="24"/>
      <w:szCs w:val="24"/>
      <w:lang w:val="en-GB" w:eastAsia="en-GB"/>
    </w:rPr>
  </w:style>
  <w:style w:type="paragraph" w:customStyle="1" w:styleId="xl71">
    <w:name w:val="xl71"/>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72">
    <w:name w:val="xl72"/>
    <w:basedOn w:val="Normal"/>
    <w:rsid w:val="00C90243"/>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73">
    <w:name w:val="xl73"/>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74">
    <w:name w:val="xl74"/>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pPr>
    <w:rPr>
      <w:rFonts w:ascii="Cambria" w:eastAsia="Times New Roman" w:hAnsi="Cambria" w:cs="Times New Roman"/>
      <w:i/>
      <w:iCs/>
      <w:lang w:val="en-GB" w:eastAsia="en-GB"/>
    </w:rPr>
  </w:style>
  <w:style w:type="paragraph" w:customStyle="1" w:styleId="xl75">
    <w:name w:val="xl75"/>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pPr>
    <w:rPr>
      <w:rFonts w:ascii="Cambria" w:eastAsia="Times New Roman" w:hAnsi="Cambria" w:cs="Times New Roman"/>
      <w:b/>
      <w:bCs/>
      <w:i/>
      <w:iCs/>
      <w:lang w:val="en-GB" w:eastAsia="en-GB"/>
    </w:rPr>
  </w:style>
  <w:style w:type="paragraph" w:customStyle="1" w:styleId="xl76">
    <w:name w:val="xl76"/>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77">
    <w:name w:val="xl77"/>
    <w:basedOn w:val="Normal"/>
    <w:rsid w:val="00C90243"/>
    <w:pPr>
      <w:pBdr>
        <w:top w:val="single" w:sz="4" w:space="0" w:color="auto"/>
        <w:bottom w:val="single" w:sz="4" w:space="0" w:color="auto"/>
        <w:right w:val="single" w:sz="4" w:space="0" w:color="auto"/>
      </w:pBdr>
      <w:shd w:val="clear" w:color="000000" w:fill="D9D9D9"/>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78">
    <w:name w:val="xl78"/>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79">
    <w:name w:val="xl79"/>
    <w:basedOn w:val="Normal"/>
    <w:rsid w:val="00C90243"/>
    <w:pPr>
      <w:shd w:val="clear" w:color="000000" w:fill="A6A6A6"/>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80">
    <w:name w:val="xl80"/>
    <w:basedOn w:val="Normal"/>
    <w:rsid w:val="00C90243"/>
    <w:pPr>
      <w:pBdr>
        <w:top w:val="single" w:sz="4" w:space="0" w:color="auto"/>
        <w:right w:val="single" w:sz="4" w:space="0" w:color="auto"/>
      </w:pBdr>
      <w:shd w:val="clear" w:color="000000" w:fill="D9D9D9"/>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81">
    <w:name w:val="xl81"/>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2">
    <w:name w:val="xl82"/>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textAlignment w:val="center"/>
    </w:pPr>
    <w:rPr>
      <w:rFonts w:ascii="Cambria" w:eastAsia="Times New Roman" w:hAnsi="Cambria" w:cs="Times New Roman"/>
      <w:b/>
      <w:bCs/>
      <w:lang w:val="en-GB" w:eastAsia="en-GB"/>
    </w:rPr>
  </w:style>
  <w:style w:type="paragraph" w:customStyle="1" w:styleId="xl83">
    <w:name w:val="xl83"/>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4">
    <w:name w:val="xl84"/>
    <w:basedOn w:val="Normal"/>
    <w:rsid w:val="00C90243"/>
    <w:pPr>
      <w:pBdr>
        <w:top w:val="single" w:sz="4" w:space="0" w:color="auto"/>
        <w:bottom w:val="single" w:sz="4" w:space="0" w:color="auto"/>
        <w:right w:val="single" w:sz="4" w:space="0" w:color="auto"/>
      </w:pBdr>
      <w:shd w:val="clear" w:color="000000" w:fill="808080"/>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85">
    <w:name w:val="xl85"/>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86">
    <w:name w:val="xl86"/>
    <w:basedOn w:val="Normal"/>
    <w:rsid w:val="00C90243"/>
    <w:pPr>
      <w:pBdr>
        <w:top w:val="single" w:sz="4" w:space="0" w:color="auto"/>
        <w:bottom w:val="single" w:sz="4" w:space="0" w:color="auto"/>
        <w:right w:val="single" w:sz="4" w:space="0" w:color="auto"/>
      </w:pBdr>
      <w:shd w:val="clear" w:color="000000" w:fill="D9D9D9"/>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7">
    <w:name w:val="xl87"/>
    <w:basedOn w:val="Normal"/>
    <w:rsid w:val="00C90243"/>
    <w:pPr>
      <w:pBdr>
        <w:top w:val="single" w:sz="4" w:space="0" w:color="auto"/>
        <w:bottom w:val="single" w:sz="4" w:space="0" w:color="auto"/>
        <w:right w:val="single" w:sz="4" w:space="0" w:color="auto"/>
      </w:pBdr>
      <w:shd w:val="clear" w:color="000000" w:fill="A6A6A6"/>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8">
    <w:name w:val="xl88"/>
    <w:basedOn w:val="Normal"/>
    <w:rsid w:val="00C90243"/>
    <w:pPr>
      <w:pBdr>
        <w:top w:val="single" w:sz="4" w:space="0" w:color="auto"/>
        <w:bottom w:val="single" w:sz="4" w:space="0" w:color="auto"/>
        <w:right w:val="single" w:sz="4" w:space="0" w:color="auto"/>
      </w:pBdr>
      <w:shd w:val="clear" w:color="000000" w:fill="808080"/>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9">
    <w:name w:val="xl89"/>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90">
    <w:name w:val="xl90"/>
    <w:basedOn w:val="Normal"/>
    <w:rsid w:val="00C90243"/>
    <w:pPr>
      <w:pBdr>
        <w:top w:val="single" w:sz="4" w:space="0" w:color="auto"/>
        <w:bottom w:val="single" w:sz="4" w:space="0" w:color="auto"/>
        <w:right w:val="single" w:sz="4" w:space="0" w:color="auto"/>
      </w:pBdr>
      <w:shd w:val="clear" w:color="000000" w:fill="A6A6A6"/>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91">
    <w:name w:val="xl91"/>
    <w:basedOn w:val="Normal"/>
    <w:rsid w:val="00C90243"/>
    <w:pPr>
      <w:pBdr>
        <w:top w:val="single" w:sz="4" w:space="0" w:color="auto"/>
        <w:left w:val="single" w:sz="4" w:space="0" w:color="auto"/>
        <w:right w:val="single" w:sz="4" w:space="0" w:color="auto"/>
      </w:pBdr>
      <w:shd w:val="clear" w:color="000000" w:fill="808080"/>
      <w:spacing w:beforeAutospacing="1" w:after="100" w:afterAutospacing="1" w:line="240" w:lineRule="auto"/>
      <w:textAlignment w:val="center"/>
    </w:pPr>
    <w:rPr>
      <w:rFonts w:ascii="Cambria" w:eastAsia="Times New Roman" w:hAnsi="Cambria" w:cs="Times New Roman"/>
      <w:b/>
      <w:bCs/>
      <w:lang w:val="en-GB" w:eastAsia="en-GB"/>
    </w:rPr>
  </w:style>
  <w:style w:type="paragraph" w:customStyle="1" w:styleId="xl92">
    <w:name w:val="xl92"/>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93">
    <w:name w:val="xl93"/>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94">
    <w:name w:val="xl94"/>
    <w:basedOn w:val="Normal"/>
    <w:rsid w:val="00C90243"/>
    <w:pPr>
      <w:pBdr>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95">
    <w:name w:val="xl95"/>
    <w:basedOn w:val="Normal"/>
    <w:rsid w:val="00C90243"/>
    <w:pPr>
      <w:pBdr>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lang w:val="en-GB" w:eastAsia="en-GB"/>
    </w:rPr>
  </w:style>
  <w:style w:type="paragraph" w:customStyle="1" w:styleId="xl96">
    <w:name w:val="xl96"/>
    <w:basedOn w:val="Normal"/>
    <w:rsid w:val="00C90243"/>
    <w:pPr>
      <w:pBdr>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97">
    <w:name w:val="xl97"/>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98">
    <w:name w:val="xl98"/>
    <w:basedOn w:val="Normal"/>
    <w:rsid w:val="00C90243"/>
    <w:pPr>
      <w:pBdr>
        <w:left w:val="single" w:sz="4" w:space="0" w:color="auto"/>
        <w:bottom w:val="single" w:sz="4" w:space="0" w:color="auto"/>
        <w:right w:val="single" w:sz="4" w:space="0" w:color="auto"/>
      </w:pBdr>
      <w:shd w:val="clear" w:color="000000" w:fill="808080"/>
      <w:spacing w:beforeAutospacing="1" w:after="100" w:afterAutospacing="1" w:line="240" w:lineRule="auto"/>
      <w:textAlignment w:val="center"/>
    </w:pPr>
    <w:rPr>
      <w:rFonts w:ascii="Cambria" w:eastAsia="Times New Roman" w:hAnsi="Cambria" w:cs="Times New Roman"/>
      <w:b/>
      <w:bCs/>
      <w:lang w:val="en-GB" w:eastAsia="en-GB"/>
    </w:rPr>
  </w:style>
  <w:style w:type="paragraph" w:customStyle="1" w:styleId="xl99">
    <w:name w:val="xl99"/>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100">
    <w:name w:val="xl100"/>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textAlignment w:val="center"/>
    </w:pPr>
    <w:rPr>
      <w:rFonts w:ascii="Cambria" w:eastAsia="Times New Roman" w:hAnsi="Cambria" w:cs="Times New Roman"/>
      <w:b/>
      <w:bCs/>
      <w:lang w:val="en-GB" w:eastAsia="en-GB"/>
    </w:rPr>
  </w:style>
  <w:style w:type="paragraph" w:customStyle="1" w:styleId="xl101">
    <w:name w:val="xl101"/>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102">
    <w:name w:val="xl102"/>
    <w:basedOn w:val="Normal"/>
    <w:rsid w:val="00C90243"/>
    <w:pPr>
      <w:pBdr>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103">
    <w:name w:val="xl103"/>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104">
    <w:name w:val="xl104"/>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pPr>
    <w:rPr>
      <w:rFonts w:ascii="Cambria" w:eastAsia="Times New Roman" w:hAnsi="Cambria" w:cs="Times New Roman"/>
      <w:b/>
      <w:bCs/>
      <w:lang w:val="en-GB" w:eastAsia="en-GB"/>
    </w:rPr>
  </w:style>
  <w:style w:type="paragraph" w:customStyle="1" w:styleId="xl105">
    <w:name w:val="xl105"/>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pPr>
    <w:rPr>
      <w:rFonts w:ascii="Cambria" w:eastAsia="Times New Roman" w:hAnsi="Cambria" w:cs="Times New Roman"/>
      <w:b/>
      <w:bCs/>
      <w:i/>
      <w:iCs/>
      <w:lang w:val="en-GB" w:eastAsia="en-GB"/>
    </w:rPr>
  </w:style>
  <w:style w:type="paragraph" w:customStyle="1" w:styleId="xl106">
    <w:name w:val="xl106"/>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pPr>
    <w:rPr>
      <w:rFonts w:ascii="Cambria" w:eastAsia="Times New Roman" w:hAnsi="Cambria" w:cs="Times New Roman"/>
      <w:i/>
      <w:iCs/>
      <w:lang w:val="en-GB" w:eastAsia="en-GB"/>
    </w:rPr>
  </w:style>
  <w:style w:type="paragraph" w:customStyle="1" w:styleId="xl107">
    <w:name w:val="xl107"/>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pPr>
    <w:rPr>
      <w:rFonts w:ascii="Cambria" w:eastAsia="Times New Roman" w:hAnsi="Cambria" w:cs="Times New Roman"/>
      <w:b/>
      <w:bCs/>
      <w:lang w:val="en-GB" w:eastAsia="en-GB"/>
    </w:rPr>
  </w:style>
  <w:style w:type="paragraph" w:customStyle="1" w:styleId="xl108">
    <w:name w:val="xl108"/>
    <w:basedOn w:val="Normal"/>
    <w:rsid w:val="00C90243"/>
    <w:pPr>
      <w:pBdr>
        <w:top w:val="single" w:sz="4" w:space="0" w:color="auto"/>
        <w:left w:val="single" w:sz="4" w:space="0" w:color="auto"/>
        <w:right w:val="single" w:sz="4" w:space="0" w:color="auto"/>
      </w:pBdr>
      <w:shd w:val="clear" w:color="000000" w:fill="808080"/>
      <w:spacing w:beforeAutospacing="1" w:after="100" w:afterAutospacing="1" w:line="240" w:lineRule="auto"/>
    </w:pPr>
    <w:rPr>
      <w:rFonts w:ascii="Cambria" w:eastAsia="Times New Roman" w:hAnsi="Cambria" w:cs="Times New Roman"/>
      <w:b/>
      <w:bCs/>
      <w:lang w:val="en-GB" w:eastAsia="en-GB"/>
    </w:rPr>
  </w:style>
  <w:style w:type="paragraph" w:customStyle="1" w:styleId="xl109">
    <w:name w:val="xl109"/>
    <w:basedOn w:val="Normal"/>
    <w:rsid w:val="00C90243"/>
    <w:pPr>
      <w:pBdr>
        <w:bottom w:val="single" w:sz="4" w:space="0" w:color="auto"/>
      </w:pBdr>
      <w:spacing w:beforeAutospacing="1" w:after="100" w:afterAutospacing="1" w:line="240" w:lineRule="auto"/>
      <w:jc w:val="center"/>
      <w:textAlignment w:val="center"/>
    </w:pPr>
    <w:rPr>
      <w:rFonts w:ascii="Cambria" w:eastAsia="Times New Roman" w:hAnsi="Cambria" w:cs="Times New Roman"/>
      <w:b/>
      <w:bCs/>
      <w:sz w:val="28"/>
      <w:szCs w:val="28"/>
      <w:lang w:val="en-GB" w:eastAsia="en-GB"/>
    </w:rPr>
  </w:style>
  <w:style w:type="paragraph" w:customStyle="1" w:styleId="xl110">
    <w:name w:val="xl110"/>
    <w:basedOn w:val="Normal"/>
    <w:rsid w:val="00C90243"/>
    <w:pPr>
      <w:pBdr>
        <w:bottom w:val="single" w:sz="4" w:space="0" w:color="auto"/>
      </w:pBdr>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111">
    <w:name w:val="xl111"/>
    <w:basedOn w:val="Normal"/>
    <w:rsid w:val="00C90243"/>
    <w:pPr>
      <w:pBdr>
        <w:top w:val="single" w:sz="4" w:space="0" w:color="auto"/>
        <w:left w:val="single" w:sz="4" w:space="0" w:color="auto"/>
        <w:right w:val="single" w:sz="4" w:space="0" w:color="auto"/>
      </w:pBdr>
      <w:shd w:val="clear" w:color="000000" w:fill="F2F2F2"/>
      <w:spacing w:beforeAutospacing="1" w:after="100" w:afterAutospacing="1" w:line="240" w:lineRule="auto"/>
      <w:jc w:val="center"/>
    </w:pPr>
    <w:rPr>
      <w:rFonts w:ascii="Cambria" w:eastAsia="Times New Roman" w:hAnsi="Cambria" w:cs="Times New Roman"/>
      <w:b/>
      <w:bCs/>
      <w:sz w:val="24"/>
      <w:szCs w:val="24"/>
      <w:lang w:val="en-GB" w:eastAsia="en-GB"/>
    </w:rPr>
  </w:style>
  <w:style w:type="paragraph" w:customStyle="1" w:styleId="xl112">
    <w:name w:val="xl112"/>
    <w:basedOn w:val="Normal"/>
    <w:rsid w:val="00C90243"/>
    <w:pPr>
      <w:pBdr>
        <w:left w:val="single" w:sz="4" w:space="0" w:color="auto"/>
        <w:bottom w:val="single" w:sz="4" w:space="0" w:color="auto"/>
        <w:right w:val="single" w:sz="4" w:space="0" w:color="auto"/>
      </w:pBdr>
      <w:shd w:val="clear" w:color="000000" w:fill="F2F2F2"/>
      <w:spacing w:beforeAutospacing="1" w:after="100" w:afterAutospacing="1" w:line="240" w:lineRule="auto"/>
      <w:jc w:val="center"/>
    </w:pPr>
    <w:rPr>
      <w:rFonts w:ascii="Cambria" w:eastAsia="Times New Roman" w:hAnsi="Cambria" w:cs="Times New Roman"/>
      <w:b/>
      <w:bCs/>
      <w:sz w:val="24"/>
      <w:szCs w:val="24"/>
      <w:lang w:val="en-GB" w:eastAsia="en-GB"/>
    </w:rPr>
  </w:style>
  <w:style w:type="table" w:styleId="MediumGrid1-Accent4">
    <w:name w:val="Medium Grid 1 Accent 4"/>
    <w:basedOn w:val="TableNormal"/>
    <w:uiPriority w:val="67"/>
    <w:rsid w:val="00C90243"/>
    <w:pPr>
      <w:spacing w:before="0" w:after="0" w:line="240" w:lineRule="auto"/>
    </w:pPr>
    <w:rPr>
      <w:rFonts w:ascii="Calibri" w:eastAsia="Calibri" w:hAnsi="Calibri" w:cs="Times New Roman"/>
      <w:sz w:val="22"/>
      <w:szCs w:val="22"/>
      <w:lang w:val="en-GB" w:eastAsia="en-GB"/>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customStyle="1" w:styleId="MediumGrid1-Accent41">
    <w:name w:val="Medium Grid 1 - Accent 41"/>
    <w:basedOn w:val="TableNormal"/>
    <w:next w:val="MediumGrid1-Accent4"/>
    <w:uiPriority w:val="67"/>
    <w:rsid w:val="00C90243"/>
    <w:pPr>
      <w:spacing w:before="0" w:after="0" w:line="240" w:lineRule="auto"/>
    </w:pPr>
    <w:rPr>
      <w:rFonts w:ascii="Calibri" w:eastAsia="Calibri" w:hAnsi="Calibri" w:cs="Times New Roman"/>
      <w:sz w:val="22"/>
      <w:szCs w:val="22"/>
      <w:lang w:val="en-GB" w:eastAsia="en-GB"/>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paragraph" w:styleId="EndnoteText">
    <w:name w:val="endnote text"/>
    <w:basedOn w:val="Normal"/>
    <w:link w:val="EndnoteTextChar"/>
    <w:uiPriority w:val="99"/>
    <w:semiHidden/>
    <w:unhideWhenUsed/>
    <w:rsid w:val="00C90243"/>
    <w:pPr>
      <w:spacing w:before="0"/>
    </w:pPr>
    <w:rPr>
      <w:rFonts w:ascii="Calibri" w:eastAsia="Times New Roman" w:hAnsi="Calibri" w:cs="Calibri"/>
      <w:lang w:val="en-GB" w:eastAsia="en-GB"/>
    </w:rPr>
  </w:style>
  <w:style w:type="character" w:customStyle="1" w:styleId="EndnoteTextChar">
    <w:name w:val="Endnote Text Char"/>
    <w:basedOn w:val="DefaultParagraphFont"/>
    <w:link w:val="EndnoteText"/>
    <w:uiPriority w:val="99"/>
    <w:semiHidden/>
    <w:rsid w:val="00C90243"/>
    <w:rPr>
      <w:rFonts w:ascii="Calibri" w:eastAsia="Times New Roman" w:hAnsi="Calibri" w:cs="Calibri"/>
      <w:lang w:val="en-GB" w:eastAsia="en-GB"/>
    </w:rPr>
  </w:style>
  <w:style w:type="character" w:styleId="EndnoteReference">
    <w:name w:val="endnote reference"/>
    <w:uiPriority w:val="99"/>
    <w:semiHidden/>
    <w:unhideWhenUsed/>
    <w:rsid w:val="00C90243"/>
    <w:rPr>
      <w:vertAlign w:val="superscript"/>
    </w:rPr>
  </w:style>
  <w:style w:type="character" w:styleId="LineNumber">
    <w:name w:val="line number"/>
    <w:uiPriority w:val="99"/>
    <w:semiHidden/>
    <w:unhideWhenUsed/>
    <w:rsid w:val="00C90243"/>
  </w:style>
  <w:style w:type="numbering" w:customStyle="1" w:styleId="NoList5">
    <w:name w:val="No List5"/>
    <w:next w:val="NoList"/>
    <w:uiPriority w:val="99"/>
    <w:semiHidden/>
    <w:unhideWhenUsed/>
    <w:rsid w:val="00C90243"/>
  </w:style>
  <w:style w:type="numbering" w:customStyle="1" w:styleId="NoList12">
    <w:name w:val="No List12"/>
    <w:next w:val="NoList"/>
    <w:uiPriority w:val="99"/>
    <w:semiHidden/>
    <w:unhideWhenUsed/>
    <w:rsid w:val="00C90243"/>
  </w:style>
  <w:style w:type="numbering" w:customStyle="1" w:styleId="NoList112">
    <w:name w:val="No List112"/>
    <w:next w:val="NoList"/>
    <w:uiPriority w:val="99"/>
    <w:semiHidden/>
    <w:unhideWhenUsed/>
    <w:rsid w:val="00C90243"/>
  </w:style>
  <w:style w:type="numbering" w:customStyle="1" w:styleId="NoList1111">
    <w:name w:val="No List1111"/>
    <w:next w:val="NoList"/>
    <w:uiPriority w:val="99"/>
    <w:semiHidden/>
    <w:unhideWhenUsed/>
    <w:rsid w:val="00C90243"/>
  </w:style>
  <w:style w:type="numbering" w:customStyle="1" w:styleId="NoList22">
    <w:name w:val="No List22"/>
    <w:next w:val="NoList"/>
    <w:uiPriority w:val="99"/>
    <w:semiHidden/>
    <w:unhideWhenUsed/>
    <w:rsid w:val="00C90243"/>
  </w:style>
  <w:style w:type="character" w:customStyle="1" w:styleId="NoSpacingChar">
    <w:name w:val="No Spacing Char"/>
    <w:basedOn w:val="DefaultParagraphFont"/>
    <w:link w:val="NoSpacing"/>
    <w:uiPriority w:val="1"/>
    <w:rsid w:val="007001D9"/>
  </w:style>
  <w:style w:type="character" w:customStyle="1" w:styleId="acopre1">
    <w:name w:val="acopre1"/>
    <w:basedOn w:val="DefaultParagraphFont"/>
    <w:rsid w:val="00152E82"/>
  </w:style>
  <w:style w:type="paragraph" w:styleId="BodyText">
    <w:name w:val="Body Text"/>
    <w:basedOn w:val="Normal"/>
    <w:link w:val="BodyTextChar"/>
    <w:uiPriority w:val="1"/>
    <w:qFormat/>
    <w:rsid w:val="00A971BC"/>
    <w:pPr>
      <w:spacing w:before="0" w:after="0" w:line="240" w:lineRule="auto"/>
      <w:jc w:val="both"/>
    </w:pPr>
    <w:rPr>
      <w:rFonts w:ascii="YU C Times" w:eastAsia="Times New Roman" w:hAnsi="YU C Times" w:cs="Times New Roman"/>
      <w:sz w:val="24"/>
    </w:rPr>
  </w:style>
  <w:style w:type="character" w:customStyle="1" w:styleId="BodyTextChar">
    <w:name w:val="Body Text Char"/>
    <w:basedOn w:val="DefaultParagraphFont"/>
    <w:link w:val="BodyText"/>
    <w:uiPriority w:val="1"/>
    <w:qFormat/>
    <w:rsid w:val="00A971BC"/>
    <w:rPr>
      <w:rFonts w:ascii="YU C Times" w:eastAsia="Times New Roman" w:hAnsi="YU C Times" w:cs="Times New Roman"/>
      <w:sz w:val="24"/>
    </w:rPr>
  </w:style>
  <w:style w:type="character" w:customStyle="1" w:styleId="st1">
    <w:name w:val="st1"/>
    <w:rsid w:val="00A971BC"/>
  </w:style>
  <w:style w:type="paragraph" w:styleId="HTMLPreformatted">
    <w:name w:val="HTML Preformatted"/>
    <w:basedOn w:val="Normal"/>
    <w:link w:val="HTMLPreformattedChar"/>
    <w:uiPriority w:val="99"/>
    <w:unhideWhenUsed/>
    <w:rsid w:val="00BC5C5F"/>
    <w:pPr>
      <w:spacing w:before="0" w:after="0" w:line="240" w:lineRule="auto"/>
    </w:pPr>
    <w:rPr>
      <w:rFonts w:ascii="Consolas" w:hAnsi="Consolas"/>
    </w:rPr>
  </w:style>
  <w:style w:type="character" w:customStyle="1" w:styleId="HTMLPreformattedChar">
    <w:name w:val="HTML Preformatted Char"/>
    <w:basedOn w:val="DefaultParagraphFont"/>
    <w:link w:val="HTMLPreformatted"/>
    <w:uiPriority w:val="99"/>
    <w:rsid w:val="00BC5C5F"/>
    <w:rPr>
      <w:rFonts w:ascii="Consolas" w:hAnsi="Consolas"/>
    </w:rPr>
  </w:style>
  <w:style w:type="character" w:customStyle="1" w:styleId="expand">
    <w:name w:val="expand"/>
    <w:basedOn w:val="DefaultParagraphFont"/>
    <w:rsid w:val="003B1E1D"/>
  </w:style>
  <w:style w:type="paragraph" w:customStyle="1" w:styleId="msonormal0">
    <w:name w:val="msonormal"/>
    <w:basedOn w:val="Normal"/>
    <w:rsid w:val="00AE3C4E"/>
    <w:pPr>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font5">
    <w:name w:val="font5"/>
    <w:basedOn w:val="Normal"/>
    <w:rsid w:val="00AE3C4E"/>
    <w:pPr>
      <w:spacing w:beforeAutospacing="1" w:after="100" w:afterAutospacing="1" w:line="240" w:lineRule="auto"/>
    </w:pPr>
    <w:rPr>
      <w:rFonts w:ascii="Times New Roman" w:eastAsia="Times New Roman" w:hAnsi="Times New Roman" w:cs="Times New Roman"/>
      <w:color w:val="FF0000"/>
      <w:lang w:val="en-GB" w:eastAsia="en-GB"/>
    </w:rPr>
  </w:style>
  <w:style w:type="paragraph" w:customStyle="1" w:styleId="font6">
    <w:name w:val="font6"/>
    <w:basedOn w:val="Normal"/>
    <w:rsid w:val="00AE3C4E"/>
    <w:pPr>
      <w:spacing w:beforeAutospacing="1" w:after="100" w:afterAutospacing="1" w:line="240" w:lineRule="auto"/>
    </w:pPr>
    <w:rPr>
      <w:rFonts w:ascii="Calibri" w:eastAsia="Times New Roman" w:hAnsi="Calibri" w:cs="Calibri"/>
      <w:color w:val="000000"/>
      <w:sz w:val="16"/>
      <w:szCs w:val="16"/>
      <w:lang w:val="en-GB" w:eastAsia="en-GB"/>
    </w:rPr>
  </w:style>
  <w:style w:type="paragraph" w:customStyle="1" w:styleId="xl113">
    <w:name w:val="xl113"/>
    <w:basedOn w:val="Normal"/>
    <w:rsid w:val="00AE3C4E"/>
    <w:pPr>
      <w:pBdr>
        <w:top w:val="single" w:sz="4" w:space="0" w:color="auto"/>
        <w:left w:val="single" w:sz="4" w:space="0" w:color="auto"/>
        <w:bottom w:val="single" w:sz="4" w:space="0" w:color="auto"/>
        <w:right w:val="single" w:sz="4" w:space="0" w:color="auto"/>
      </w:pBdr>
      <w:spacing w:beforeAutospacing="1" w:after="100" w:afterAutospacing="1" w:line="240" w:lineRule="auto"/>
      <w:textAlignment w:val="center"/>
    </w:pPr>
    <w:rPr>
      <w:rFonts w:ascii="Arial" w:eastAsia="Times New Roman" w:hAnsi="Arial" w:cs="Arial"/>
      <w:color w:val="000000"/>
      <w:sz w:val="16"/>
      <w:szCs w:val="16"/>
      <w:lang w:val="en-GB" w:eastAsia="en-GB"/>
    </w:rPr>
  </w:style>
  <w:style w:type="paragraph" w:customStyle="1" w:styleId="xl114">
    <w:name w:val="xl114"/>
    <w:basedOn w:val="Normal"/>
    <w:rsid w:val="00AE3C4E"/>
    <w:pPr>
      <w:pBdr>
        <w:top w:val="single" w:sz="4" w:space="0" w:color="auto"/>
        <w:left w:val="single" w:sz="4" w:space="0" w:color="auto"/>
        <w:bottom w:val="single" w:sz="4" w:space="0" w:color="auto"/>
        <w:right w:val="single" w:sz="4" w:space="0" w:color="auto"/>
      </w:pBdr>
      <w:spacing w:beforeAutospacing="1" w:after="100" w:afterAutospacing="1" w:line="240" w:lineRule="auto"/>
      <w:textAlignment w:val="center"/>
    </w:pPr>
    <w:rPr>
      <w:rFonts w:ascii="Arial" w:eastAsia="Times New Roman" w:hAnsi="Arial" w:cs="Arial"/>
      <w:sz w:val="16"/>
      <w:szCs w:val="16"/>
      <w:lang w:val="en-GB" w:eastAsia="en-GB"/>
    </w:rPr>
  </w:style>
  <w:style w:type="paragraph" w:customStyle="1" w:styleId="xl115">
    <w:name w:val="xl115"/>
    <w:basedOn w:val="Normal"/>
    <w:rsid w:val="00AE3C4E"/>
    <w:pPr>
      <w:pBdr>
        <w:top w:val="single" w:sz="4" w:space="0" w:color="9FC8E9"/>
        <w:left w:val="single" w:sz="4" w:space="0" w:color="9FC8E9"/>
        <w:bottom w:val="single" w:sz="4" w:space="0" w:color="9FC8E9"/>
        <w:right w:val="single" w:sz="4" w:space="0" w:color="9FC8E9"/>
      </w:pBdr>
      <w:shd w:val="clear" w:color="D7E3EE" w:fill="DDEBF7"/>
      <w:spacing w:beforeAutospacing="1" w:after="100" w:afterAutospacing="1" w:line="240" w:lineRule="auto"/>
      <w:textAlignment w:val="center"/>
    </w:pPr>
    <w:rPr>
      <w:rFonts w:ascii="Arial" w:eastAsia="Times New Roman" w:hAnsi="Arial" w:cs="Arial"/>
      <w:b/>
      <w:bCs/>
      <w:color w:val="000000"/>
      <w:sz w:val="24"/>
      <w:szCs w:val="24"/>
      <w:lang w:val="en-GB" w:eastAsia="en-GB"/>
    </w:rPr>
  </w:style>
  <w:style w:type="paragraph" w:customStyle="1" w:styleId="xl116">
    <w:name w:val="xl116"/>
    <w:basedOn w:val="Normal"/>
    <w:rsid w:val="00AE3C4E"/>
    <w:pPr>
      <w:pBdr>
        <w:top w:val="single" w:sz="4" w:space="0" w:color="9FC8E9"/>
        <w:left w:val="single" w:sz="4" w:space="0" w:color="9FC8E9"/>
        <w:bottom w:val="single" w:sz="4" w:space="0" w:color="9FC8E9"/>
        <w:right w:val="single" w:sz="4" w:space="0" w:color="9FC8E9"/>
      </w:pBdr>
      <w:shd w:val="clear" w:color="D7E3EE" w:fill="DDEBF7"/>
      <w:spacing w:beforeAutospacing="1" w:after="100" w:afterAutospacing="1" w:line="240" w:lineRule="auto"/>
      <w:textAlignment w:val="center"/>
    </w:pPr>
    <w:rPr>
      <w:rFonts w:ascii="Arial" w:eastAsia="Times New Roman" w:hAnsi="Arial" w:cs="Arial"/>
      <w:b/>
      <w:bCs/>
      <w:lang w:val="en-GB" w:eastAsia="en-GB"/>
    </w:rPr>
  </w:style>
  <w:style w:type="paragraph" w:customStyle="1" w:styleId="xl117">
    <w:name w:val="xl117"/>
    <w:basedOn w:val="Normal"/>
    <w:rsid w:val="00AE3C4E"/>
    <w:pPr>
      <w:pBdr>
        <w:top w:val="single" w:sz="4" w:space="0" w:color="9FC8E9"/>
        <w:left w:val="single" w:sz="4" w:space="0" w:color="9FC8E9"/>
        <w:bottom w:val="single" w:sz="4" w:space="0" w:color="9FC8E9"/>
        <w:right w:val="single" w:sz="4" w:space="0" w:color="9FC8E9"/>
      </w:pBdr>
      <w:shd w:val="clear" w:color="000000" w:fill="DDEBF7"/>
      <w:spacing w:beforeAutospacing="1" w:after="100" w:afterAutospacing="1" w:line="240" w:lineRule="auto"/>
      <w:textAlignment w:val="center"/>
    </w:pPr>
    <w:rPr>
      <w:rFonts w:ascii="Times New Roman" w:eastAsia="Times New Roman" w:hAnsi="Times New Roman" w:cs="Times New Roman"/>
      <w:lang w:val="en-GB" w:eastAsia="en-GB"/>
    </w:rPr>
  </w:style>
  <w:style w:type="paragraph" w:customStyle="1" w:styleId="xl118">
    <w:name w:val="xl118"/>
    <w:basedOn w:val="Normal"/>
    <w:rsid w:val="00AE3C4E"/>
    <w:pPr>
      <w:pBdr>
        <w:left w:val="single" w:sz="4" w:space="0" w:color="auto"/>
        <w:bottom w:val="single" w:sz="4" w:space="0" w:color="auto"/>
        <w:right w:val="single" w:sz="4" w:space="0" w:color="auto"/>
      </w:pBdr>
      <w:shd w:val="clear" w:color="98CBEF" w:fill="9FC8E9"/>
      <w:spacing w:beforeAutospacing="1" w:after="100" w:afterAutospacing="1" w:line="240" w:lineRule="auto"/>
      <w:textAlignment w:val="center"/>
    </w:pPr>
    <w:rPr>
      <w:rFonts w:ascii="Arial" w:eastAsia="Times New Roman" w:hAnsi="Arial" w:cs="Arial"/>
      <w:b/>
      <w:bCs/>
      <w:sz w:val="18"/>
      <w:szCs w:val="18"/>
      <w:lang w:val="en-GB" w:eastAsia="en-GB"/>
    </w:rPr>
  </w:style>
  <w:style w:type="paragraph" w:customStyle="1" w:styleId="xl119">
    <w:name w:val="xl119"/>
    <w:basedOn w:val="Normal"/>
    <w:rsid w:val="00AE3C4E"/>
    <w:pPr>
      <w:pBdr>
        <w:top w:val="dashed" w:sz="4" w:space="0" w:color="auto"/>
        <w:left w:val="dashed" w:sz="4" w:space="0" w:color="auto"/>
        <w:bottom w:val="single" w:sz="8" w:space="0" w:color="auto"/>
        <w:right w:val="dashed" w:sz="4" w:space="0" w:color="auto"/>
      </w:pBdr>
      <w:spacing w:beforeAutospacing="1" w:after="100" w:afterAutospacing="1" w:line="240" w:lineRule="auto"/>
      <w:jc w:val="center"/>
      <w:textAlignment w:val="center"/>
    </w:pPr>
    <w:rPr>
      <w:rFonts w:ascii="Arial" w:eastAsia="Times New Roman" w:hAnsi="Arial" w:cs="Arial"/>
      <w:sz w:val="16"/>
      <w:szCs w:val="16"/>
      <w:lang w:val="en-GB" w:eastAsia="en-GB"/>
    </w:rPr>
  </w:style>
  <w:style w:type="paragraph" w:customStyle="1" w:styleId="xl120">
    <w:name w:val="xl120"/>
    <w:basedOn w:val="Normal"/>
    <w:rsid w:val="00AE3C4E"/>
    <w:pPr>
      <w:pBdr>
        <w:top w:val="dashed" w:sz="4" w:space="0" w:color="auto"/>
        <w:left w:val="dashed" w:sz="4" w:space="0" w:color="auto"/>
        <w:bottom w:val="single" w:sz="8" w:space="0" w:color="auto"/>
        <w:right w:val="single" w:sz="4" w:space="0" w:color="auto"/>
      </w:pBdr>
      <w:spacing w:beforeAutospacing="1" w:after="100" w:afterAutospacing="1" w:line="240" w:lineRule="auto"/>
      <w:jc w:val="center"/>
      <w:textAlignment w:val="center"/>
    </w:pPr>
    <w:rPr>
      <w:rFonts w:ascii="Arial" w:eastAsia="Times New Roman" w:hAnsi="Arial" w:cs="Arial"/>
      <w:sz w:val="16"/>
      <w:szCs w:val="16"/>
      <w:lang w:val="en-GB" w:eastAsia="en-GB"/>
    </w:rPr>
  </w:style>
  <w:style w:type="paragraph" w:customStyle="1" w:styleId="xl121">
    <w:name w:val="xl121"/>
    <w:basedOn w:val="Normal"/>
    <w:rsid w:val="00AE3C4E"/>
    <w:pPr>
      <w:pBdr>
        <w:top w:val="single" w:sz="4" w:space="0" w:color="auto"/>
        <w:left w:val="single" w:sz="4" w:space="0" w:color="auto"/>
        <w:bottom w:val="single" w:sz="4" w:space="0" w:color="auto"/>
        <w:right w:val="single" w:sz="4" w:space="0" w:color="auto"/>
      </w:pBdr>
      <w:shd w:val="clear" w:color="95DBB8" w:fill="FFFFFF"/>
      <w:spacing w:beforeAutospacing="1" w:after="100" w:afterAutospacing="1" w:line="240" w:lineRule="auto"/>
      <w:textAlignment w:val="top"/>
    </w:pPr>
    <w:rPr>
      <w:rFonts w:ascii="Arial" w:eastAsia="Times New Roman" w:hAnsi="Arial" w:cs="Arial"/>
      <w:b/>
      <w:bCs/>
      <w:color w:val="60A3DA"/>
      <w:sz w:val="18"/>
      <w:szCs w:val="18"/>
      <w:lang w:val="en-GB" w:eastAsia="en-GB"/>
    </w:rPr>
  </w:style>
  <w:style w:type="paragraph" w:customStyle="1" w:styleId="xl122">
    <w:name w:val="xl122"/>
    <w:basedOn w:val="Normal"/>
    <w:rsid w:val="00AE3C4E"/>
    <w:pPr>
      <w:pBdr>
        <w:top w:val="single" w:sz="4" w:space="0" w:color="auto"/>
        <w:left w:val="single" w:sz="4" w:space="0" w:color="auto"/>
        <w:bottom w:val="single" w:sz="4" w:space="0" w:color="auto"/>
        <w:right w:val="single" w:sz="4" w:space="0" w:color="auto"/>
      </w:pBdr>
      <w:shd w:val="clear" w:color="000000" w:fill="F2F2F2"/>
      <w:spacing w:beforeAutospacing="1" w:after="100" w:afterAutospacing="1" w:line="240" w:lineRule="auto"/>
      <w:textAlignment w:val="center"/>
    </w:pPr>
    <w:rPr>
      <w:rFonts w:ascii="Times New Roman" w:eastAsia="Times New Roman" w:hAnsi="Times New Roman" w:cs="Times New Roman"/>
      <w:sz w:val="24"/>
      <w:szCs w:val="24"/>
      <w:lang w:val="en-GB" w:eastAsia="en-GB"/>
    </w:rPr>
  </w:style>
  <w:style w:type="paragraph" w:customStyle="1" w:styleId="font7">
    <w:name w:val="font7"/>
    <w:basedOn w:val="Normal"/>
    <w:rsid w:val="00AE3C4E"/>
    <w:pPr>
      <w:spacing w:beforeAutospacing="1" w:after="100" w:afterAutospacing="1" w:line="240" w:lineRule="auto"/>
    </w:pPr>
    <w:rPr>
      <w:rFonts w:ascii="Arial" w:eastAsia="Times New Roman" w:hAnsi="Arial" w:cs="Arial"/>
      <w:color w:val="FF0000"/>
      <w:sz w:val="16"/>
      <w:szCs w:val="16"/>
      <w:lang w:val="en-GB" w:eastAsia="en-GB"/>
    </w:rPr>
  </w:style>
  <w:style w:type="paragraph" w:customStyle="1" w:styleId="font8">
    <w:name w:val="font8"/>
    <w:basedOn w:val="Normal"/>
    <w:rsid w:val="00AE3C4E"/>
    <w:pPr>
      <w:spacing w:beforeAutospacing="1" w:after="100" w:afterAutospacing="1" w:line="240" w:lineRule="auto"/>
    </w:pPr>
    <w:rPr>
      <w:rFonts w:ascii="Arial" w:eastAsia="Times New Roman" w:hAnsi="Arial" w:cs="Arial"/>
      <w:b/>
      <w:bCs/>
      <w:sz w:val="16"/>
      <w:szCs w:val="16"/>
      <w:lang w:val="en-GB" w:eastAsia="en-GB"/>
    </w:rPr>
  </w:style>
  <w:style w:type="paragraph" w:customStyle="1" w:styleId="font9">
    <w:name w:val="font9"/>
    <w:basedOn w:val="Normal"/>
    <w:rsid w:val="00AE3C4E"/>
    <w:pPr>
      <w:spacing w:beforeAutospacing="1" w:after="100" w:afterAutospacing="1" w:line="240" w:lineRule="auto"/>
    </w:pPr>
    <w:rPr>
      <w:rFonts w:ascii="Calibri" w:eastAsia="Times New Roman" w:hAnsi="Calibri" w:cs="Calibri"/>
      <w:color w:val="000000"/>
      <w:sz w:val="16"/>
      <w:szCs w:val="16"/>
      <w:lang w:val="en-GB" w:eastAsia="en-GB"/>
    </w:rPr>
  </w:style>
  <w:style w:type="paragraph" w:customStyle="1" w:styleId="xl123">
    <w:name w:val="xl123"/>
    <w:basedOn w:val="Normal"/>
    <w:rsid w:val="00AE3C4E"/>
    <w:pPr>
      <w:pBdr>
        <w:top w:val="single" w:sz="4" w:space="0" w:color="BFBFBF"/>
        <w:left w:val="single" w:sz="4" w:space="0" w:color="BFBFBF"/>
        <w:bottom w:val="single" w:sz="4" w:space="0" w:color="BFBFBF"/>
        <w:right w:val="single" w:sz="4" w:space="0" w:color="BFBFBF"/>
      </w:pBdr>
      <w:shd w:val="clear" w:color="000000" w:fill="FFFFFF"/>
      <w:spacing w:beforeAutospacing="1" w:after="100" w:afterAutospacing="1" w:line="240" w:lineRule="auto"/>
      <w:jc w:val="center"/>
    </w:pPr>
    <w:rPr>
      <w:rFonts w:ascii="Times New Roman" w:eastAsia="Times New Roman" w:hAnsi="Times New Roman" w:cs="Times New Roman"/>
      <w:sz w:val="24"/>
      <w:szCs w:val="24"/>
      <w:lang w:val="en-GB" w:eastAsia="en-GB"/>
    </w:rPr>
  </w:style>
  <w:style w:type="paragraph" w:customStyle="1" w:styleId="xl124">
    <w:name w:val="xl124"/>
    <w:basedOn w:val="Normal"/>
    <w:rsid w:val="00AE3C4E"/>
    <w:pPr>
      <w:pBdr>
        <w:top w:val="single" w:sz="4" w:space="0" w:color="BFBFBF"/>
        <w:left w:val="single" w:sz="4" w:space="0" w:color="BFBFBF"/>
        <w:bottom w:val="single" w:sz="4" w:space="0" w:color="BFBFBF"/>
        <w:right w:val="single" w:sz="4" w:space="0" w:color="BFBFBF"/>
      </w:pBdr>
      <w:shd w:val="clear" w:color="FFFFCC" w:fill="FFFFFF"/>
      <w:spacing w:beforeAutospacing="1" w:after="100" w:afterAutospacing="1" w:line="240" w:lineRule="auto"/>
      <w:jc w:val="center"/>
      <w:textAlignment w:val="center"/>
    </w:pPr>
    <w:rPr>
      <w:rFonts w:ascii="Arial" w:eastAsia="Times New Roman" w:hAnsi="Arial" w:cs="Arial"/>
      <w:b/>
      <w:bCs/>
      <w:color w:val="000000"/>
      <w:sz w:val="16"/>
      <w:szCs w:val="16"/>
      <w:lang w:val="en-GB" w:eastAsia="en-GB"/>
    </w:rPr>
  </w:style>
  <w:style w:type="character" w:customStyle="1" w:styleId="SidebarChar">
    <w:name w:val="Sidebar Char"/>
    <w:link w:val="Sidebar"/>
    <w:uiPriority w:val="8"/>
    <w:locked/>
    <w:rsid w:val="00AE3C4E"/>
    <w:rPr>
      <w:i/>
      <w:color w:val="365F91"/>
      <w:sz w:val="24"/>
    </w:rPr>
  </w:style>
  <w:style w:type="paragraph" w:customStyle="1" w:styleId="Sidebar">
    <w:name w:val="Sidebar"/>
    <w:basedOn w:val="Normal"/>
    <w:link w:val="SidebarChar"/>
    <w:uiPriority w:val="8"/>
    <w:qFormat/>
    <w:rsid w:val="00AE3C4E"/>
    <w:pPr>
      <w:suppressAutoHyphens/>
      <w:autoSpaceDN w:val="0"/>
      <w:spacing w:before="240" w:after="240" w:line="288" w:lineRule="auto"/>
      <w:ind w:firstLine="357"/>
      <w:jc w:val="both"/>
      <w:textAlignment w:val="baseline"/>
    </w:pPr>
    <w:rPr>
      <w:i/>
      <w:color w:val="365F91"/>
      <w:sz w:val="24"/>
    </w:rPr>
  </w:style>
  <w:style w:type="paragraph" w:customStyle="1" w:styleId="Normal1">
    <w:name w:val="Normal1"/>
    <w:basedOn w:val="Normal"/>
    <w:rsid w:val="00AE3C4E"/>
    <w:pPr>
      <w:suppressAutoHyphens/>
      <w:autoSpaceDN w:val="0"/>
      <w:spacing w:beforeAutospacing="1" w:after="100" w:afterAutospacing="1" w:line="240" w:lineRule="auto"/>
      <w:ind w:firstLine="357"/>
      <w:jc w:val="both"/>
      <w:textAlignment w:val="baseline"/>
    </w:pPr>
    <w:rPr>
      <w:rFonts w:ascii="Times New Roman" w:eastAsia="Times New Roman" w:hAnsi="Times New Roman" w:cs="Times New Roman"/>
      <w:kern w:val="3"/>
      <w:sz w:val="24"/>
      <w:szCs w:val="24"/>
      <w:lang w:val="de-DE" w:eastAsia="de-DE" w:bidi="hi-IN"/>
    </w:rPr>
  </w:style>
  <w:style w:type="character" w:customStyle="1" w:styleId="fontstyle01">
    <w:name w:val="fontstyle01"/>
    <w:rsid w:val="00AE3C4E"/>
    <w:rPr>
      <w:rFonts w:ascii="Roboto-Regular" w:hAnsi="Roboto-Regular" w:hint="default"/>
      <w:b w:val="0"/>
      <w:bCs w:val="0"/>
      <w:i w:val="0"/>
      <w:iCs w:val="0"/>
      <w:color w:val="1A171C"/>
      <w:sz w:val="16"/>
      <w:szCs w:val="16"/>
    </w:rPr>
  </w:style>
  <w:style w:type="table" w:customStyle="1" w:styleId="PlainTable31">
    <w:name w:val="Plain Table 31"/>
    <w:basedOn w:val="TableNormal"/>
    <w:uiPriority w:val="99"/>
    <w:rsid w:val="00AE3C4E"/>
    <w:pPr>
      <w:spacing w:before="0" w:after="0" w:line="240" w:lineRule="auto"/>
    </w:pPr>
    <w:rPr>
      <w:rFonts w:ascii="Calibri" w:eastAsia="Calibri" w:hAnsi="Calibri" w:cs="Times New Roman"/>
      <w:lang w:val="uz-Cyrl-UZ"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auto-style1">
    <w:name w:val="auto-style1"/>
    <w:basedOn w:val="Normal"/>
    <w:rsid w:val="00AE3C4E"/>
    <w:pPr>
      <w:suppressAutoHyphens/>
      <w:autoSpaceDN w:val="0"/>
      <w:spacing w:beforeAutospacing="1" w:after="100" w:afterAutospacing="1" w:line="240" w:lineRule="auto"/>
      <w:ind w:firstLine="357"/>
      <w:jc w:val="both"/>
      <w:textAlignment w:val="baseline"/>
    </w:pPr>
    <w:rPr>
      <w:rFonts w:ascii="Times New Roman" w:eastAsia="Times New Roman" w:hAnsi="Times New Roman" w:cs="Times New Roman"/>
      <w:kern w:val="3"/>
      <w:sz w:val="24"/>
      <w:szCs w:val="24"/>
      <w:lang w:val="en-GB" w:eastAsia="en-GB" w:bidi="hi-IN"/>
    </w:rPr>
  </w:style>
  <w:style w:type="paragraph" w:customStyle="1" w:styleId="odluka-zakon">
    <w:name w:val="odluka-zakon"/>
    <w:basedOn w:val="Normal"/>
    <w:rsid w:val="00AE3C4E"/>
    <w:pPr>
      <w:suppressAutoHyphens/>
      <w:autoSpaceDN w:val="0"/>
      <w:spacing w:beforeAutospacing="1" w:after="100" w:afterAutospacing="1" w:line="240" w:lineRule="auto"/>
      <w:ind w:firstLine="357"/>
      <w:jc w:val="both"/>
      <w:textAlignment w:val="baseline"/>
    </w:pPr>
    <w:rPr>
      <w:rFonts w:ascii="Times New Roman" w:eastAsia="Times New Roman" w:hAnsi="Times New Roman" w:cs="Times New Roman"/>
      <w:kern w:val="3"/>
      <w:sz w:val="24"/>
      <w:szCs w:val="24"/>
      <w:lang w:eastAsia="zh-CN" w:bidi="hi-IN"/>
    </w:rPr>
  </w:style>
  <w:style w:type="paragraph" w:customStyle="1" w:styleId="kmnaslov1">
    <w:name w:val="kmnaslov1"/>
    <w:basedOn w:val="Normal"/>
    <w:uiPriority w:val="99"/>
    <w:rsid w:val="00AE3C4E"/>
    <w:pPr>
      <w:suppressAutoHyphens/>
      <w:autoSpaceDN w:val="0"/>
      <w:spacing w:beforeAutospacing="1" w:after="100" w:afterAutospacing="1" w:line="240" w:lineRule="auto"/>
      <w:ind w:firstLine="357"/>
      <w:jc w:val="both"/>
      <w:textAlignment w:val="baseline"/>
    </w:pPr>
    <w:rPr>
      <w:rFonts w:ascii="Calibri" w:eastAsia="Times New Roman" w:hAnsi="Calibri" w:cs="Calibri"/>
      <w:kern w:val="3"/>
      <w:sz w:val="24"/>
      <w:szCs w:val="24"/>
      <w:lang w:eastAsia="zh-CN" w:bidi="hi-IN"/>
    </w:rPr>
  </w:style>
  <w:style w:type="character" w:customStyle="1" w:styleId="UnresolvedMention11">
    <w:name w:val="Unresolved Mention11"/>
    <w:uiPriority w:val="99"/>
    <w:semiHidden/>
    <w:unhideWhenUsed/>
    <w:rsid w:val="00AE3C4E"/>
    <w:rPr>
      <w:color w:val="605E5C"/>
      <w:shd w:val="clear" w:color="auto" w:fill="E1DFDD"/>
    </w:rPr>
  </w:style>
  <w:style w:type="character" w:customStyle="1" w:styleId="UnresolvedMention2">
    <w:name w:val="Unresolved Mention2"/>
    <w:uiPriority w:val="99"/>
    <w:semiHidden/>
    <w:unhideWhenUsed/>
    <w:rsid w:val="00AE3C4E"/>
    <w:rPr>
      <w:color w:val="605E5C"/>
      <w:shd w:val="clear" w:color="auto" w:fill="E1DFDD"/>
    </w:rPr>
  </w:style>
  <w:style w:type="paragraph" w:styleId="TableofFigures">
    <w:name w:val="table of figures"/>
    <w:basedOn w:val="Normal"/>
    <w:next w:val="Normal"/>
    <w:uiPriority w:val="99"/>
    <w:unhideWhenUsed/>
    <w:rsid w:val="00AE3C4E"/>
    <w:pPr>
      <w:suppressAutoHyphens/>
      <w:autoSpaceDN w:val="0"/>
      <w:spacing w:before="120" w:after="0" w:line="240" w:lineRule="auto"/>
      <w:ind w:firstLine="357"/>
      <w:jc w:val="both"/>
      <w:textAlignment w:val="baseline"/>
    </w:pPr>
    <w:rPr>
      <w:rFonts w:ascii="Times New Roman" w:eastAsia="DejaVu Sans Mono" w:hAnsi="Times New Roman" w:cs="Calibri"/>
      <w:i/>
      <w:iCs/>
      <w:kern w:val="3"/>
      <w:lang w:val="de-DE" w:eastAsia="zh-CN" w:bidi="hi-IN"/>
    </w:rPr>
  </w:style>
  <w:style w:type="paragraph" w:customStyle="1" w:styleId="CharCharCharCharCarCarCharCharCarCar">
    <w:name w:val="Char Char Char Char Car Car Char Char Car Car"/>
    <w:basedOn w:val="Normal"/>
    <w:next w:val="Normal"/>
    <w:uiPriority w:val="99"/>
    <w:rsid w:val="00AE3C4E"/>
    <w:pPr>
      <w:suppressAutoHyphens/>
      <w:autoSpaceDN w:val="0"/>
      <w:spacing w:before="120" w:after="60" w:line="240" w:lineRule="exact"/>
      <w:ind w:firstLine="357"/>
      <w:jc w:val="both"/>
      <w:textAlignment w:val="baseline"/>
    </w:pPr>
    <w:rPr>
      <w:rFonts w:ascii="Times New Roman" w:eastAsia="DejaVu Sans Mono" w:hAnsi="Times New Roman" w:cs="Times New Roman"/>
      <w:kern w:val="3"/>
      <w:sz w:val="24"/>
      <w:szCs w:val="24"/>
      <w:vertAlign w:val="superscript"/>
      <w:lang w:eastAsia="zh-CN" w:bidi="hi-IN"/>
    </w:rPr>
  </w:style>
  <w:style w:type="paragraph" w:customStyle="1" w:styleId="CharCharCharCharCarChar">
    <w:name w:val="Char Char Char Char Car Char"/>
    <w:aliases w:val="Char Char Char Char Car Char Char1,Char Char Char1,16 Point Char1,Superscript 6 Point Char1,ftref Char1,Char Char Char1 Char Char Char"/>
    <w:basedOn w:val="Normal"/>
    <w:next w:val="Normal"/>
    <w:uiPriority w:val="99"/>
    <w:rsid w:val="00AE3C4E"/>
    <w:pPr>
      <w:suppressAutoHyphens/>
      <w:autoSpaceDN w:val="0"/>
      <w:spacing w:before="120" w:after="0" w:line="120" w:lineRule="exact"/>
      <w:ind w:firstLine="357"/>
      <w:jc w:val="both"/>
      <w:textAlignment w:val="baseline"/>
    </w:pPr>
    <w:rPr>
      <w:rFonts w:ascii="Calibri" w:eastAsia="DejaVu Sans Mono" w:hAnsi="Calibri" w:cs="Times New Roman"/>
      <w:color w:val="000000"/>
      <w:kern w:val="3"/>
      <w:sz w:val="24"/>
      <w:szCs w:val="24"/>
      <w:vertAlign w:val="superscript"/>
      <w:lang w:val="sr-Cyrl-RS" w:eastAsia="zh-CN" w:bidi="hi-IN"/>
    </w:rPr>
  </w:style>
  <w:style w:type="character" w:customStyle="1" w:styleId="UnresolvedMention3">
    <w:name w:val="Unresolved Mention3"/>
    <w:uiPriority w:val="99"/>
    <w:semiHidden/>
    <w:unhideWhenUsed/>
    <w:rsid w:val="00AE3C4E"/>
    <w:rPr>
      <w:color w:val="605E5C"/>
      <w:shd w:val="clear" w:color="auto" w:fill="E1DFDD"/>
    </w:rPr>
  </w:style>
  <w:style w:type="character" w:customStyle="1" w:styleId="FootnoteCharacters">
    <w:name w:val="Footnote Characters"/>
    <w:uiPriority w:val="99"/>
    <w:qFormat/>
    <w:rsid w:val="00AE3C4E"/>
    <w:rPr>
      <w:vertAlign w:val="superscript"/>
    </w:rPr>
  </w:style>
  <w:style w:type="character" w:customStyle="1" w:styleId="FootnoteAnchor">
    <w:name w:val="Footnote Anchor"/>
    <w:rsid w:val="00AE3C4E"/>
    <w:rPr>
      <w:vertAlign w:val="superscript"/>
    </w:rPr>
  </w:style>
  <w:style w:type="paragraph" w:customStyle="1" w:styleId="commentcontentpara">
    <w:name w:val="commentcontentpara"/>
    <w:basedOn w:val="Normal"/>
    <w:rsid w:val="00AE3C4E"/>
    <w:pPr>
      <w:suppressAutoHyphens/>
      <w:autoSpaceDN w:val="0"/>
      <w:spacing w:beforeAutospacing="1" w:after="100" w:afterAutospacing="1" w:line="240" w:lineRule="auto"/>
      <w:ind w:firstLine="357"/>
      <w:jc w:val="both"/>
      <w:textAlignment w:val="baseline"/>
    </w:pPr>
    <w:rPr>
      <w:rFonts w:ascii="Times New Roman" w:eastAsia="Times New Roman" w:hAnsi="Times New Roman" w:cs="Times New Roman"/>
      <w:kern w:val="3"/>
      <w:sz w:val="24"/>
      <w:szCs w:val="24"/>
      <w:lang w:val="sr-Cyrl-RS" w:eastAsia="sr-Latn-RS" w:bidi="hi-IN"/>
    </w:rPr>
  </w:style>
  <w:style w:type="character" w:customStyle="1" w:styleId="xmsofootnotereference">
    <w:name w:val="x_msofootnotereference"/>
    <w:basedOn w:val="DefaultParagraphFont"/>
    <w:rsid w:val="00AE3C4E"/>
  </w:style>
  <w:style w:type="character" w:customStyle="1" w:styleId="UnresolvedMention4">
    <w:name w:val="Unresolved Mention4"/>
    <w:uiPriority w:val="99"/>
    <w:semiHidden/>
    <w:unhideWhenUsed/>
    <w:rsid w:val="00AE3C4E"/>
    <w:rPr>
      <w:color w:val="605E5C"/>
      <w:shd w:val="clear" w:color="auto" w:fill="E1DFDD"/>
    </w:rPr>
  </w:style>
  <w:style w:type="character" w:customStyle="1" w:styleId="UnresolvedMention5">
    <w:name w:val="Unresolved Mention5"/>
    <w:uiPriority w:val="99"/>
    <w:semiHidden/>
    <w:unhideWhenUsed/>
    <w:rsid w:val="00AE3C4E"/>
    <w:rPr>
      <w:color w:val="605E5C"/>
      <w:shd w:val="clear" w:color="auto" w:fill="E1DFDD"/>
    </w:rPr>
  </w:style>
  <w:style w:type="character" w:customStyle="1" w:styleId="UnresolvedMention6">
    <w:name w:val="Unresolved Mention6"/>
    <w:uiPriority w:val="99"/>
    <w:semiHidden/>
    <w:unhideWhenUsed/>
    <w:rsid w:val="00AE3C4E"/>
    <w:rPr>
      <w:color w:val="605E5C"/>
      <w:shd w:val="clear" w:color="auto" w:fill="E1DFDD"/>
    </w:rPr>
  </w:style>
  <w:style w:type="character" w:customStyle="1" w:styleId="UnresolvedMention7">
    <w:name w:val="Unresolved Mention7"/>
    <w:uiPriority w:val="99"/>
    <w:semiHidden/>
    <w:unhideWhenUsed/>
    <w:rsid w:val="00AE3C4E"/>
    <w:rPr>
      <w:color w:val="605E5C"/>
      <w:shd w:val="clear" w:color="auto" w:fill="E1DFDD"/>
    </w:rPr>
  </w:style>
  <w:style w:type="character" w:customStyle="1" w:styleId="UnresolvedMention21">
    <w:name w:val="Unresolved Mention21"/>
    <w:uiPriority w:val="99"/>
    <w:semiHidden/>
    <w:unhideWhenUsed/>
    <w:rsid w:val="00AE3C4E"/>
    <w:rPr>
      <w:color w:val="605E5C"/>
      <w:shd w:val="clear" w:color="auto" w:fill="E1DFDD"/>
    </w:rPr>
  </w:style>
  <w:style w:type="character" w:customStyle="1" w:styleId="fontstyle21">
    <w:name w:val="fontstyle21"/>
    <w:rsid w:val="00AE3C4E"/>
    <w:rPr>
      <w:rFonts w:ascii="Cambria" w:hAnsi="Cambria" w:hint="default"/>
      <w:b w:val="0"/>
      <w:bCs w:val="0"/>
      <w:i w:val="0"/>
      <w:iCs w:val="0"/>
      <w:color w:val="000000"/>
      <w:sz w:val="22"/>
      <w:szCs w:val="22"/>
    </w:rPr>
  </w:style>
  <w:style w:type="character" w:customStyle="1" w:styleId="gmail-msoins">
    <w:name w:val="gmail-msoins"/>
    <w:basedOn w:val="DefaultParagraphFont"/>
    <w:rsid w:val="00AE3C4E"/>
  </w:style>
  <w:style w:type="paragraph" w:customStyle="1" w:styleId="Footnote">
    <w:name w:val="Footnote"/>
    <w:basedOn w:val="Normal"/>
    <w:rsid w:val="00AE3C4E"/>
    <w:pPr>
      <w:suppressAutoHyphens/>
      <w:autoSpaceDN w:val="0"/>
      <w:spacing w:before="120" w:after="0" w:line="240" w:lineRule="auto"/>
      <w:ind w:firstLine="357"/>
      <w:jc w:val="both"/>
      <w:textAlignment w:val="baseline"/>
    </w:pPr>
    <w:rPr>
      <w:rFonts w:ascii="Times New Roman" w:eastAsia="Times New Roman" w:hAnsi="Times New Roman" w:cs="Lohit Devanagari"/>
      <w:kern w:val="3"/>
      <w:lang w:val="sl-SI" w:eastAsia="zh-CN" w:bidi="hi-IN"/>
    </w:rPr>
  </w:style>
  <w:style w:type="character" w:customStyle="1" w:styleId="pronadjen">
    <w:name w:val="pronadjen"/>
    <w:basedOn w:val="DefaultParagraphFont"/>
    <w:qFormat/>
    <w:rsid w:val="00AE3C4E"/>
  </w:style>
  <w:style w:type="character" w:customStyle="1" w:styleId="BodyTextChar1">
    <w:name w:val="Body Text Char1"/>
    <w:uiPriority w:val="1"/>
    <w:semiHidden/>
    <w:rsid w:val="00AE3C4E"/>
    <w:rPr>
      <w:lang w:val="sr-Cyrl-RS"/>
    </w:rPr>
  </w:style>
  <w:style w:type="table" w:customStyle="1" w:styleId="ListTable1Light-Accent11">
    <w:name w:val="List Table 1 Light - Accent 11"/>
    <w:basedOn w:val="TableNormal"/>
    <w:uiPriority w:val="46"/>
    <w:rsid w:val="00AE3C4E"/>
    <w:pPr>
      <w:spacing w:before="0" w:after="0" w:line="240" w:lineRule="auto"/>
    </w:pPr>
    <w:rPr>
      <w:rFonts w:ascii="Calibri" w:eastAsia="Calibri" w:hAnsi="Calibri" w:cs="Times New Roman"/>
      <w:lang w:eastAsia="en-GB"/>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3">
    <w:name w:val="Table Grid3"/>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formattedText">
    <w:name w:val="Preformatted Text"/>
    <w:basedOn w:val="Normal"/>
    <w:qFormat/>
    <w:rsid w:val="00AE3C4E"/>
    <w:pPr>
      <w:suppressAutoHyphens/>
      <w:autoSpaceDN w:val="0"/>
      <w:spacing w:before="120" w:after="0" w:line="240" w:lineRule="auto"/>
      <w:ind w:firstLine="357"/>
      <w:jc w:val="both"/>
      <w:textAlignment w:val="baseline"/>
    </w:pPr>
    <w:rPr>
      <w:rFonts w:ascii="Liberation Mono" w:eastAsia="DejaVu Sans Mono" w:hAnsi="Liberation Mono" w:cs="Liberation Mono"/>
      <w:kern w:val="2"/>
      <w:lang w:eastAsia="zh-CN" w:bidi="hi-IN"/>
    </w:rPr>
  </w:style>
  <w:style w:type="paragraph" w:customStyle="1" w:styleId="Bullet1">
    <w:name w:val="Bullet 1"/>
    <w:basedOn w:val="ListBullet"/>
    <w:qFormat/>
    <w:rsid w:val="00AE3C4E"/>
    <w:pPr>
      <w:numPr>
        <w:numId w:val="0"/>
      </w:numPr>
      <w:suppressAutoHyphens/>
      <w:autoSpaceDN w:val="0"/>
      <w:spacing w:before="20" w:after="20" w:line="240" w:lineRule="exact"/>
      <w:ind w:left="142" w:hanging="142"/>
      <w:textAlignment w:val="baseline"/>
    </w:pPr>
    <w:rPr>
      <w:rFonts w:ascii="DejaVu Sans" w:eastAsia="DejaVu Sans Mono" w:hAnsi="DejaVu Sans" w:cs="DejaVu Sans"/>
      <w:kern w:val="3"/>
      <w:sz w:val="18"/>
      <w:szCs w:val="18"/>
      <w:lang w:eastAsia="zh-CN" w:bidi="hi-IN"/>
    </w:rPr>
  </w:style>
  <w:style w:type="character" w:customStyle="1" w:styleId="hps">
    <w:name w:val="hps"/>
    <w:uiPriority w:val="99"/>
    <w:rsid w:val="00AE3C4E"/>
    <w:rPr>
      <w:rFonts w:cs="Times New Roman"/>
    </w:rPr>
  </w:style>
  <w:style w:type="character" w:customStyle="1" w:styleId="InternetLink">
    <w:name w:val="Internet Link"/>
    <w:uiPriority w:val="99"/>
    <w:unhideWhenUsed/>
    <w:rsid w:val="00AE3C4E"/>
    <w:rPr>
      <w:color w:val="0000FF"/>
      <w:u w:val="single"/>
    </w:rPr>
  </w:style>
  <w:style w:type="character" w:customStyle="1" w:styleId="ListLabel10">
    <w:name w:val="ListLabel 10"/>
    <w:qFormat/>
    <w:rsid w:val="00AE3C4E"/>
    <w:rPr>
      <w:rFonts w:cs="Courier New"/>
    </w:rPr>
  </w:style>
  <w:style w:type="character" w:customStyle="1" w:styleId="EndnoteAnchor">
    <w:name w:val="Endnote Anchor"/>
    <w:rsid w:val="00AE3C4E"/>
    <w:rPr>
      <w:vertAlign w:val="superscript"/>
    </w:rPr>
  </w:style>
  <w:style w:type="character" w:customStyle="1" w:styleId="EndnoteCharacters">
    <w:name w:val="Endnote Characters"/>
    <w:qFormat/>
    <w:rsid w:val="00AE3C4E"/>
  </w:style>
  <w:style w:type="paragraph" w:customStyle="1" w:styleId="Heading">
    <w:name w:val="Heading"/>
    <w:basedOn w:val="Normal"/>
    <w:next w:val="BodyText"/>
    <w:qFormat/>
    <w:rsid w:val="00AE3C4E"/>
    <w:pPr>
      <w:keepNext/>
      <w:suppressAutoHyphens/>
      <w:autoSpaceDN w:val="0"/>
      <w:spacing w:before="240" w:after="120" w:line="240" w:lineRule="auto"/>
      <w:ind w:firstLine="357"/>
      <w:jc w:val="both"/>
      <w:textAlignment w:val="baseline"/>
    </w:pPr>
    <w:rPr>
      <w:rFonts w:ascii="Liberation Sans" w:eastAsia="Noto Sans CJK SC" w:hAnsi="Liberation Sans" w:cs="Lohit Devanagari"/>
      <w:kern w:val="3"/>
      <w:sz w:val="28"/>
      <w:szCs w:val="28"/>
      <w:lang w:val="de-DE" w:eastAsia="zh-CN" w:bidi="hi-IN"/>
    </w:rPr>
  </w:style>
  <w:style w:type="paragraph" w:styleId="List">
    <w:name w:val="List"/>
    <w:basedOn w:val="BodyText"/>
    <w:rsid w:val="00AE3C4E"/>
    <w:pPr>
      <w:widowControl w:val="0"/>
      <w:suppressAutoHyphens/>
      <w:autoSpaceDN w:val="0"/>
      <w:spacing w:before="120"/>
      <w:ind w:firstLine="357"/>
      <w:textAlignment w:val="baseline"/>
    </w:pPr>
    <w:rPr>
      <w:rFonts w:ascii="Calibri" w:eastAsia="Calibri" w:hAnsi="Calibri" w:cs="Lohit Devanagari"/>
      <w:sz w:val="22"/>
      <w:szCs w:val="22"/>
      <w:lang w:val="en-GB" w:eastAsia="en-GB" w:bidi="en-GB"/>
    </w:rPr>
  </w:style>
  <w:style w:type="paragraph" w:customStyle="1" w:styleId="Index">
    <w:name w:val="Index"/>
    <w:basedOn w:val="Normal"/>
    <w:qFormat/>
    <w:rsid w:val="00AE3C4E"/>
    <w:pPr>
      <w:suppressLineNumbers/>
      <w:suppressAutoHyphens/>
      <w:autoSpaceDN w:val="0"/>
      <w:spacing w:before="120" w:after="120" w:line="240" w:lineRule="auto"/>
      <w:ind w:firstLine="357"/>
      <w:jc w:val="both"/>
      <w:textAlignment w:val="baseline"/>
    </w:pPr>
    <w:rPr>
      <w:rFonts w:ascii="Times New Roman" w:eastAsia="DejaVu Sans Mono" w:hAnsi="Times New Roman" w:cs="Lohit Devanagari"/>
      <w:kern w:val="3"/>
      <w:sz w:val="24"/>
      <w:szCs w:val="24"/>
      <w:lang w:val="de-DE" w:eastAsia="zh-CN" w:bidi="hi-IN"/>
    </w:rPr>
  </w:style>
  <w:style w:type="character" w:customStyle="1" w:styleId="FooterChar1">
    <w:name w:val="Footer Char1"/>
    <w:uiPriority w:val="99"/>
    <w:semiHidden/>
    <w:rsid w:val="00AE3C4E"/>
    <w:rPr>
      <w:lang w:val="de-DE"/>
    </w:rPr>
  </w:style>
  <w:style w:type="paragraph" w:customStyle="1" w:styleId="Standard">
    <w:name w:val="Standard"/>
    <w:qFormat/>
    <w:rsid w:val="00AE3C4E"/>
    <w:pPr>
      <w:suppressAutoHyphens/>
      <w:spacing w:before="0" w:after="0" w:line="240" w:lineRule="auto"/>
      <w:textAlignment w:val="baseline"/>
    </w:pPr>
    <w:rPr>
      <w:rFonts w:ascii="Liberation Serif" w:eastAsia="Times New Roman" w:hAnsi="Liberation Serif" w:cs="FreeSans"/>
      <w:kern w:val="2"/>
      <w:sz w:val="24"/>
      <w:szCs w:val="24"/>
      <w:lang w:eastAsia="zh-CN" w:bidi="hi-IN"/>
    </w:rPr>
  </w:style>
  <w:style w:type="paragraph" w:customStyle="1" w:styleId="FrameContents">
    <w:name w:val="Frame Contents"/>
    <w:basedOn w:val="Normal"/>
    <w:qFormat/>
    <w:rsid w:val="00AE3C4E"/>
    <w:pPr>
      <w:suppressAutoHyphens/>
      <w:autoSpaceDN w:val="0"/>
      <w:spacing w:before="120" w:after="120" w:line="240" w:lineRule="auto"/>
      <w:ind w:firstLine="357"/>
      <w:jc w:val="both"/>
      <w:textAlignment w:val="baseline"/>
    </w:pPr>
    <w:rPr>
      <w:rFonts w:ascii="Times New Roman" w:eastAsia="DejaVu Sans Mono" w:hAnsi="Times New Roman" w:cs="Times New Roman"/>
      <w:kern w:val="3"/>
      <w:sz w:val="24"/>
      <w:szCs w:val="24"/>
      <w:lang w:val="de-DE" w:eastAsia="zh-CN" w:bidi="hi-IN"/>
    </w:rPr>
  </w:style>
  <w:style w:type="paragraph" w:customStyle="1" w:styleId="Quotations">
    <w:name w:val="Quotations"/>
    <w:basedOn w:val="Normal"/>
    <w:qFormat/>
    <w:rsid w:val="00AE3C4E"/>
    <w:pPr>
      <w:suppressAutoHyphens/>
      <w:autoSpaceDN w:val="0"/>
      <w:spacing w:before="120" w:after="283" w:line="240" w:lineRule="auto"/>
      <w:ind w:left="567" w:right="567" w:firstLine="357"/>
      <w:jc w:val="both"/>
      <w:textAlignment w:val="baseline"/>
    </w:pPr>
    <w:rPr>
      <w:rFonts w:ascii="Times New Roman" w:eastAsia="DejaVu Sans Mono" w:hAnsi="Times New Roman" w:cs="Times New Roman"/>
      <w:kern w:val="3"/>
      <w:sz w:val="24"/>
      <w:szCs w:val="24"/>
      <w:lang w:val="de-DE" w:eastAsia="zh-CN" w:bidi="hi-IN"/>
    </w:rPr>
  </w:style>
  <w:style w:type="character" w:customStyle="1" w:styleId="CommentTextChar1">
    <w:name w:val="Comment Text Char1"/>
    <w:uiPriority w:val="99"/>
    <w:semiHidden/>
    <w:rsid w:val="00AE3C4E"/>
    <w:rPr>
      <w:sz w:val="20"/>
      <w:szCs w:val="20"/>
      <w:lang w:val="de-DE"/>
    </w:rPr>
  </w:style>
  <w:style w:type="paragraph" w:customStyle="1" w:styleId="Textbody">
    <w:name w:val="Text body"/>
    <w:basedOn w:val="Standard"/>
    <w:rsid w:val="00AE3C4E"/>
    <w:pPr>
      <w:autoSpaceDN w:val="0"/>
      <w:spacing w:after="140" w:line="276" w:lineRule="auto"/>
    </w:pPr>
    <w:rPr>
      <w:rFonts w:eastAsia="Noto Sans CJK SC" w:cs="Lohit Devanagari"/>
      <w:kern w:val="3"/>
    </w:rPr>
  </w:style>
  <w:style w:type="paragraph" w:customStyle="1" w:styleId="BodyText0">
    <w:name w:val="BodyText"/>
    <w:basedOn w:val="Normal"/>
    <w:qFormat/>
    <w:rsid w:val="00AE3C4E"/>
    <w:pPr>
      <w:suppressAutoHyphens/>
      <w:autoSpaceDN w:val="0"/>
      <w:spacing w:before="60" w:after="0" w:line="240" w:lineRule="exact"/>
      <w:ind w:firstLine="357"/>
      <w:jc w:val="both"/>
      <w:textAlignment w:val="baseline"/>
    </w:pPr>
    <w:rPr>
      <w:rFonts w:ascii="DejaVu Sans" w:eastAsia="DejaVu Sans Mono" w:hAnsi="DejaVu Sans" w:cs="DejaVu Sans"/>
      <w:kern w:val="3"/>
      <w:sz w:val="18"/>
      <w:szCs w:val="18"/>
      <w:lang w:eastAsia="zh-CN" w:bidi="hi-IN"/>
    </w:rPr>
  </w:style>
  <w:style w:type="character" w:customStyle="1" w:styleId="trs">
    <w:name w:val="trs"/>
    <w:basedOn w:val="DefaultParagraphFont"/>
    <w:rsid w:val="00AE3C4E"/>
  </w:style>
  <w:style w:type="table" w:customStyle="1" w:styleId="TableGrid8">
    <w:name w:val="Table Grid8"/>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Light">
    <w:name w:val="Grid Table Light"/>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2Accent3">
    <w:name w:val="List Table 2 Accent 3"/>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GridTable1LightAccent3">
    <w:name w:val="Grid Table 1 Light Accent 3"/>
    <w:basedOn w:val="TableNormal"/>
    <w:uiPriority w:val="46"/>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TableGrid9">
    <w:name w:val="Table Grid9"/>
    <w:basedOn w:val="TableNormal"/>
    <w:next w:val="TableGrid"/>
    <w:rsid w:val="00AE3C4E"/>
    <w:pPr>
      <w:spacing w:before="0" w:after="0" w:line="240" w:lineRule="auto"/>
    </w:pPr>
    <w:rPr>
      <w:rFonts w:ascii="Georgia" w:eastAsia="Calibri" w:hAnsi="Georgia" w:cs="Times New Roman"/>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stTable6ColorfulAccent3">
    <w:name w:val="List Table 6 Colorful Accent 3"/>
    <w:basedOn w:val="TableNormal"/>
    <w:uiPriority w:val="51"/>
    <w:rsid w:val="00AE3C4E"/>
    <w:pPr>
      <w:spacing w:before="0" w:after="0" w:line="240" w:lineRule="auto"/>
    </w:pPr>
    <w:rPr>
      <w:rFonts w:ascii="Calibri" w:eastAsia="Calibri" w:hAnsi="Calibri" w:cs="Times New Roman"/>
      <w:color w:val="76923C"/>
      <w:lang w:val="sr-Latn-RS" w:eastAsia="en-GB"/>
    </w:rPr>
    <w:tblPr>
      <w:tblStyleRowBandSize w:val="1"/>
      <w:tblStyleColBandSize w:val="1"/>
      <w:tblBorders>
        <w:top w:val="single" w:sz="4" w:space="0" w:color="9BBB59"/>
        <w:bottom w:val="single" w:sz="4" w:space="0" w:color="9BBB59"/>
      </w:tblBorders>
    </w:tblPr>
    <w:tblStylePr w:type="firstRow">
      <w:rPr>
        <w:b/>
        <w:bCs/>
      </w:rPr>
      <w:tblPr/>
      <w:tcPr>
        <w:tcBorders>
          <w:bottom w:val="single" w:sz="4" w:space="0" w:color="9BBB59"/>
        </w:tcBorders>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10">
    <w:name w:val="Table Grid10"/>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99"/>
    <w:rsid w:val="00AE3C4E"/>
    <w:pPr>
      <w:spacing w:before="0" w:after="0" w:line="240" w:lineRule="auto"/>
    </w:pPr>
    <w:rPr>
      <w:rFonts w:ascii="Calibri" w:eastAsia="Calibri" w:hAnsi="Calibri" w:cs="Times New Roman"/>
      <w:lang w:val="uz-Cyrl-UZ"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21">
    <w:name w:val="Table Grid21"/>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1Light-Accent111">
    <w:name w:val="List Table 1 Light - Accent 111"/>
    <w:basedOn w:val="TableNormal"/>
    <w:uiPriority w:val="46"/>
    <w:rsid w:val="00AE3C4E"/>
    <w:pPr>
      <w:spacing w:before="0" w:after="0" w:line="240" w:lineRule="auto"/>
    </w:pPr>
    <w:rPr>
      <w:rFonts w:ascii="Calibri" w:eastAsia="Calibri" w:hAnsi="Calibri" w:cs="Times New Roman"/>
      <w:lang w:eastAsia="en-GB"/>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31">
    <w:name w:val="Table Grid3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AE3C4E"/>
    <w:pPr>
      <w:spacing w:before="0" w:after="100" w:line="259" w:lineRule="auto"/>
      <w:ind w:left="660"/>
    </w:pPr>
    <w:rPr>
      <w:rFonts w:ascii="Calibri" w:eastAsia="Times New Roman" w:hAnsi="Calibri" w:cs="Times New Roman"/>
      <w:sz w:val="22"/>
      <w:szCs w:val="22"/>
      <w:lang w:val="sr-Cyrl-RS" w:eastAsia="sr-Cyrl-RS"/>
    </w:rPr>
  </w:style>
  <w:style w:type="paragraph" w:styleId="TOC6">
    <w:name w:val="toc 6"/>
    <w:basedOn w:val="Normal"/>
    <w:next w:val="Normal"/>
    <w:autoRedefine/>
    <w:uiPriority w:val="39"/>
    <w:unhideWhenUsed/>
    <w:rsid w:val="00AE3C4E"/>
    <w:pPr>
      <w:spacing w:before="0" w:after="100" w:line="259" w:lineRule="auto"/>
      <w:ind w:left="1100"/>
    </w:pPr>
    <w:rPr>
      <w:rFonts w:ascii="Calibri" w:eastAsia="Times New Roman" w:hAnsi="Calibri" w:cs="Times New Roman"/>
      <w:sz w:val="22"/>
      <w:szCs w:val="22"/>
      <w:lang w:val="sr-Cyrl-RS" w:eastAsia="sr-Cyrl-RS"/>
    </w:rPr>
  </w:style>
  <w:style w:type="paragraph" w:styleId="TOC7">
    <w:name w:val="toc 7"/>
    <w:basedOn w:val="Normal"/>
    <w:next w:val="Normal"/>
    <w:autoRedefine/>
    <w:uiPriority w:val="39"/>
    <w:unhideWhenUsed/>
    <w:rsid w:val="00AE3C4E"/>
    <w:pPr>
      <w:spacing w:before="0" w:after="100" w:line="259" w:lineRule="auto"/>
      <w:ind w:left="1320"/>
    </w:pPr>
    <w:rPr>
      <w:rFonts w:ascii="Calibri" w:eastAsia="Times New Roman" w:hAnsi="Calibri" w:cs="Times New Roman"/>
      <w:sz w:val="22"/>
      <w:szCs w:val="22"/>
      <w:lang w:val="sr-Cyrl-RS" w:eastAsia="sr-Cyrl-RS"/>
    </w:rPr>
  </w:style>
  <w:style w:type="paragraph" w:styleId="TOC8">
    <w:name w:val="toc 8"/>
    <w:basedOn w:val="Normal"/>
    <w:next w:val="Normal"/>
    <w:autoRedefine/>
    <w:uiPriority w:val="39"/>
    <w:unhideWhenUsed/>
    <w:rsid w:val="00AE3C4E"/>
    <w:pPr>
      <w:spacing w:before="0" w:after="100" w:line="259" w:lineRule="auto"/>
      <w:ind w:left="1540"/>
    </w:pPr>
    <w:rPr>
      <w:rFonts w:ascii="Calibri" w:eastAsia="Times New Roman" w:hAnsi="Calibri" w:cs="Times New Roman"/>
      <w:sz w:val="22"/>
      <w:szCs w:val="22"/>
      <w:lang w:val="sr-Cyrl-RS" w:eastAsia="sr-Cyrl-RS"/>
    </w:rPr>
  </w:style>
  <w:style w:type="paragraph" w:styleId="TOC9">
    <w:name w:val="toc 9"/>
    <w:basedOn w:val="Normal"/>
    <w:next w:val="Normal"/>
    <w:autoRedefine/>
    <w:uiPriority w:val="39"/>
    <w:unhideWhenUsed/>
    <w:rsid w:val="00AE3C4E"/>
    <w:pPr>
      <w:spacing w:before="0" w:after="100" w:line="259" w:lineRule="auto"/>
      <w:ind w:left="1760"/>
    </w:pPr>
    <w:rPr>
      <w:rFonts w:ascii="Calibri" w:eastAsia="Times New Roman" w:hAnsi="Calibri" w:cs="Times New Roman"/>
      <w:sz w:val="22"/>
      <w:szCs w:val="22"/>
      <w:lang w:val="sr-Cyrl-RS" w:eastAsia="sr-Cyrl-RS"/>
    </w:rPr>
  </w:style>
  <w:style w:type="character" w:customStyle="1" w:styleId="UnresolvedMention8">
    <w:name w:val="Unresolved Mention8"/>
    <w:uiPriority w:val="99"/>
    <w:semiHidden/>
    <w:unhideWhenUsed/>
    <w:rsid w:val="00AE3C4E"/>
    <w:rPr>
      <w:color w:val="605E5C"/>
      <w:shd w:val="clear" w:color="auto" w:fill="E1DFDD"/>
    </w:rPr>
  </w:style>
  <w:style w:type="table" w:customStyle="1" w:styleId="PlainTable3">
    <w:name w:val="Plain Table 3"/>
    <w:basedOn w:val="TableNormal"/>
    <w:uiPriority w:val="43"/>
    <w:rsid w:val="00AE3C4E"/>
    <w:pPr>
      <w:spacing w:before="0" w:after="0" w:line="240" w:lineRule="auto"/>
    </w:pPr>
    <w:rPr>
      <w:rFonts w:ascii="Calibri" w:eastAsia="Calibri" w:hAnsi="Calibri" w:cs="Times New Roman"/>
      <w:lang w:val="sr-Latn-RS"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GridTable1Light-Accent31">
    <w:name w:val="Grid Table 1 Light - Accent 31"/>
    <w:basedOn w:val="TableNormal"/>
    <w:next w:val="GridTable1LightAccent3"/>
    <w:uiPriority w:val="46"/>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character" w:customStyle="1" w:styleId="UnresolvedMention9">
    <w:name w:val="Unresolved Mention9"/>
    <w:uiPriority w:val="99"/>
    <w:semiHidden/>
    <w:unhideWhenUsed/>
    <w:rsid w:val="00AE3C4E"/>
    <w:rPr>
      <w:color w:val="605E5C"/>
      <w:shd w:val="clear" w:color="auto" w:fill="E1DFDD"/>
    </w:rPr>
  </w:style>
  <w:style w:type="table" w:customStyle="1" w:styleId="TableGrid16">
    <w:name w:val="Table Grid16"/>
    <w:basedOn w:val="TableNormal"/>
    <w:next w:val="TableGrid"/>
    <w:uiPriority w:val="39"/>
    <w:rsid w:val="00AE3C4E"/>
    <w:pPr>
      <w:spacing w:before="0"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0">
    <w:name w:val="Unresolved Mention10"/>
    <w:uiPriority w:val="99"/>
    <w:semiHidden/>
    <w:unhideWhenUsed/>
    <w:rsid w:val="00AE3C4E"/>
    <w:rPr>
      <w:color w:val="605E5C"/>
      <w:shd w:val="clear" w:color="auto" w:fill="E1DFDD"/>
    </w:rPr>
  </w:style>
  <w:style w:type="table" w:customStyle="1" w:styleId="ListTable2-Accent31">
    <w:name w:val="List Table 2 - Accent 31"/>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Light1">
    <w:name w:val="Table Grid Light1"/>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UnresolvedMention12">
    <w:name w:val="Unresolved Mention12"/>
    <w:uiPriority w:val="99"/>
    <w:semiHidden/>
    <w:unhideWhenUsed/>
    <w:rsid w:val="00AE3C4E"/>
    <w:rPr>
      <w:color w:val="605E5C"/>
      <w:shd w:val="clear" w:color="auto" w:fill="E1DFDD"/>
    </w:rPr>
  </w:style>
  <w:style w:type="paragraph" w:customStyle="1" w:styleId="Style1">
    <w:name w:val="Style1"/>
    <w:basedOn w:val="Heading4"/>
    <w:link w:val="Style1Char"/>
    <w:qFormat/>
    <w:rsid w:val="00AE3C4E"/>
    <w:pPr>
      <w:keepNext/>
      <w:keepLines/>
      <w:pBdr>
        <w:top w:val="none" w:sz="0" w:space="0" w:color="auto"/>
      </w:pBdr>
      <w:suppressAutoHyphens/>
      <w:autoSpaceDN w:val="0"/>
      <w:spacing w:before="240" w:after="60" w:line="240" w:lineRule="auto"/>
      <w:jc w:val="both"/>
      <w:textAlignment w:val="baseline"/>
    </w:pPr>
    <w:rPr>
      <w:rFonts w:ascii="Times New Roman" w:eastAsia="Calibri" w:hAnsi="Times New Roman" w:cs="Times New Roman"/>
      <w:i/>
      <w:iCs/>
      <w:caps w:val="0"/>
      <w:color w:val="365F91"/>
      <w:spacing w:val="0"/>
      <w:kern w:val="3"/>
      <w:sz w:val="24"/>
      <w:szCs w:val="24"/>
      <w:lang w:val="de-DE"/>
    </w:rPr>
  </w:style>
  <w:style w:type="character" w:customStyle="1" w:styleId="UnresolvedMention13">
    <w:name w:val="Unresolved Mention13"/>
    <w:uiPriority w:val="99"/>
    <w:semiHidden/>
    <w:unhideWhenUsed/>
    <w:rsid w:val="00AE3C4E"/>
    <w:rPr>
      <w:color w:val="605E5C"/>
      <w:shd w:val="clear" w:color="auto" w:fill="E1DFDD"/>
    </w:rPr>
  </w:style>
  <w:style w:type="character" w:customStyle="1" w:styleId="Style1Char">
    <w:name w:val="Style1 Char"/>
    <w:link w:val="Style1"/>
    <w:rsid w:val="00AE3C4E"/>
    <w:rPr>
      <w:rFonts w:ascii="Times New Roman" w:eastAsia="Calibri" w:hAnsi="Times New Roman" w:cs="Times New Roman"/>
      <w:i/>
      <w:iCs/>
      <w:color w:val="365F91"/>
      <w:kern w:val="3"/>
      <w:sz w:val="24"/>
      <w:szCs w:val="24"/>
      <w:lang w:val="de-DE"/>
    </w:rPr>
  </w:style>
  <w:style w:type="character" w:customStyle="1" w:styleId="UnresolvedMention14">
    <w:name w:val="Unresolved Mention14"/>
    <w:uiPriority w:val="99"/>
    <w:semiHidden/>
    <w:unhideWhenUsed/>
    <w:rsid w:val="00AE3C4E"/>
    <w:rPr>
      <w:color w:val="605E5C"/>
      <w:shd w:val="clear" w:color="auto" w:fill="E1DFDD"/>
    </w:rPr>
  </w:style>
  <w:style w:type="table" w:customStyle="1" w:styleId="ListTable1LightAccent3">
    <w:name w:val="List Table 1 Light Accent 3"/>
    <w:basedOn w:val="TableNormal"/>
    <w:uiPriority w:val="46"/>
    <w:rsid w:val="00AE3C4E"/>
    <w:pPr>
      <w:spacing w:before="0" w:after="0" w:line="240" w:lineRule="auto"/>
    </w:pPr>
    <w:rPr>
      <w:rFonts w:ascii="Calibri" w:eastAsia="Calibri" w:hAnsi="Calibri" w:cs="Times New Roman"/>
      <w:lang w:val="en-GB" w:eastAsia="en-GB"/>
    </w:rPr>
    <w:tblPr>
      <w:tblStyleRowBandSize w:val="1"/>
      <w:tblStyleColBandSize w:val="1"/>
    </w:tblPr>
    <w:tblStylePr w:type="firstRow">
      <w:rPr>
        <w:b/>
        <w:bCs/>
      </w:rPr>
      <w:tblPr/>
      <w:tcPr>
        <w:tcBorders>
          <w:bottom w:val="single" w:sz="4" w:space="0" w:color="C2D69B"/>
        </w:tcBorders>
      </w:tcPr>
    </w:tblStylePr>
    <w:tblStylePr w:type="lastRow">
      <w:rPr>
        <w:b/>
        <w:bCs/>
      </w:rPr>
      <w:tblPr/>
      <w:tcPr>
        <w:tcBorders>
          <w:top w:val="single" w:sz="4" w:space="0" w:color="C2D69B"/>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17">
    <w:name w:val="Table Grid17"/>
    <w:basedOn w:val="TableNormal"/>
    <w:next w:val="TableGrid"/>
    <w:uiPriority w:val="39"/>
    <w:rsid w:val="00AE3C4E"/>
    <w:pPr>
      <w:spacing w:before="0"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6ColorfulAccent6">
    <w:name w:val="List Table 6 Colorful Accent 6"/>
    <w:basedOn w:val="TableNormal"/>
    <w:uiPriority w:val="51"/>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79646"/>
        <w:bottom w:val="single" w:sz="4" w:space="0" w:color="F79646"/>
      </w:tblBorders>
    </w:tblPr>
    <w:tblStylePr w:type="firstRow">
      <w:rPr>
        <w:b/>
        <w:bCs/>
      </w:rPr>
      <w:tblPr/>
      <w:tcPr>
        <w:tcBorders>
          <w:bottom w:val="single" w:sz="4" w:space="0" w:color="F79646"/>
        </w:tcBorders>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7ColorfulAccent6">
    <w:name w:val="Grid Table 7 Colorful Accent 6"/>
    <w:basedOn w:val="TableNormal"/>
    <w:uiPriority w:val="52"/>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9D9"/>
      </w:tcPr>
    </w:tblStylePr>
    <w:tblStylePr w:type="band1Horz">
      <w:tblPr/>
      <w:tcPr>
        <w:shd w:val="clear" w:color="auto" w:fill="FDE9D9"/>
      </w:tcPr>
    </w:tblStylePr>
    <w:tblStylePr w:type="neCell">
      <w:tblPr/>
      <w:tcPr>
        <w:tcBorders>
          <w:bottom w:val="single" w:sz="4" w:space="0" w:color="FABF8F"/>
        </w:tcBorders>
      </w:tcPr>
    </w:tblStylePr>
    <w:tblStylePr w:type="nwCell">
      <w:tblPr/>
      <w:tcPr>
        <w:tcBorders>
          <w:bottom w:val="single" w:sz="4" w:space="0" w:color="FABF8F"/>
        </w:tcBorders>
      </w:tcPr>
    </w:tblStylePr>
    <w:tblStylePr w:type="seCell">
      <w:tblPr/>
      <w:tcPr>
        <w:tcBorders>
          <w:top w:val="single" w:sz="4" w:space="0" w:color="FABF8F"/>
        </w:tcBorders>
      </w:tcPr>
    </w:tblStylePr>
    <w:tblStylePr w:type="swCell">
      <w:tblPr/>
      <w:tcPr>
        <w:tcBorders>
          <w:top w:val="single" w:sz="4" w:space="0" w:color="FABF8F"/>
        </w:tcBorders>
      </w:tcPr>
    </w:tblStylePr>
  </w:style>
  <w:style w:type="table" w:customStyle="1" w:styleId="ListTable2-Accent311">
    <w:name w:val="List Table 2 - Accent 311"/>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Light11">
    <w:name w:val="Table Grid Light11"/>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6Colorful-Accent61">
    <w:name w:val="List Table 6 Colorful - Accent 61"/>
    <w:basedOn w:val="TableNormal"/>
    <w:uiPriority w:val="51"/>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79646"/>
        <w:bottom w:val="single" w:sz="4" w:space="0" w:color="F79646"/>
      </w:tblBorders>
    </w:tblPr>
    <w:tblStylePr w:type="firstRow">
      <w:rPr>
        <w:b/>
        <w:bCs/>
      </w:rPr>
      <w:tblPr/>
      <w:tcPr>
        <w:tcBorders>
          <w:bottom w:val="single" w:sz="4" w:space="0" w:color="F79646"/>
        </w:tcBorders>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7Colorful-Accent61">
    <w:name w:val="Grid Table 7 Colorful - Accent 61"/>
    <w:basedOn w:val="TableNormal"/>
    <w:uiPriority w:val="52"/>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9D9"/>
      </w:tcPr>
    </w:tblStylePr>
    <w:tblStylePr w:type="band1Horz">
      <w:tblPr/>
      <w:tcPr>
        <w:shd w:val="clear" w:color="auto" w:fill="FDE9D9"/>
      </w:tcPr>
    </w:tblStylePr>
    <w:tblStylePr w:type="neCell">
      <w:tblPr/>
      <w:tcPr>
        <w:tcBorders>
          <w:bottom w:val="single" w:sz="4" w:space="0" w:color="FABF8F"/>
        </w:tcBorders>
      </w:tcPr>
    </w:tblStylePr>
    <w:tblStylePr w:type="nwCell">
      <w:tblPr/>
      <w:tcPr>
        <w:tcBorders>
          <w:bottom w:val="single" w:sz="4" w:space="0" w:color="FABF8F"/>
        </w:tcBorders>
      </w:tcPr>
    </w:tblStylePr>
    <w:tblStylePr w:type="seCell">
      <w:tblPr/>
      <w:tcPr>
        <w:tcBorders>
          <w:top w:val="single" w:sz="4" w:space="0" w:color="FABF8F"/>
        </w:tcBorders>
      </w:tcPr>
    </w:tblStylePr>
    <w:tblStylePr w:type="swCell">
      <w:tblPr/>
      <w:tcPr>
        <w:tcBorders>
          <w:top w:val="single" w:sz="4" w:space="0" w:color="FABF8F"/>
        </w:tcBorders>
      </w:tcPr>
    </w:tblStylePr>
  </w:style>
  <w:style w:type="table" w:customStyle="1" w:styleId="ListTable6Colorful-Accent31">
    <w:name w:val="List Table 6 Colorful - Accent 31"/>
    <w:basedOn w:val="TableNormal"/>
    <w:uiPriority w:val="51"/>
    <w:rsid w:val="00AE3C4E"/>
    <w:pPr>
      <w:spacing w:before="0" w:after="0" w:line="240" w:lineRule="auto"/>
    </w:pPr>
    <w:rPr>
      <w:rFonts w:ascii="Calibri" w:eastAsia="Calibri" w:hAnsi="Calibri" w:cs="Times New Roman"/>
      <w:color w:val="76923C"/>
      <w:lang w:val="sr-Latn-RS" w:eastAsia="en-GB"/>
    </w:rPr>
    <w:tblPr>
      <w:tblStyleRowBandSize w:val="1"/>
      <w:tblStyleColBandSize w:val="1"/>
      <w:tblBorders>
        <w:top w:val="single" w:sz="4" w:space="0" w:color="9BBB59"/>
        <w:bottom w:val="single" w:sz="4" w:space="0" w:color="9BBB59"/>
      </w:tblBorders>
    </w:tblPr>
    <w:tblStylePr w:type="firstRow">
      <w:rPr>
        <w:b/>
        <w:bCs/>
      </w:rPr>
      <w:tblPr/>
      <w:tcPr>
        <w:tcBorders>
          <w:bottom w:val="single" w:sz="4" w:space="0" w:color="9BBB59"/>
        </w:tcBorders>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PlainTable32">
    <w:name w:val="Plain Table 32"/>
    <w:basedOn w:val="TableNormal"/>
    <w:uiPriority w:val="43"/>
    <w:rsid w:val="00AE3C4E"/>
    <w:pPr>
      <w:spacing w:before="0" w:after="0" w:line="240" w:lineRule="auto"/>
    </w:pPr>
    <w:rPr>
      <w:rFonts w:ascii="Calibri" w:eastAsia="Calibri" w:hAnsi="Calibri" w:cs="Times New Roman"/>
      <w:lang w:val="sr-Latn-RS"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UnresolvedMention15">
    <w:name w:val="Unresolved Mention15"/>
    <w:uiPriority w:val="99"/>
    <w:semiHidden/>
    <w:unhideWhenUsed/>
    <w:rsid w:val="00AE3C4E"/>
    <w:rPr>
      <w:color w:val="605E5C"/>
      <w:shd w:val="clear" w:color="auto" w:fill="E1DFDD"/>
    </w:rPr>
  </w:style>
  <w:style w:type="paragraph" w:customStyle="1" w:styleId="xmsobodytext">
    <w:name w:val="x_msobodytext"/>
    <w:basedOn w:val="Normal"/>
    <w:rsid w:val="00AE3C4E"/>
    <w:pPr>
      <w:spacing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xmsonormal">
    <w:name w:val="x_msonormal"/>
    <w:basedOn w:val="Normal"/>
    <w:rsid w:val="00AE3C4E"/>
    <w:pPr>
      <w:spacing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UnresolvedMention16">
    <w:name w:val="Unresolved Mention16"/>
    <w:uiPriority w:val="99"/>
    <w:semiHidden/>
    <w:unhideWhenUsed/>
    <w:rsid w:val="00AE3C4E"/>
    <w:rPr>
      <w:color w:val="605E5C"/>
      <w:shd w:val="clear" w:color="auto" w:fill="E1DFDD"/>
    </w:rPr>
  </w:style>
  <w:style w:type="table" w:customStyle="1" w:styleId="TableGrid19">
    <w:name w:val="Table Grid19"/>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2">
    <w:name w:val="Plain Table 312"/>
    <w:basedOn w:val="TableNormal"/>
    <w:uiPriority w:val="99"/>
    <w:rsid w:val="00AE3C4E"/>
    <w:pPr>
      <w:spacing w:before="0" w:after="0" w:line="240" w:lineRule="auto"/>
    </w:pPr>
    <w:rPr>
      <w:rFonts w:ascii="Calibri" w:eastAsia="Calibri" w:hAnsi="Calibri" w:cs="Times New Roman"/>
      <w:lang w:val="uz-Cyrl-UZ"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22">
    <w:name w:val="Table Grid22"/>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1Light-Accent112">
    <w:name w:val="List Table 1 Light - Accent 112"/>
    <w:basedOn w:val="TableNormal"/>
    <w:uiPriority w:val="46"/>
    <w:rsid w:val="00AE3C4E"/>
    <w:pPr>
      <w:spacing w:before="0" w:after="0" w:line="240" w:lineRule="auto"/>
    </w:pPr>
    <w:rPr>
      <w:rFonts w:ascii="Calibri" w:eastAsia="Calibri" w:hAnsi="Calibri" w:cs="Times New Roman"/>
      <w:lang w:eastAsia="en-GB"/>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32">
    <w:name w:val="Table Grid3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
    <w:name w:val="Table Grid7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
    <w:name w:val="Table Grid82"/>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2">
    <w:name w:val="Table Grid Light2"/>
    <w:basedOn w:val="TableNormal"/>
    <w:next w:val="GridTableLight"/>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2-Accent32">
    <w:name w:val="List Table 2 - Accent 32"/>
    <w:basedOn w:val="TableNormal"/>
    <w:next w:val="ListTable2Accent3"/>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GridTable1Light-Accent32">
    <w:name w:val="Grid Table 1 Light - Accent 32"/>
    <w:basedOn w:val="TableNormal"/>
    <w:next w:val="GridTable1LightAccent3"/>
    <w:uiPriority w:val="46"/>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TableGrid91">
    <w:name w:val="Table Grid91"/>
    <w:basedOn w:val="TableNormal"/>
    <w:next w:val="TableGrid"/>
    <w:rsid w:val="00AE3C4E"/>
    <w:pPr>
      <w:spacing w:before="0" w:after="0" w:line="240" w:lineRule="auto"/>
    </w:pPr>
    <w:rPr>
      <w:rFonts w:ascii="Georgia" w:eastAsia="Calibri" w:hAnsi="Georgia" w:cs="Times New Roman"/>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stTable6Colorful-Accent32">
    <w:name w:val="List Table 6 Colorful - Accent 32"/>
    <w:basedOn w:val="TableNormal"/>
    <w:next w:val="ListTable6ColorfulAccent3"/>
    <w:uiPriority w:val="51"/>
    <w:rsid w:val="00AE3C4E"/>
    <w:pPr>
      <w:spacing w:before="0" w:after="0" w:line="240" w:lineRule="auto"/>
    </w:pPr>
    <w:rPr>
      <w:rFonts w:ascii="Calibri" w:eastAsia="Calibri" w:hAnsi="Calibri" w:cs="Times New Roman"/>
      <w:color w:val="76923C"/>
      <w:lang w:val="sr-Latn-RS" w:eastAsia="en-GB"/>
    </w:rPr>
    <w:tblPr>
      <w:tblStyleRowBandSize w:val="1"/>
      <w:tblStyleColBandSize w:val="1"/>
      <w:tblBorders>
        <w:top w:val="single" w:sz="4" w:space="0" w:color="9BBB59"/>
        <w:bottom w:val="single" w:sz="4" w:space="0" w:color="9BBB59"/>
      </w:tblBorders>
    </w:tblPr>
    <w:tblStylePr w:type="firstRow">
      <w:rPr>
        <w:b/>
        <w:bCs/>
      </w:rPr>
      <w:tblPr/>
      <w:tcPr>
        <w:tcBorders>
          <w:bottom w:val="single" w:sz="4" w:space="0" w:color="9BBB59"/>
        </w:tcBorders>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101">
    <w:name w:val="Table Grid10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
    <w:name w:val="No List31"/>
    <w:next w:val="NoList"/>
    <w:uiPriority w:val="99"/>
    <w:semiHidden/>
    <w:unhideWhenUsed/>
    <w:rsid w:val="00AE3C4E"/>
  </w:style>
  <w:style w:type="table" w:customStyle="1" w:styleId="TableGrid131">
    <w:name w:val="Table Grid13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
    <w:name w:val="Table Grid141"/>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1">
    <w:name w:val="Plain Table 3111"/>
    <w:basedOn w:val="TableNormal"/>
    <w:uiPriority w:val="99"/>
    <w:rsid w:val="00AE3C4E"/>
    <w:pPr>
      <w:spacing w:before="0" w:after="0" w:line="240" w:lineRule="auto"/>
    </w:pPr>
    <w:rPr>
      <w:rFonts w:ascii="Calibri" w:eastAsia="Calibri" w:hAnsi="Calibri" w:cs="Times New Roman"/>
      <w:lang w:val="uz-Cyrl-UZ"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211">
    <w:name w:val="Table Grid211"/>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1Light-Accent1111">
    <w:name w:val="List Table 1 Light - Accent 1111"/>
    <w:basedOn w:val="TableNormal"/>
    <w:uiPriority w:val="46"/>
    <w:rsid w:val="00AE3C4E"/>
    <w:pPr>
      <w:spacing w:before="0" w:after="0" w:line="240" w:lineRule="auto"/>
    </w:pPr>
    <w:rPr>
      <w:rFonts w:ascii="Calibri" w:eastAsia="Calibri" w:hAnsi="Calibri" w:cs="Times New Roman"/>
      <w:lang w:eastAsia="en-GB"/>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311">
    <w:name w:val="Table Grid3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
    <w:name w:val="Table Grid5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
    <w:name w:val="Table Grid6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
    <w:name w:val="Table Grid7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
    <w:name w:val="No List211"/>
    <w:next w:val="NoList"/>
    <w:uiPriority w:val="99"/>
    <w:semiHidden/>
    <w:unhideWhenUsed/>
    <w:rsid w:val="00AE3C4E"/>
  </w:style>
  <w:style w:type="table" w:customStyle="1" w:styleId="TableGrid811">
    <w:name w:val="Table Grid811"/>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
    <w:name w:val="Table Grid15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3">
    <w:name w:val="Plain Table 33"/>
    <w:basedOn w:val="TableNormal"/>
    <w:next w:val="PlainTable3"/>
    <w:uiPriority w:val="43"/>
    <w:rsid w:val="00AE3C4E"/>
    <w:pPr>
      <w:spacing w:before="0" w:after="0" w:line="240" w:lineRule="auto"/>
    </w:pPr>
    <w:rPr>
      <w:rFonts w:ascii="Calibri" w:eastAsia="Calibri" w:hAnsi="Calibri" w:cs="Times New Roman"/>
      <w:lang w:val="sr-Latn-RS"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GridTable1Light-Accent311">
    <w:name w:val="Grid Table 1 Light - Accent 311"/>
    <w:basedOn w:val="TableNormal"/>
    <w:next w:val="GridTable1LightAccent3"/>
    <w:uiPriority w:val="46"/>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TableGrid161">
    <w:name w:val="Table Grid161"/>
    <w:basedOn w:val="TableNormal"/>
    <w:next w:val="TableGrid"/>
    <w:uiPriority w:val="39"/>
    <w:rsid w:val="00AE3C4E"/>
    <w:pPr>
      <w:spacing w:before="0"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2-Accent312">
    <w:name w:val="List Table 2 - Accent 312"/>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Light12">
    <w:name w:val="Table Grid Light12"/>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1Light-Accent31">
    <w:name w:val="List Table 1 Light - Accent 31"/>
    <w:basedOn w:val="TableNormal"/>
    <w:next w:val="ListTable1LightAccent3"/>
    <w:uiPriority w:val="46"/>
    <w:rsid w:val="00AE3C4E"/>
    <w:pPr>
      <w:spacing w:before="0" w:after="0" w:line="240" w:lineRule="auto"/>
    </w:pPr>
    <w:rPr>
      <w:rFonts w:ascii="Calibri" w:eastAsia="Calibri" w:hAnsi="Calibri" w:cs="Times New Roman"/>
      <w:lang w:val="en-GB" w:eastAsia="en-GB"/>
    </w:rPr>
    <w:tblPr>
      <w:tblStyleRowBandSize w:val="1"/>
      <w:tblStyleColBandSize w:val="1"/>
    </w:tblPr>
    <w:tblStylePr w:type="firstRow">
      <w:rPr>
        <w:b/>
        <w:bCs/>
      </w:rPr>
      <w:tblPr/>
      <w:tcPr>
        <w:tcBorders>
          <w:bottom w:val="single" w:sz="4" w:space="0" w:color="C2D69B"/>
        </w:tcBorders>
      </w:tcPr>
    </w:tblStylePr>
    <w:tblStylePr w:type="lastRow">
      <w:rPr>
        <w:b/>
        <w:bCs/>
      </w:rPr>
      <w:tblPr/>
      <w:tcPr>
        <w:tcBorders>
          <w:top w:val="single" w:sz="4" w:space="0" w:color="C2D69B"/>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NoList41">
    <w:name w:val="No List41"/>
    <w:next w:val="NoList"/>
    <w:uiPriority w:val="99"/>
    <w:semiHidden/>
    <w:unhideWhenUsed/>
    <w:rsid w:val="00AE3C4E"/>
  </w:style>
  <w:style w:type="table" w:customStyle="1" w:styleId="TableGrid171">
    <w:name w:val="Table Grid171"/>
    <w:basedOn w:val="TableNormal"/>
    <w:next w:val="TableGrid"/>
    <w:uiPriority w:val="39"/>
    <w:rsid w:val="00AE3C4E"/>
    <w:pPr>
      <w:spacing w:before="0"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1">
    <w:name w:val="Table Grid181"/>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6Colorful-Accent62">
    <w:name w:val="List Table 6 Colorful - Accent 62"/>
    <w:basedOn w:val="TableNormal"/>
    <w:next w:val="ListTable6ColorfulAccent6"/>
    <w:uiPriority w:val="51"/>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79646"/>
        <w:bottom w:val="single" w:sz="4" w:space="0" w:color="F79646"/>
      </w:tblBorders>
    </w:tblPr>
    <w:tblStylePr w:type="firstRow">
      <w:rPr>
        <w:b/>
        <w:bCs/>
      </w:rPr>
      <w:tblPr/>
      <w:tcPr>
        <w:tcBorders>
          <w:bottom w:val="single" w:sz="4" w:space="0" w:color="F79646"/>
        </w:tcBorders>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7Colorful-Accent62">
    <w:name w:val="Grid Table 7 Colorful - Accent 62"/>
    <w:basedOn w:val="TableNormal"/>
    <w:next w:val="GridTable7ColorfulAccent6"/>
    <w:uiPriority w:val="52"/>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9D9"/>
      </w:tcPr>
    </w:tblStylePr>
    <w:tblStylePr w:type="band1Horz">
      <w:tblPr/>
      <w:tcPr>
        <w:shd w:val="clear" w:color="auto" w:fill="FDE9D9"/>
      </w:tcPr>
    </w:tblStylePr>
    <w:tblStylePr w:type="neCell">
      <w:tblPr/>
      <w:tcPr>
        <w:tcBorders>
          <w:bottom w:val="single" w:sz="4" w:space="0" w:color="FABF8F"/>
        </w:tcBorders>
      </w:tcPr>
    </w:tblStylePr>
    <w:tblStylePr w:type="nwCell">
      <w:tblPr/>
      <w:tcPr>
        <w:tcBorders>
          <w:bottom w:val="single" w:sz="4" w:space="0" w:color="FABF8F"/>
        </w:tcBorders>
      </w:tcPr>
    </w:tblStylePr>
    <w:tblStylePr w:type="seCell">
      <w:tblPr/>
      <w:tcPr>
        <w:tcBorders>
          <w:top w:val="single" w:sz="4" w:space="0" w:color="FABF8F"/>
        </w:tcBorders>
      </w:tcPr>
    </w:tblStylePr>
    <w:tblStylePr w:type="swCell">
      <w:tblPr/>
      <w:tcPr>
        <w:tcBorders>
          <w:top w:val="single" w:sz="4" w:space="0" w:color="FABF8F"/>
        </w:tcBorders>
      </w:tcPr>
    </w:tblStylePr>
  </w:style>
  <w:style w:type="table" w:customStyle="1" w:styleId="ListTable2-Accent3111">
    <w:name w:val="List Table 2 - Accent 3111"/>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Light111">
    <w:name w:val="Table Grid Light111"/>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6Colorful-Accent611">
    <w:name w:val="List Table 6 Colorful - Accent 611"/>
    <w:basedOn w:val="TableNormal"/>
    <w:uiPriority w:val="51"/>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79646"/>
        <w:bottom w:val="single" w:sz="4" w:space="0" w:color="F79646"/>
      </w:tblBorders>
    </w:tblPr>
    <w:tblStylePr w:type="firstRow">
      <w:rPr>
        <w:b/>
        <w:bCs/>
      </w:rPr>
      <w:tblPr/>
      <w:tcPr>
        <w:tcBorders>
          <w:bottom w:val="single" w:sz="4" w:space="0" w:color="F79646"/>
        </w:tcBorders>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7Colorful-Accent611">
    <w:name w:val="Grid Table 7 Colorful - Accent 611"/>
    <w:basedOn w:val="TableNormal"/>
    <w:uiPriority w:val="52"/>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9D9"/>
      </w:tcPr>
    </w:tblStylePr>
    <w:tblStylePr w:type="band1Horz">
      <w:tblPr/>
      <w:tcPr>
        <w:shd w:val="clear" w:color="auto" w:fill="FDE9D9"/>
      </w:tcPr>
    </w:tblStylePr>
    <w:tblStylePr w:type="neCell">
      <w:tblPr/>
      <w:tcPr>
        <w:tcBorders>
          <w:bottom w:val="single" w:sz="4" w:space="0" w:color="FABF8F"/>
        </w:tcBorders>
      </w:tcPr>
    </w:tblStylePr>
    <w:tblStylePr w:type="nwCell">
      <w:tblPr/>
      <w:tcPr>
        <w:tcBorders>
          <w:bottom w:val="single" w:sz="4" w:space="0" w:color="FABF8F"/>
        </w:tcBorders>
      </w:tcPr>
    </w:tblStylePr>
    <w:tblStylePr w:type="seCell">
      <w:tblPr/>
      <w:tcPr>
        <w:tcBorders>
          <w:top w:val="single" w:sz="4" w:space="0" w:color="FABF8F"/>
        </w:tcBorders>
      </w:tcPr>
    </w:tblStylePr>
    <w:tblStylePr w:type="swCell">
      <w:tblPr/>
      <w:tcPr>
        <w:tcBorders>
          <w:top w:val="single" w:sz="4" w:space="0" w:color="FABF8F"/>
        </w:tcBorders>
      </w:tcPr>
    </w:tblStylePr>
  </w:style>
  <w:style w:type="table" w:customStyle="1" w:styleId="ListTable6Colorful-Accent311">
    <w:name w:val="List Table 6 Colorful - Accent 311"/>
    <w:basedOn w:val="TableNormal"/>
    <w:uiPriority w:val="51"/>
    <w:rsid w:val="00AE3C4E"/>
    <w:pPr>
      <w:spacing w:before="0" w:after="0" w:line="240" w:lineRule="auto"/>
    </w:pPr>
    <w:rPr>
      <w:rFonts w:ascii="Calibri" w:eastAsia="Calibri" w:hAnsi="Calibri" w:cs="Times New Roman"/>
      <w:color w:val="76923C"/>
      <w:lang w:val="sr-Latn-RS" w:eastAsia="en-GB"/>
    </w:rPr>
    <w:tblPr>
      <w:tblStyleRowBandSize w:val="1"/>
      <w:tblStyleColBandSize w:val="1"/>
      <w:tblBorders>
        <w:top w:val="single" w:sz="4" w:space="0" w:color="9BBB59"/>
        <w:bottom w:val="single" w:sz="4" w:space="0" w:color="9BBB59"/>
      </w:tblBorders>
    </w:tblPr>
    <w:tblStylePr w:type="firstRow">
      <w:rPr>
        <w:b/>
        <w:bCs/>
      </w:rPr>
      <w:tblPr/>
      <w:tcPr>
        <w:tcBorders>
          <w:bottom w:val="single" w:sz="4" w:space="0" w:color="9BBB59"/>
        </w:tcBorders>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PlainTable321">
    <w:name w:val="Plain Table 321"/>
    <w:basedOn w:val="TableNormal"/>
    <w:uiPriority w:val="43"/>
    <w:rsid w:val="00AE3C4E"/>
    <w:pPr>
      <w:spacing w:before="0" w:after="0" w:line="240" w:lineRule="auto"/>
    </w:pPr>
    <w:rPr>
      <w:rFonts w:ascii="Calibri" w:eastAsia="Calibri" w:hAnsi="Calibri" w:cs="Times New Roman"/>
      <w:lang w:val="sr-Latn-RS"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UnresolvedMention17">
    <w:name w:val="Unresolved Mention17"/>
    <w:uiPriority w:val="99"/>
    <w:semiHidden/>
    <w:unhideWhenUsed/>
    <w:rsid w:val="00AE3C4E"/>
    <w:rPr>
      <w:color w:val="605E5C"/>
      <w:shd w:val="clear" w:color="auto" w:fill="E1DFDD"/>
    </w:rPr>
  </w:style>
  <w:style w:type="numbering" w:customStyle="1" w:styleId="NoList51">
    <w:name w:val="No List51"/>
    <w:next w:val="NoList"/>
    <w:uiPriority w:val="99"/>
    <w:semiHidden/>
    <w:unhideWhenUsed/>
    <w:rsid w:val="00AE3C4E"/>
  </w:style>
  <w:style w:type="numbering" w:customStyle="1" w:styleId="NoList6">
    <w:name w:val="No List6"/>
    <w:next w:val="NoList"/>
    <w:uiPriority w:val="99"/>
    <w:semiHidden/>
    <w:unhideWhenUsed/>
    <w:rsid w:val="00AE3C4E"/>
  </w:style>
  <w:style w:type="numbering" w:customStyle="1" w:styleId="NoList7">
    <w:name w:val="No List7"/>
    <w:next w:val="NoList"/>
    <w:uiPriority w:val="99"/>
    <w:semiHidden/>
    <w:unhideWhenUsed/>
    <w:rsid w:val="00AE3C4E"/>
  </w:style>
  <w:style w:type="paragraph" w:customStyle="1" w:styleId="xl125">
    <w:name w:val="xl125"/>
    <w:basedOn w:val="Normal"/>
    <w:rsid w:val="00AE3C4E"/>
    <w:pPr>
      <w:pBdr>
        <w:top w:val="single" w:sz="4" w:space="0" w:color="BFBFBF"/>
        <w:left w:val="single" w:sz="4" w:space="0" w:color="BFBFBF"/>
        <w:right w:val="single" w:sz="4" w:space="0" w:color="BFBFBF"/>
      </w:pBdr>
      <w:shd w:val="clear" w:color="F7C3AA" w:fill="305496"/>
      <w:spacing w:beforeAutospacing="1" w:after="100" w:afterAutospacing="1" w:line="240" w:lineRule="auto"/>
      <w:textAlignment w:val="center"/>
    </w:pPr>
    <w:rPr>
      <w:rFonts w:ascii="Arial" w:eastAsia="Times New Roman" w:hAnsi="Arial" w:cs="Arial"/>
      <w:b/>
      <w:bCs/>
      <w:color w:val="FFFFFF"/>
      <w:sz w:val="18"/>
      <w:szCs w:val="18"/>
      <w:lang w:val="en-GB" w:eastAsia="en-GB"/>
    </w:rPr>
  </w:style>
  <w:style w:type="paragraph" w:customStyle="1" w:styleId="xl126">
    <w:name w:val="xl126"/>
    <w:basedOn w:val="Normal"/>
    <w:rsid w:val="00AE3C4E"/>
    <w:pPr>
      <w:pBdr>
        <w:top w:val="single" w:sz="4" w:space="0" w:color="C1CEE5"/>
        <w:left w:val="single" w:sz="4" w:space="0" w:color="C1CEE5"/>
        <w:bottom w:val="single" w:sz="4" w:space="0" w:color="C1CEE5"/>
      </w:pBdr>
      <w:spacing w:beforeAutospacing="1" w:after="100" w:afterAutospacing="1" w:line="240" w:lineRule="auto"/>
      <w:textAlignment w:val="center"/>
    </w:pPr>
    <w:rPr>
      <w:rFonts w:ascii="Arial" w:eastAsia="Times New Roman" w:hAnsi="Arial" w:cs="Arial"/>
      <w:sz w:val="16"/>
      <w:szCs w:val="16"/>
      <w:lang w:val="en-GB" w:eastAsia="en-GB"/>
    </w:rPr>
  </w:style>
  <w:style w:type="paragraph" w:customStyle="1" w:styleId="xl127">
    <w:name w:val="xl127"/>
    <w:basedOn w:val="Normal"/>
    <w:rsid w:val="00AE3C4E"/>
    <w:pPr>
      <w:pBdr>
        <w:top w:val="single" w:sz="4" w:space="0" w:color="C1CEE5"/>
        <w:bottom w:val="single" w:sz="4" w:space="0" w:color="C1CEE5"/>
      </w:pBdr>
      <w:spacing w:beforeAutospacing="1" w:after="100" w:afterAutospacing="1" w:line="240" w:lineRule="auto"/>
      <w:textAlignment w:val="center"/>
    </w:pPr>
    <w:rPr>
      <w:rFonts w:ascii="Arial" w:eastAsia="Times New Roman" w:hAnsi="Arial" w:cs="Arial"/>
      <w:sz w:val="16"/>
      <w:szCs w:val="16"/>
      <w:lang w:val="en-GB" w:eastAsia="en-GB"/>
    </w:rPr>
  </w:style>
  <w:style w:type="paragraph" w:customStyle="1" w:styleId="xl128">
    <w:name w:val="xl128"/>
    <w:basedOn w:val="Normal"/>
    <w:rsid w:val="00AE3C4E"/>
    <w:pPr>
      <w:pBdr>
        <w:top w:val="single" w:sz="4" w:space="0" w:color="C1CEE5"/>
        <w:bottom w:val="single" w:sz="4" w:space="0" w:color="C1CEE5"/>
        <w:right w:val="single" w:sz="4" w:space="0" w:color="C1CEE5"/>
      </w:pBdr>
      <w:spacing w:beforeAutospacing="1" w:after="100" w:afterAutospacing="1" w:line="240" w:lineRule="auto"/>
      <w:textAlignment w:val="center"/>
    </w:pPr>
    <w:rPr>
      <w:rFonts w:ascii="Arial" w:eastAsia="Times New Roman" w:hAnsi="Arial" w:cs="Arial"/>
      <w:sz w:val="16"/>
      <w:szCs w:val="16"/>
      <w:lang w:val="en-GB" w:eastAsia="en-GB"/>
    </w:rPr>
  </w:style>
  <w:style w:type="paragraph" w:customStyle="1" w:styleId="xl129">
    <w:name w:val="xl129"/>
    <w:basedOn w:val="Normal"/>
    <w:rsid w:val="00AE3C4E"/>
    <w:pPr>
      <w:pBdr>
        <w:left w:val="single" w:sz="4" w:space="0" w:color="BFBFBF"/>
        <w:right w:val="single" w:sz="4" w:space="0" w:color="BFBFBF"/>
      </w:pBdr>
      <w:shd w:val="clear" w:color="F7C3AA" w:fill="305496"/>
      <w:spacing w:beforeAutospacing="1" w:after="100" w:afterAutospacing="1" w:line="240" w:lineRule="auto"/>
      <w:textAlignment w:val="center"/>
    </w:pPr>
    <w:rPr>
      <w:rFonts w:ascii="Arial" w:eastAsia="Times New Roman" w:hAnsi="Arial" w:cs="Arial"/>
      <w:b/>
      <w:bCs/>
      <w:color w:val="FFFFFF"/>
      <w:sz w:val="18"/>
      <w:szCs w:val="18"/>
      <w:lang w:val="en-GB" w:eastAsia="en-GB"/>
    </w:rPr>
  </w:style>
  <w:style w:type="paragraph" w:customStyle="1" w:styleId="xl130">
    <w:name w:val="xl130"/>
    <w:basedOn w:val="Normal"/>
    <w:rsid w:val="00AE3C4E"/>
    <w:pPr>
      <w:pBdr>
        <w:top w:val="single" w:sz="4" w:space="0" w:color="auto"/>
        <w:left w:val="single" w:sz="4" w:space="0" w:color="auto"/>
        <w:bottom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1">
    <w:name w:val="xl131"/>
    <w:basedOn w:val="Normal"/>
    <w:rsid w:val="00AE3C4E"/>
    <w:pPr>
      <w:pBdr>
        <w:top w:val="single" w:sz="4" w:space="0" w:color="auto"/>
        <w:bottom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2">
    <w:name w:val="xl132"/>
    <w:basedOn w:val="Normal"/>
    <w:rsid w:val="00AE3C4E"/>
    <w:pPr>
      <w:pBdr>
        <w:top w:val="single" w:sz="4" w:space="0" w:color="auto"/>
        <w:bottom w:val="single" w:sz="4" w:space="0" w:color="auto"/>
        <w:right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3">
    <w:name w:val="xl133"/>
    <w:basedOn w:val="Normal"/>
    <w:rsid w:val="00AE3C4E"/>
    <w:pPr>
      <w:pBdr>
        <w:left w:val="single" w:sz="4" w:space="0" w:color="BFBFBF"/>
        <w:right w:val="single" w:sz="4" w:space="0" w:color="BFBFBF"/>
      </w:pBdr>
      <w:shd w:val="clear" w:color="F7C3AA" w:fill="305496"/>
      <w:spacing w:beforeAutospacing="1" w:after="100" w:afterAutospacing="1" w:line="240" w:lineRule="auto"/>
      <w:textAlignment w:val="center"/>
    </w:pPr>
    <w:rPr>
      <w:rFonts w:ascii="Arial" w:eastAsia="Times New Roman" w:hAnsi="Arial" w:cs="Arial"/>
      <w:b/>
      <w:bCs/>
      <w:color w:val="FFFFFF"/>
      <w:sz w:val="18"/>
      <w:szCs w:val="18"/>
      <w:lang w:val="en-GB" w:eastAsia="en-GB"/>
    </w:rPr>
  </w:style>
  <w:style w:type="paragraph" w:customStyle="1" w:styleId="xl134">
    <w:name w:val="xl134"/>
    <w:basedOn w:val="Normal"/>
    <w:rsid w:val="00AE3C4E"/>
    <w:pPr>
      <w:pBdr>
        <w:top w:val="single" w:sz="4" w:space="0" w:color="auto"/>
        <w:left w:val="single" w:sz="4" w:space="0" w:color="auto"/>
        <w:bottom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5">
    <w:name w:val="xl135"/>
    <w:basedOn w:val="Normal"/>
    <w:rsid w:val="00AE3C4E"/>
    <w:pPr>
      <w:pBdr>
        <w:top w:val="single" w:sz="4" w:space="0" w:color="auto"/>
        <w:bottom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6">
    <w:name w:val="xl136"/>
    <w:basedOn w:val="Normal"/>
    <w:rsid w:val="00AE3C4E"/>
    <w:pPr>
      <w:pBdr>
        <w:top w:val="single" w:sz="4" w:space="0" w:color="auto"/>
        <w:bottom w:val="single" w:sz="4" w:space="0" w:color="auto"/>
        <w:right w:val="single" w:sz="4" w:space="0" w:color="auto"/>
      </w:pBdr>
      <w:spacing w:beforeAutospacing="1" w:after="100" w:afterAutospacing="1" w:line="240" w:lineRule="auto"/>
    </w:pPr>
    <w:rPr>
      <w:rFonts w:ascii="Arial" w:eastAsia="Times New Roman" w:hAnsi="Arial" w:cs="Arial"/>
      <w:sz w:val="16"/>
      <w:szCs w:val="16"/>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qFormat="1"/>
    <w:lsdException w:name="caption" w:uiPriority="35" w:qFormat="1"/>
    <w:lsdException w:name="footnote reference" w:qFormat="1"/>
    <w:lsdException w:name="annotation reference" w:qFormat="1"/>
    <w:lsdException w:name="page number" w:uiPriority="0" w:qFormat="1"/>
    <w:lsdException w:name="List" w:uiPriority="0"/>
    <w:lsdException w:name="List Bullet"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Balloon Text"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3FF7"/>
  </w:style>
  <w:style w:type="paragraph" w:styleId="Heading1">
    <w:name w:val="heading 1"/>
    <w:basedOn w:val="Normal"/>
    <w:next w:val="Normal"/>
    <w:link w:val="Heading1Char"/>
    <w:uiPriority w:val="9"/>
    <w:qFormat/>
    <w:rsid w:val="007E09F5"/>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7E09F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7E09F5"/>
    <w:pPr>
      <w:pBdr>
        <w:top w:val="single" w:sz="6" w:space="2" w:color="5B9BD5" w:themeColor="accent1"/>
      </w:pBdr>
      <w:spacing w:before="300" w:after="0"/>
      <w:outlineLvl w:val="2"/>
    </w:pPr>
    <w:rPr>
      <w:caps/>
      <w:color w:val="1F4D78" w:themeColor="accent1" w:themeShade="7F"/>
      <w:spacing w:val="15"/>
    </w:rPr>
  </w:style>
  <w:style w:type="paragraph" w:styleId="Heading4">
    <w:name w:val="heading 4"/>
    <w:basedOn w:val="Normal"/>
    <w:next w:val="Normal"/>
    <w:link w:val="Heading4Char"/>
    <w:uiPriority w:val="9"/>
    <w:unhideWhenUsed/>
    <w:qFormat/>
    <w:rsid w:val="007E09F5"/>
    <w:pPr>
      <w:pBdr>
        <w:top w:val="dotted" w:sz="6" w:space="2" w:color="5B9BD5" w:themeColor="accent1"/>
      </w:pBdr>
      <w:spacing w:before="200" w:after="0"/>
      <w:outlineLvl w:val="3"/>
    </w:pPr>
    <w:rPr>
      <w:caps/>
      <w:color w:val="2E74B5" w:themeColor="accent1" w:themeShade="BF"/>
      <w:spacing w:val="10"/>
    </w:rPr>
  </w:style>
  <w:style w:type="paragraph" w:styleId="Heading5">
    <w:name w:val="heading 5"/>
    <w:basedOn w:val="Normal"/>
    <w:next w:val="Normal"/>
    <w:link w:val="Heading5Char"/>
    <w:uiPriority w:val="9"/>
    <w:unhideWhenUsed/>
    <w:qFormat/>
    <w:rsid w:val="007E09F5"/>
    <w:pPr>
      <w:pBdr>
        <w:bottom w:val="single" w:sz="6" w:space="1" w:color="5B9BD5" w:themeColor="accent1"/>
      </w:pBdr>
      <w:spacing w:before="200" w:after="0"/>
      <w:outlineLvl w:val="4"/>
    </w:pPr>
    <w:rPr>
      <w:caps/>
      <w:color w:val="2E74B5" w:themeColor="accent1" w:themeShade="BF"/>
      <w:spacing w:val="10"/>
    </w:rPr>
  </w:style>
  <w:style w:type="paragraph" w:styleId="Heading6">
    <w:name w:val="heading 6"/>
    <w:basedOn w:val="Normal"/>
    <w:next w:val="Normal"/>
    <w:link w:val="Heading6Char"/>
    <w:uiPriority w:val="9"/>
    <w:semiHidden/>
    <w:unhideWhenUsed/>
    <w:qFormat/>
    <w:rsid w:val="007E09F5"/>
    <w:pPr>
      <w:pBdr>
        <w:bottom w:val="dotted" w:sz="6" w:space="1" w:color="5B9BD5" w:themeColor="accent1"/>
      </w:pBdr>
      <w:spacing w:before="200" w:after="0"/>
      <w:outlineLvl w:val="5"/>
    </w:pPr>
    <w:rPr>
      <w:caps/>
      <w:color w:val="2E74B5" w:themeColor="accent1" w:themeShade="BF"/>
      <w:spacing w:val="10"/>
    </w:rPr>
  </w:style>
  <w:style w:type="paragraph" w:styleId="Heading7">
    <w:name w:val="heading 7"/>
    <w:basedOn w:val="Normal"/>
    <w:next w:val="Normal"/>
    <w:link w:val="Heading7Char"/>
    <w:uiPriority w:val="9"/>
    <w:semiHidden/>
    <w:unhideWhenUsed/>
    <w:qFormat/>
    <w:rsid w:val="007E09F5"/>
    <w:pPr>
      <w:spacing w:before="200" w:after="0"/>
      <w:outlineLvl w:val="6"/>
    </w:pPr>
    <w:rPr>
      <w:caps/>
      <w:color w:val="2E74B5" w:themeColor="accent1" w:themeShade="BF"/>
      <w:spacing w:val="10"/>
    </w:rPr>
  </w:style>
  <w:style w:type="paragraph" w:styleId="Heading8">
    <w:name w:val="heading 8"/>
    <w:basedOn w:val="Normal"/>
    <w:next w:val="Normal"/>
    <w:link w:val="Heading8Char"/>
    <w:uiPriority w:val="9"/>
    <w:semiHidden/>
    <w:unhideWhenUsed/>
    <w:qFormat/>
    <w:rsid w:val="007E09F5"/>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7E09F5"/>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E09F5"/>
    <w:rPr>
      <w:caps/>
      <w:color w:val="FFFFFF" w:themeColor="background1"/>
      <w:spacing w:val="15"/>
      <w:sz w:val="22"/>
      <w:szCs w:val="22"/>
      <w:shd w:val="clear" w:color="auto" w:fill="5B9BD5" w:themeFill="accent1"/>
    </w:rPr>
  </w:style>
  <w:style w:type="character" w:customStyle="1" w:styleId="Heading2Char">
    <w:name w:val="Heading 2 Char"/>
    <w:basedOn w:val="DefaultParagraphFont"/>
    <w:link w:val="Heading2"/>
    <w:uiPriority w:val="9"/>
    <w:qFormat/>
    <w:rsid w:val="007E09F5"/>
    <w:rPr>
      <w:caps/>
      <w:spacing w:val="15"/>
      <w:shd w:val="clear" w:color="auto" w:fill="DEEAF6" w:themeFill="accent1" w:themeFillTint="33"/>
    </w:rPr>
  </w:style>
  <w:style w:type="character" w:customStyle="1" w:styleId="Heading3Char">
    <w:name w:val="Heading 3 Char"/>
    <w:basedOn w:val="DefaultParagraphFont"/>
    <w:link w:val="Heading3"/>
    <w:uiPriority w:val="9"/>
    <w:qFormat/>
    <w:rsid w:val="007E09F5"/>
    <w:rPr>
      <w:caps/>
      <w:color w:val="1F4D78" w:themeColor="accent1" w:themeShade="7F"/>
      <w:spacing w:val="15"/>
    </w:rPr>
  </w:style>
  <w:style w:type="character" w:customStyle="1" w:styleId="Heading4Char">
    <w:name w:val="Heading 4 Char"/>
    <w:basedOn w:val="DefaultParagraphFont"/>
    <w:link w:val="Heading4"/>
    <w:uiPriority w:val="9"/>
    <w:rsid w:val="007E09F5"/>
    <w:rPr>
      <w:caps/>
      <w:color w:val="2E74B5" w:themeColor="accent1" w:themeShade="BF"/>
      <w:spacing w:val="10"/>
    </w:rPr>
  </w:style>
  <w:style w:type="character" w:customStyle="1" w:styleId="Heading5Char">
    <w:name w:val="Heading 5 Char"/>
    <w:basedOn w:val="DefaultParagraphFont"/>
    <w:link w:val="Heading5"/>
    <w:uiPriority w:val="9"/>
    <w:rsid w:val="007E09F5"/>
    <w:rPr>
      <w:caps/>
      <w:color w:val="2E74B5" w:themeColor="accent1" w:themeShade="BF"/>
      <w:spacing w:val="10"/>
    </w:rPr>
  </w:style>
  <w:style w:type="character" w:customStyle="1" w:styleId="Heading6Char">
    <w:name w:val="Heading 6 Char"/>
    <w:basedOn w:val="DefaultParagraphFont"/>
    <w:link w:val="Heading6"/>
    <w:uiPriority w:val="9"/>
    <w:semiHidden/>
    <w:rsid w:val="007E09F5"/>
    <w:rPr>
      <w:caps/>
      <w:color w:val="2E74B5" w:themeColor="accent1" w:themeShade="BF"/>
      <w:spacing w:val="10"/>
    </w:rPr>
  </w:style>
  <w:style w:type="character" w:customStyle="1" w:styleId="Heading7Char">
    <w:name w:val="Heading 7 Char"/>
    <w:basedOn w:val="DefaultParagraphFont"/>
    <w:link w:val="Heading7"/>
    <w:uiPriority w:val="9"/>
    <w:semiHidden/>
    <w:rsid w:val="007E09F5"/>
    <w:rPr>
      <w:caps/>
      <w:color w:val="2E74B5" w:themeColor="accent1" w:themeShade="BF"/>
      <w:spacing w:val="10"/>
    </w:rPr>
  </w:style>
  <w:style w:type="character" w:customStyle="1" w:styleId="Heading8Char">
    <w:name w:val="Heading 8 Char"/>
    <w:basedOn w:val="DefaultParagraphFont"/>
    <w:link w:val="Heading8"/>
    <w:uiPriority w:val="9"/>
    <w:semiHidden/>
    <w:rsid w:val="007E09F5"/>
    <w:rPr>
      <w:caps/>
      <w:spacing w:val="10"/>
      <w:sz w:val="18"/>
      <w:szCs w:val="18"/>
    </w:rPr>
  </w:style>
  <w:style w:type="character" w:customStyle="1" w:styleId="Heading9Char">
    <w:name w:val="Heading 9 Char"/>
    <w:basedOn w:val="DefaultParagraphFont"/>
    <w:link w:val="Heading9"/>
    <w:uiPriority w:val="9"/>
    <w:semiHidden/>
    <w:rsid w:val="007E09F5"/>
    <w:rPr>
      <w:i/>
      <w:iCs/>
      <w:caps/>
      <w:spacing w:val="10"/>
      <w:sz w:val="18"/>
      <w:szCs w:val="18"/>
    </w:rPr>
  </w:style>
  <w:style w:type="paragraph" w:styleId="FootnoteText">
    <w:name w:val="footnote text"/>
    <w:aliases w:val="single space,footnote text,fn,FOOTNOTES,Footnote Text Char Char Char Char,Footnote Text Char Char Char,ADB,Footnote Text Char Char Char Char Char,Footnote Text Char Char1,ft,Texto nota pie Car,ft Car,ft Car Car,Texto nota pie2,ft1,f,A"/>
    <w:basedOn w:val="Normal"/>
    <w:link w:val="FootnoteTextChar"/>
    <w:uiPriority w:val="99"/>
    <w:qFormat/>
    <w:rsid w:val="007D6B29"/>
    <w:pPr>
      <w:spacing w:after="0" w:line="240" w:lineRule="auto"/>
    </w:pPr>
    <w:rPr>
      <w:rFonts w:ascii="Calibri" w:eastAsia="Times New Roman" w:hAnsi="Calibri" w:cs="Times New Roman"/>
    </w:rPr>
  </w:style>
  <w:style w:type="character" w:customStyle="1" w:styleId="FootnoteTextChar">
    <w:name w:val="Footnote Text Char"/>
    <w:aliases w:val="single space Char,footnote text Char,fn Char,FOOTNOTES Char,Footnote Text Char Char Char Char Char1,Footnote Text Char Char Char Char1,ADB Char,Footnote Text Char Char Char Char Char Char,Footnote Text Char Char1 Char,ft Char,ft1 Char"/>
    <w:basedOn w:val="DefaultParagraphFont"/>
    <w:link w:val="FootnoteText"/>
    <w:uiPriority w:val="99"/>
    <w:qFormat/>
    <w:rsid w:val="007D6B29"/>
    <w:rPr>
      <w:rFonts w:ascii="Calibri" w:eastAsia="Times New Roman" w:hAnsi="Calibri" w:cs="Times New Roman"/>
      <w:sz w:val="20"/>
      <w:szCs w:val="20"/>
    </w:rPr>
  </w:style>
  <w:style w:type="character" w:styleId="FootnoteReference">
    <w:name w:val="footnote reference"/>
    <w:aliases w:val="ftref,Normal + Font:9 Point,Superscript 3 Point Times,SUPERS,EN Footnote Reference,number,Char Char,BVI fnr,Footnote symbol,Footnote reference number,note TESI,ftref Char,BVI fnr Char,BVI fnr Car Char,Char Char Car Char,16 Point Char"/>
    <w:link w:val="NumPar1"/>
    <w:uiPriority w:val="99"/>
    <w:qFormat/>
    <w:rsid w:val="007D6B29"/>
    <w:rPr>
      <w:vertAlign w:val="superscript"/>
    </w:rPr>
  </w:style>
  <w:style w:type="paragraph" w:customStyle="1" w:styleId="NumPar1">
    <w:name w:val="NumPar 1"/>
    <w:basedOn w:val="Normal"/>
    <w:next w:val="Normal"/>
    <w:link w:val="FootnoteReference"/>
    <w:uiPriority w:val="99"/>
    <w:rsid w:val="007D6B29"/>
    <w:pPr>
      <w:numPr>
        <w:numId w:val="1"/>
      </w:numPr>
      <w:spacing w:before="120" w:after="120" w:line="240" w:lineRule="auto"/>
      <w:jc w:val="both"/>
    </w:pPr>
    <w:rPr>
      <w:vertAlign w:val="superscript"/>
    </w:rPr>
  </w:style>
  <w:style w:type="character" w:styleId="Hyperlink">
    <w:name w:val="Hyperlink"/>
    <w:uiPriority w:val="99"/>
    <w:rsid w:val="007D6B29"/>
    <w:rPr>
      <w:color w:val="0000FF"/>
      <w:u w:val="single"/>
    </w:rPr>
  </w:style>
  <w:style w:type="paragraph" w:customStyle="1" w:styleId="NumPar2">
    <w:name w:val="NumPar 2"/>
    <w:basedOn w:val="Normal"/>
    <w:next w:val="Normal"/>
    <w:rsid w:val="007D6B29"/>
    <w:pPr>
      <w:numPr>
        <w:ilvl w:val="1"/>
        <w:numId w:val="1"/>
      </w:numPr>
      <w:spacing w:before="120" w:after="120" w:line="240" w:lineRule="auto"/>
      <w:jc w:val="both"/>
    </w:pPr>
    <w:rPr>
      <w:rFonts w:ascii="Tunga" w:eastAsia="Arial Unicode MS" w:hAnsi="Tunga" w:cs="Tunga"/>
      <w:snapToGrid w:val="0"/>
    </w:rPr>
  </w:style>
  <w:style w:type="paragraph" w:customStyle="1" w:styleId="NumPar3">
    <w:name w:val="NumPar 3"/>
    <w:basedOn w:val="Normal"/>
    <w:next w:val="Normal"/>
    <w:rsid w:val="007D6B29"/>
    <w:pPr>
      <w:numPr>
        <w:ilvl w:val="2"/>
        <w:numId w:val="1"/>
      </w:numPr>
      <w:spacing w:before="120" w:after="120" w:line="240" w:lineRule="auto"/>
      <w:jc w:val="both"/>
    </w:pPr>
    <w:rPr>
      <w:rFonts w:ascii="Tunga" w:eastAsia="Arial Unicode MS" w:hAnsi="Tunga" w:cs="Tunga"/>
      <w:snapToGrid w:val="0"/>
    </w:rPr>
  </w:style>
  <w:style w:type="paragraph" w:customStyle="1" w:styleId="NumPar4">
    <w:name w:val="NumPar 4"/>
    <w:basedOn w:val="Normal"/>
    <w:next w:val="Normal"/>
    <w:rsid w:val="007D6B29"/>
    <w:pPr>
      <w:numPr>
        <w:ilvl w:val="3"/>
        <w:numId w:val="1"/>
      </w:numPr>
      <w:spacing w:before="120" w:after="120" w:line="240" w:lineRule="auto"/>
      <w:jc w:val="both"/>
    </w:pPr>
    <w:rPr>
      <w:rFonts w:ascii="Tunga" w:eastAsia="Arial Unicode MS" w:hAnsi="Tunga" w:cs="Tunga"/>
      <w:snapToGrid w:val="0"/>
    </w:rPr>
  </w:style>
  <w:style w:type="character" w:customStyle="1" w:styleId="UnresolvedMention1">
    <w:name w:val="Unresolved Mention1"/>
    <w:basedOn w:val="DefaultParagraphFont"/>
    <w:uiPriority w:val="99"/>
    <w:semiHidden/>
    <w:unhideWhenUsed/>
    <w:rsid w:val="00715680"/>
    <w:rPr>
      <w:color w:val="605E5C"/>
      <w:shd w:val="clear" w:color="auto" w:fill="E1DFDD"/>
    </w:rPr>
  </w:style>
  <w:style w:type="character" w:styleId="Strong">
    <w:name w:val="Strong"/>
    <w:uiPriority w:val="22"/>
    <w:qFormat/>
    <w:rsid w:val="007E09F5"/>
    <w:rPr>
      <w:b/>
      <w:bCs/>
    </w:rPr>
  </w:style>
  <w:style w:type="paragraph" w:styleId="NormalWeb">
    <w:name w:val="Normal (Web)"/>
    <w:basedOn w:val="Normal"/>
    <w:uiPriority w:val="99"/>
    <w:unhideWhenUsed/>
    <w:qFormat/>
    <w:rsid w:val="003752C7"/>
    <w:pPr>
      <w:spacing w:before="300" w:after="300" w:line="240" w:lineRule="auto"/>
    </w:pPr>
    <w:rPr>
      <w:rFonts w:ascii="Times New Roman" w:eastAsia="Times New Roman" w:hAnsi="Times New Roman" w:cs="Times New Roman"/>
      <w:sz w:val="24"/>
      <w:szCs w:val="24"/>
      <w:lang w:val="en-GB" w:eastAsia="en-GB"/>
    </w:rPr>
  </w:style>
  <w:style w:type="paragraph" w:styleId="BalloonText">
    <w:name w:val="Balloon Text"/>
    <w:basedOn w:val="Normal"/>
    <w:link w:val="BalloonTextChar"/>
    <w:uiPriority w:val="99"/>
    <w:unhideWhenUsed/>
    <w:qFormat/>
    <w:rsid w:val="00FF06C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qFormat/>
    <w:rsid w:val="00FF06C4"/>
    <w:rPr>
      <w:rFonts w:ascii="Segoe UI" w:hAnsi="Segoe UI" w:cs="Segoe UI"/>
      <w:sz w:val="18"/>
      <w:szCs w:val="18"/>
    </w:rPr>
  </w:style>
  <w:style w:type="table" w:styleId="TableGrid">
    <w:name w:val="Table Grid"/>
    <w:basedOn w:val="TableNormal"/>
    <w:uiPriority w:val="39"/>
    <w:rsid w:val="002076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51">
    <w:name w:val="Grid Table 1 Light - Accent 51"/>
    <w:basedOn w:val="TableNormal"/>
    <w:uiPriority w:val="46"/>
    <w:rsid w:val="002076AF"/>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GridTable3-Accent51">
    <w:name w:val="Grid Table 3 - Accent 51"/>
    <w:basedOn w:val="TableNormal"/>
    <w:uiPriority w:val="48"/>
    <w:rsid w:val="002076AF"/>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GridTable2-Accent11">
    <w:name w:val="Grid Table 2 - Accent 11"/>
    <w:basedOn w:val="TableNormal"/>
    <w:uiPriority w:val="47"/>
    <w:rsid w:val="002076AF"/>
    <w:pPr>
      <w:spacing w:after="0" w:line="240" w:lineRule="auto"/>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GridTable4-Accent11">
    <w:name w:val="Grid Table 4 - Accent 11"/>
    <w:basedOn w:val="TableNormal"/>
    <w:uiPriority w:val="49"/>
    <w:rsid w:val="002076AF"/>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GridTable6Colorful-Accent51">
    <w:name w:val="Grid Table 6 Colorful - Accent 51"/>
    <w:basedOn w:val="TableNormal"/>
    <w:uiPriority w:val="51"/>
    <w:rsid w:val="002076AF"/>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Caption">
    <w:name w:val="caption"/>
    <w:basedOn w:val="Normal"/>
    <w:next w:val="Normal"/>
    <w:uiPriority w:val="35"/>
    <w:unhideWhenUsed/>
    <w:qFormat/>
    <w:rsid w:val="007E09F5"/>
    <w:rPr>
      <w:b/>
      <w:bCs/>
      <w:color w:val="2E74B5" w:themeColor="accent1" w:themeShade="BF"/>
      <w:sz w:val="16"/>
      <w:szCs w:val="16"/>
    </w:rPr>
  </w:style>
  <w:style w:type="paragraph" w:styleId="Title">
    <w:name w:val="Title"/>
    <w:basedOn w:val="Normal"/>
    <w:next w:val="Normal"/>
    <w:link w:val="TitleChar"/>
    <w:uiPriority w:val="10"/>
    <w:qFormat/>
    <w:rsid w:val="007E09F5"/>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itleChar">
    <w:name w:val="Title Char"/>
    <w:basedOn w:val="DefaultParagraphFont"/>
    <w:link w:val="Title"/>
    <w:uiPriority w:val="10"/>
    <w:rsid w:val="007E09F5"/>
    <w:rPr>
      <w:rFonts w:asciiTheme="majorHAnsi" w:eastAsiaTheme="majorEastAsia" w:hAnsiTheme="majorHAnsi" w:cstheme="majorBidi"/>
      <w:caps/>
      <w:color w:val="5B9BD5" w:themeColor="accent1"/>
      <w:spacing w:val="10"/>
      <w:sz w:val="52"/>
      <w:szCs w:val="52"/>
    </w:rPr>
  </w:style>
  <w:style w:type="paragraph" w:styleId="Subtitle">
    <w:name w:val="Subtitle"/>
    <w:basedOn w:val="Normal"/>
    <w:next w:val="Normal"/>
    <w:link w:val="SubtitleChar"/>
    <w:uiPriority w:val="11"/>
    <w:qFormat/>
    <w:rsid w:val="007E09F5"/>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7E09F5"/>
    <w:rPr>
      <w:caps/>
      <w:color w:val="595959" w:themeColor="text1" w:themeTint="A6"/>
      <w:spacing w:val="10"/>
      <w:sz w:val="21"/>
      <w:szCs w:val="21"/>
    </w:rPr>
  </w:style>
  <w:style w:type="character" w:styleId="Emphasis">
    <w:name w:val="Emphasis"/>
    <w:uiPriority w:val="20"/>
    <w:qFormat/>
    <w:rsid w:val="007E09F5"/>
    <w:rPr>
      <w:caps/>
      <w:color w:val="1F4D78" w:themeColor="accent1" w:themeShade="7F"/>
      <w:spacing w:val="5"/>
    </w:rPr>
  </w:style>
  <w:style w:type="paragraph" w:styleId="NoSpacing">
    <w:name w:val="No Spacing"/>
    <w:link w:val="NoSpacingChar"/>
    <w:uiPriority w:val="1"/>
    <w:qFormat/>
    <w:rsid w:val="007E09F5"/>
    <w:pPr>
      <w:spacing w:after="0" w:line="240" w:lineRule="auto"/>
    </w:pPr>
  </w:style>
  <w:style w:type="paragraph" w:styleId="Quote">
    <w:name w:val="Quote"/>
    <w:basedOn w:val="Normal"/>
    <w:next w:val="Normal"/>
    <w:link w:val="QuoteChar"/>
    <w:uiPriority w:val="29"/>
    <w:qFormat/>
    <w:rsid w:val="007E09F5"/>
    <w:rPr>
      <w:i/>
      <w:iCs/>
      <w:sz w:val="24"/>
      <w:szCs w:val="24"/>
    </w:rPr>
  </w:style>
  <w:style w:type="character" w:customStyle="1" w:styleId="QuoteChar">
    <w:name w:val="Quote Char"/>
    <w:basedOn w:val="DefaultParagraphFont"/>
    <w:link w:val="Quote"/>
    <w:uiPriority w:val="29"/>
    <w:rsid w:val="007E09F5"/>
    <w:rPr>
      <w:i/>
      <w:iCs/>
      <w:sz w:val="24"/>
      <w:szCs w:val="24"/>
    </w:rPr>
  </w:style>
  <w:style w:type="paragraph" w:styleId="IntenseQuote">
    <w:name w:val="Intense Quote"/>
    <w:basedOn w:val="Normal"/>
    <w:next w:val="Normal"/>
    <w:link w:val="IntenseQuoteChar"/>
    <w:uiPriority w:val="30"/>
    <w:qFormat/>
    <w:rsid w:val="007E09F5"/>
    <w:pPr>
      <w:spacing w:before="240" w:after="240" w:line="240" w:lineRule="auto"/>
      <w:ind w:left="1080" w:right="1080"/>
      <w:jc w:val="center"/>
    </w:pPr>
    <w:rPr>
      <w:color w:val="5B9BD5" w:themeColor="accent1"/>
      <w:sz w:val="24"/>
      <w:szCs w:val="24"/>
    </w:rPr>
  </w:style>
  <w:style w:type="character" w:customStyle="1" w:styleId="IntenseQuoteChar">
    <w:name w:val="Intense Quote Char"/>
    <w:basedOn w:val="DefaultParagraphFont"/>
    <w:link w:val="IntenseQuote"/>
    <w:uiPriority w:val="30"/>
    <w:rsid w:val="007E09F5"/>
    <w:rPr>
      <w:color w:val="5B9BD5" w:themeColor="accent1"/>
      <w:sz w:val="24"/>
      <w:szCs w:val="24"/>
    </w:rPr>
  </w:style>
  <w:style w:type="character" w:styleId="SubtleEmphasis">
    <w:name w:val="Subtle Emphasis"/>
    <w:qFormat/>
    <w:rsid w:val="007E09F5"/>
    <w:rPr>
      <w:i/>
      <w:iCs/>
      <w:color w:val="1F4D78" w:themeColor="accent1" w:themeShade="7F"/>
    </w:rPr>
  </w:style>
  <w:style w:type="character" w:styleId="IntenseEmphasis">
    <w:name w:val="Intense Emphasis"/>
    <w:uiPriority w:val="21"/>
    <w:qFormat/>
    <w:rsid w:val="007E09F5"/>
    <w:rPr>
      <w:b/>
      <w:bCs/>
      <w:caps/>
      <w:color w:val="1F4D78" w:themeColor="accent1" w:themeShade="7F"/>
      <w:spacing w:val="10"/>
    </w:rPr>
  </w:style>
  <w:style w:type="character" w:styleId="SubtleReference">
    <w:name w:val="Subtle Reference"/>
    <w:uiPriority w:val="31"/>
    <w:qFormat/>
    <w:rsid w:val="007E09F5"/>
    <w:rPr>
      <w:b/>
      <w:bCs/>
      <w:color w:val="5B9BD5" w:themeColor="accent1"/>
    </w:rPr>
  </w:style>
  <w:style w:type="character" w:styleId="IntenseReference">
    <w:name w:val="Intense Reference"/>
    <w:uiPriority w:val="32"/>
    <w:qFormat/>
    <w:rsid w:val="007E09F5"/>
    <w:rPr>
      <w:b/>
      <w:bCs/>
      <w:i/>
      <w:iCs/>
      <w:caps/>
      <w:color w:val="5B9BD5" w:themeColor="accent1"/>
    </w:rPr>
  </w:style>
  <w:style w:type="character" w:styleId="BookTitle">
    <w:name w:val="Book Title"/>
    <w:uiPriority w:val="33"/>
    <w:qFormat/>
    <w:rsid w:val="007E09F5"/>
    <w:rPr>
      <w:b/>
      <w:bCs/>
      <w:i/>
      <w:iCs/>
      <w:spacing w:val="0"/>
    </w:rPr>
  </w:style>
  <w:style w:type="paragraph" w:styleId="TOCHeading">
    <w:name w:val="TOC Heading"/>
    <w:basedOn w:val="Heading1"/>
    <w:next w:val="Normal"/>
    <w:uiPriority w:val="39"/>
    <w:unhideWhenUsed/>
    <w:qFormat/>
    <w:rsid w:val="007E09F5"/>
    <w:pPr>
      <w:outlineLvl w:val="9"/>
    </w:pPr>
  </w:style>
  <w:style w:type="paragraph" w:styleId="ListParagraph">
    <w:name w:val="List Paragraph"/>
    <w:aliases w:val="Citation List,List_Paragraph,Multilevel para_II,List Paragraph1,본문(내용),List Paragraph (numbered (a)),Akapit z listą BS,List Paragraph 1,Bullets,NUMBERED PARAGRAPH,Bullet1,Main numbered paragraph,Numbered Paragraph,References,Liste 1,ANNEX"/>
    <w:basedOn w:val="Normal"/>
    <w:link w:val="ListParagraphChar"/>
    <w:uiPriority w:val="34"/>
    <w:qFormat/>
    <w:rsid w:val="005F54D0"/>
    <w:pPr>
      <w:spacing w:before="0"/>
      <w:ind w:left="720"/>
      <w:contextualSpacing/>
    </w:pPr>
    <w:rPr>
      <w:rFonts w:eastAsiaTheme="minorHAnsi"/>
      <w:sz w:val="22"/>
      <w:szCs w:val="22"/>
    </w:rPr>
  </w:style>
  <w:style w:type="character" w:customStyle="1" w:styleId="ListParagraphChar">
    <w:name w:val="List Paragraph Char"/>
    <w:aliases w:val="Citation List Char,List_Paragraph Char,Multilevel para_II Char,List Paragraph1 Char,본문(내용) Char,List Paragraph (numbered (a)) Char,Akapit z listą BS Char,List Paragraph 1 Char,Bullets Char,NUMBERED PARAGRAPH Char,Bullet1 Char"/>
    <w:basedOn w:val="DefaultParagraphFont"/>
    <w:link w:val="ListParagraph"/>
    <w:uiPriority w:val="34"/>
    <w:qFormat/>
    <w:locked/>
    <w:rsid w:val="00BF4E78"/>
    <w:rPr>
      <w:rFonts w:eastAsiaTheme="minorHAnsi"/>
      <w:sz w:val="22"/>
      <w:szCs w:val="22"/>
    </w:rPr>
  </w:style>
  <w:style w:type="paragraph" w:styleId="Header">
    <w:name w:val="header"/>
    <w:basedOn w:val="Normal"/>
    <w:link w:val="HeaderChar"/>
    <w:uiPriority w:val="99"/>
    <w:unhideWhenUsed/>
    <w:rsid w:val="001676D5"/>
    <w:pPr>
      <w:tabs>
        <w:tab w:val="center" w:pos="4513"/>
        <w:tab w:val="right" w:pos="9026"/>
      </w:tabs>
      <w:spacing w:before="0" w:after="0" w:line="240" w:lineRule="auto"/>
    </w:pPr>
  </w:style>
  <w:style w:type="character" w:customStyle="1" w:styleId="HeaderChar">
    <w:name w:val="Header Char"/>
    <w:basedOn w:val="DefaultParagraphFont"/>
    <w:link w:val="Header"/>
    <w:uiPriority w:val="99"/>
    <w:qFormat/>
    <w:rsid w:val="001676D5"/>
  </w:style>
  <w:style w:type="paragraph" w:styleId="Footer">
    <w:name w:val="footer"/>
    <w:basedOn w:val="Normal"/>
    <w:link w:val="FooterChar"/>
    <w:uiPriority w:val="99"/>
    <w:unhideWhenUsed/>
    <w:rsid w:val="001676D5"/>
    <w:pPr>
      <w:tabs>
        <w:tab w:val="center" w:pos="4513"/>
        <w:tab w:val="right" w:pos="9026"/>
      </w:tabs>
      <w:spacing w:before="0" w:after="0" w:line="240" w:lineRule="auto"/>
    </w:pPr>
  </w:style>
  <w:style w:type="character" w:customStyle="1" w:styleId="FooterChar">
    <w:name w:val="Footer Char"/>
    <w:basedOn w:val="DefaultParagraphFont"/>
    <w:link w:val="Footer"/>
    <w:uiPriority w:val="99"/>
    <w:qFormat/>
    <w:rsid w:val="001676D5"/>
  </w:style>
  <w:style w:type="character" w:styleId="CommentReference">
    <w:name w:val="annotation reference"/>
    <w:basedOn w:val="DefaultParagraphFont"/>
    <w:uiPriority w:val="99"/>
    <w:semiHidden/>
    <w:unhideWhenUsed/>
    <w:qFormat/>
    <w:rsid w:val="00A86A3A"/>
    <w:rPr>
      <w:sz w:val="16"/>
      <w:szCs w:val="16"/>
    </w:rPr>
  </w:style>
  <w:style w:type="paragraph" w:styleId="CommentText">
    <w:name w:val="annotation text"/>
    <w:aliases w:val="Char2"/>
    <w:basedOn w:val="Normal"/>
    <w:link w:val="CommentTextChar"/>
    <w:uiPriority w:val="99"/>
    <w:unhideWhenUsed/>
    <w:qFormat/>
    <w:rsid w:val="00A86A3A"/>
    <w:pPr>
      <w:spacing w:line="240" w:lineRule="auto"/>
    </w:pPr>
  </w:style>
  <w:style w:type="character" w:customStyle="1" w:styleId="CommentTextChar">
    <w:name w:val="Comment Text Char"/>
    <w:aliases w:val="Char2 Char"/>
    <w:basedOn w:val="DefaultParagraphFont"/>
    <w:link w:val="CommentText"/>
    <w:uiPriority w:val="99"/>
    <w:qFormat/>
    <w:rsid w:val="00A86A3A"/>
  </w:style>
  <w:style w:type="paragraph" w:styleId="CommentSubject">
    <w:name w:val="annotation subject"/>
    <w:basedOn w:val="CommentText"/>
    <w:next w:val="CommentText"/>
    <w:link w:val="CommentSubjectChar"/>
    <w:uiPriority w:val="99"/>
    <w:semiHidden/>
    <w:unhideWhenUsed/>
    <w:rsid w:val="00A86A3A"/>
    <w:rPr>
      <w:b/>
      <w:bCs/>
    </w:rPr>
  </w:style>
  <w:style w:type="character" w:customStyle="1" w:styleId="CommentSubjectChar">
    <w:name w:val="Comment Subject Char"/>
    <w:basedOn w:val="CommentTextChar"/>
    <w:link w:val="CommentSubject"/>
    <w:uiPriority w:val="99"/>
    <w:semiHidden/>
    <w:rsid w:val="00A86A3A"/>
    <w:rPr>
      <w:b/>
      <w:bCs/>
    </w:rPr>
  </w:style>
  <w:style w:type="paragraph" w:customStyle="1" w:styleId="bold">
    <w:name w:val="bold"/>
    <w:basedOn w:val="Normal"/>
    <w:rsid w:val="00A86A3A"/>
    <w:pPr>
      <w:spacing w:beforeAutospacing="1" w:after="100" w:afterAutospacing="1" w:line="240" w:lineRule="auto"/>
    </w:pPr>
    <w:rPr>
      <w:rFonts w:ascii="Times New Roman" w:eastAsia="Times New Roman" w:hAnsi="Times New Roman" w:cs="Times New Roman"/>
      <w:sz w:val="24"/>
      <w:szCs w:val="24"/>
    </w:rPr>
  </w:style>
  <w:style w:type="paragraph" w:customStyle="1" w:styleId="clan">
    <w:name w:val="clan"/>
    <w:basedOn w:val="Normal"/>
    <w:rsid w:val="00A86A3A"/>
    <w:pPr>
      <w:spacing w:beforeAutospacing="1" w:after="100" w:afterAutospacing="1" w:line="240" w:lineRule="auto"/>
    </w:pPr>
    <w:rPr>
      <w:rFonts w:ascii="Times New Roman" w:eastAsia="Times New Roman" w:hAnsi="Times New Roman" w:cs="Times New Roman"/>
      <w:sz w:val="24"/>
      <w:szCs w:val="24"/>
    </w:rPr>
  </w:style>
  <w:style w:type="paragraph" w:customStyle="1" w:styleId="basic-paragraph">
    <w:name w:val="basic-paragraph"/>
    <w:basedOn w:val="Normal"/>
    <w:qFormat/>
    <w:rsid w:val="00A86A3A"/>
    <w:pPr>
      <w:spacing w:beforeAutospacing="1" w:after="100" w:afterAutospacing="1" w:line="240" w:lineRule="auto"/>
    </w:pPr>
    <w:rPr>
      <w:rFonts w:ascii="Times New Roman" w:eastAsia="Times New Roman" w:hAnsi="Times New Roman" w:cs="Times New Roman"/>
      <w:sz w:val="24"/>
      <w:szCs w:val="24"/>
    </w:rPr>
  </w:style>
  <w:style w:type="character" w:customStyle="1" w:styleId="italik">
    <w:name w:val="italik"/>
    <w:basedOn w:val="DefaultParagraphFont"/>
    <w:rsid w:val="00A86A3A"/>
  </w:style>
  <w:style w:type="paragraph" w:styleId="Revision">
    <w:name w:val="Revision"/>
    <w:hidden/>
    <w:uiPriority w:val="99"/>
    <w:semiHidden/>
    <w:rsid w:val="0013549C"/>
    <w:pPr>
      <w:spacing w:before="0" w:after="0" w:line="240" w:lineRule="auto"/>
    </w:pPr>
  </w:style>
  <w:style w:type="paragraph" w:customStyle="1" w:styleId="p1">
    <w:name w:val="p1"/>
    <w:basedOn w:val="Normal"/>
    <w:rsid w:val="00BF4E78"/>
    <w:pPr>
      <w:spacing w:beforeAutospacing="1" w:after="100" w:afterAutospacing="1" w:line="240" w:lineRule="auto"/>
    </w:pPr>
    <w:rPr>
      <w:rFonts w:ascii="Calibri" w:eastAsiaTheme="minorHAnsi" w:hAnsi="Calibri" w:cs="Calibri"/>
      <w:sz w:val="22"/>
      <w:szCs w:val="22"/>
    </w:rPr>
  </w:style>
  <w:style w:type="character" w:customStyle="1" w:styleId="s1">
    <w:name w:val="s1"/>
    <w:basedOn w:val="DefaultParagraphFont"/>
    <w:rsid w:val="00BF4E78"/>
  </w:style>
  <w:style w:type="paragraph" w:customStyle="1" w:styleId="f1">
    <w:name w:val="f1"/>
    <w:basedOn w:val="Normal"/>
    <w:next w:val="FootnoteText"/>
    <w:uiPriority w:val="99"/>
    <w:unhideWhenUsed/>
    <w:qFormat/>
    <w:rsid w:val="00721398"/>
    <w:pPr>
      <w:spacing w:before="0" w:after="0" w:line="240" w:lineRule="auto"/>
    </w:pPr>
    <w:rPr>
      <w:rFonts w:eastAsiaTheme="minorHAnsi"/>
      <w:lang w:val="en-GB"/>
    </w:rPr>
  </w:style>
  <w:style w:type="character" w:customStyle="1" w:styleId="Hyperlink1">
    <w:name w:val="Hyperlink1"/>
    <w:basedOn w:val="DefaultParagraphFont"/>
    <w:uiPriority w:val="99"/>
    <w:unhideWhenUsed/>
    <w:rsid w:val="00721398"/>
    <w:rPr>
      <w:color w:val="0000FF"/>
      <w:u w:val="single"/>
    </w:rPr>
  </w:style>
  <w:style w:type="paragraph" w:customStyle="1" w:styleId="Ref">
    <w:name w:val="Ref"/>
    <w:aliases w:val="Footnotes refs"/>
    <w:basedOn w:val="Normal"/>
    <w:uiPriority w:val="99"/>
    <w:qFormat/>
    <w:rsid w:val="00721398"/>
    <w:pPr>
      <w:spacing w:before="0" w:after="120" w:line="240" w:lineRule="exact"/>
    </w:pPr>
    <w:rPr>
      <w:vertAlign w:val="superscript"/>
      <w:lang w:val="en-GB"/>
    </w:rPr>
  </w:style>
  <w:style w:type="table" w:customStyle="1" w:styleId="GridTable5DarkAccent1">
    <w:name w:val="Grid Table 5 Dark Accent 1"/>
    <w:basedOn w:val="TableNormal"/>
    <w:uiPriority w:val="50"/>
    <w:rsid w:val="0022597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character" w:styleId="FollowedHyperlink">
    <w:name w:val="FollowedHyperlink"/>
    <w:basedOn w:val="DefaultParagraphFont"/>
    <w:uiPriority w:val="99"/>
    <w:semiHidden/>
    <w:unhideWhenUsed/>
    <w:rsid w:val="00C90243"/>
    <w:rPr>
      <w:color w:val="954F72" w:themeColor="followedHyperlink"/>
      <w:u w:val="single"/>
    </w:rPr>
  </w:style>
  <w:style w:type="paragraph" w:customStyle="1" w:styleId="LightGrid-Accent31">
    <w:name w:val="Light Grid - Accent 31"/>
    <w:basedOn w:val="Normal"/>
    <w:uiPriority w:val="99"/>
    <w:rsid w:val="00C90243"/>
    <w:pPr>
      <w:spacing w:before="0"/>
      <w:ind w:left="720"/>
      <w:jc w:val="both"/>
    </w:pPr>
    <w:rPr>
      <w:rFonts w:ascii="Calibri" w:eastAsia="MS PGothic" w:hAnsi="Calibri" w:cs="Calibri"/>
      <w:sz w:val="22"/>
      <w:szCs w:val="22"/>
      <w:lang w:val="en-GB" w:eastAsia="zh-CN"/>
    </w:rPr>
  </w:style>
  <w:style w:type="paragraph" w:customStyle="1" w:styleId="Default">
    <w:name w:val="Default"/>
    <w:qFormat/>
    <w:rsid w:val="00C90243"/>
    <w:pPr>
      <w:autoSpaceDE w:val="0"/>
      <w:autoSpaceDN w:val="0"/>
      <w:adjustRightInd w:val="0"/>
      <w:spacing w:before="0" w:after="0" w:line="240" w:lineRule="auto"/>
    </w:pPr>
    <w:rPr>
      <w:rFonts w:ascii="Calibri" w:eastAsia="Times New Roman" w:hAnsi="Calibri" w:cs="Calibri"/>
      <w:color w:val="000000"/>
      <w:sz w:val="24"/>
      <w:szCs w:val="24"/>
      <w:lang w:val="en-GB" w:eastAsia="en-GB"/>
    </w:rPr>
  </w:style>
  <w:style w:type="paragraph" w:styleId="TOC1">
    <w:name w:val="toc 1"/>
    <w:basedOn w:val="Normal"/>
    <w:next w:val="Normal"/>
    <w:autoRedefine/>
    <w:uiPriority w:val="39"/>
    <w:qFormat/>
    <w:rsid w:val="00C90243"/>
    <w:pPr>
      <w:tabs>
        <w:tab w:val="left" w:pos="440"/>
        <w:tab w:val="right" w:pos="9016"/>
      </w:tabs>
      <w:spacing w:before="0" w:after="0" w:line="240" w:lineRule="auto"/>
    </w:pPr>
    <w:rPr>
      <w:rFonts w:ascii="Times New Roman" w:eastAsia="Times New Roman" w:hAnsi="Times New Roman" w:cs="Times New Roman"/>
      <w:noProof/>
      <w:sz w:val="22"/>
      <w:szCs w:val="22"/>
      <w:lang w:val="sr-Cyrl-RS" w:eastAsia="en-GB"/>
    </w:rPr>
  </w:style>
  <w:style w:type="paragraph" w:styleId="TOC2">
    <w:name w:val="toc 2"/>
    <w:basedOn w:val="Normal"/>
    <w:next w:val="Normal"/>
    <w:autoRedefine/>
    <w:uiPriority w:val="39"/>
    <w:qFormat/>
    <w:rsid w:val="007738AE"/>
    <w:pPr>
      <w:tabs>
        <w:tab w:val="right" w:pos="9016"/>
      </w:tabs>
      <w:spacing w:before="0" w:after="0" w:line="240" w:lineRule="auto"/>
      <w:ind w:left="216"/>
    </w:pPr>
    <w:rPr>
      <w:rFonts w:ascii="Calibri" w:eastAsia="Times New Roman" w:hAnsi="Calibri" w:cs="Calibri"/>
      <w:sz w:val="22"/>
      <w:szCs w:val="22"/>
      <w:lang w:val="en-GB" w:eastAsia="en-GB"/>
    </w:rPr>
  </w:style>
  <w:style w:type="paragraph" w:customStyle="1" w:styleId="IFS2012naslov3">
    <w:name w:val="IFS 2012 naslov 3"/>
    <w:basedOn w:val="Heading3"/>
    <w:autoRedefine/>
    <w:qFormat/>
    <w:rsid w:val="00C90243"/>
    <w:pPr>
      <w:keepNext/>
      <w:keepLines/>
      <w:pBdr>
        <w:top w:val="none" w:sz="0" w:space="0" w:color="auto"/>
      </w:pBdr>
      <w:spacing w:before="0" w:after="120" w:line="240" w:lineRule="auto"/>
      <w:jc w:val="both"/>
      <w:outlineLvl w:val="9"/>
    </w:pPr>
    <w:rPr>
      <w:rFonts w:ascii="Cambria" w:eastAsia="Times New Roman" w:hAnsi="Cambria" w:cs="Times New Roman"/>
      <w:bCs/>
      <w:caps w:val="0"/>
      <w:noProof/>
      <w:color w:val="7F7F7F"/>
      <w:spacing w:val="0"/>
      <w:sz w:val="24"/>
      <w:szCs w:val="24"/>
      <w:lang w:val="sr-Cyrl-RS" w:bidi="en-US"/>
    </w:rPr>
  </w:style>
  <w:style w:type="numbering" w:customStyle="1" w:styleId="NoList1">
    <w:name w:val="No List1"/>
    <w:next w:val="NoList"/>
    <w:uiPriority w:val="99"/>
    <w:semiHidden/>
    <w:unhideWhenUsed/>
    <w:rsid w:val="00C90243"/>
  </w:style>
  <w:style w:type="table" w:customStyle="1" w:styleId="TableGrid1">
    <w:name w:val="Table Grid1"/>
    <w:basedOn w:val="TableNormal"/>
    <w:next w:val="TableGrid"/>
    <w:uiPriority w:val="59"/>
    <w:rsid w:val="00C90243"/>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Numbering">
    <w:name w:val="Paragraph Numbering"/>
    <w:basedOn w:val="Normal"/>
    <w:link w:val="ParagraphNumberingChar"/>
    <w:uiPriority w:val="1"/>
    <w:qFormat/>
    <w:rsid w:val="00C90243"/>
    <w:pPr>
      <w:numPr>
        <w:numId w:val="8"/>
      </w:numPr>
      <w:tabs>
        <w:tab w:val="clear" w:pos="1260"/>
        <w:tab w:val="num" w:pos="720"/>
      </w:tabs>
      <w:spacing w:before="0" w:after="240" w:line="264" w:lineRule="auto"/>
      <w:ind w:left="0"/>
    </w:pPr>
    <w:rPr>
      <w:rFonts w:ascii="Times New Roman" w:eastAsia="SimSun" w:hAnsi="Times New Roman" w:cs="Times New Roman"/>
      <w:sz w:val="24"/>
      <w:szCs w:val="24"/>
    </w:rPr>
  </w:style>
  <w:style w:type="character" w:customStyle="1" w:styleId="ParagraphNumberingChar">
    <w:name w:val="Paragraph Numbering Char"/>
    <w:link w:val="ParagraphNumbering"/>
    <w:uiPriority w:val="1"/>
    <w:rsid w:val="00C90243"/>
    <w:rPr>
      <w:rFonts w:ascii="Times New Roman" w:eastAsia="SimSun" w:hAnsi="Times New Roman" w:cs="Times New Roman"/>
      <w:sz w:val="24"/>
      <w:szCs w:val="24"/>
    </w:rPr>
  </w:style>
  <w:style w:type="paragraph" w:styleId="ListBullet">
    <w:name w:val="List Bullet"/>
    <w:aliases w:val="List Bullet Char Char, Char Char Char, Char,List Bullet Char2 Char Char,List Bullet Char1 Char Char Char,List Bullet Char Char Char Char Char,List Bullet Char Char1 Char Char,List Bullet Char2 Char1"/>
    <w:basedOn w:val="Normal"/>
    <w:link w:val="ListBulletChar"/>
    <w:uiPriority w:val="99"/>
    <w:qFormat/>
    <w:rsid w:val="00C90243"/>
    <w:pPr>
      <w:numPr>
        <w:numId w:val="9"/>
      </w:numPr>
      <w:spacing w:before="0" w:after="240" w:line="264" w:lineRule="auto"/>
    </w:pPr>
    <w:rPr>
      <w:rFonts w:ascii="Times New Roman" w:eastAsia="SimSun" w:hAnsi="Times New Roman" w:cs="Times New Roman"/>
      <w:sz w:val="24"/>
    </w:rPr>
  </w:style>
  <w:style w:type="character" w:customStyle="1" w:styleId="ListBulletChar">
    <w:name w:val="List Bullet Char"/>
    <w:aliases w:val="List Bullet Char Char Char, Char Char Char Char, Char Char,List Bullet Char2 Char Char Char,List Bullet Char1 Char Char Char Char,List Bullet Char Char Char Char Char Char,List Bullet Char Char1 Char Char Char"/>
    <w:link w:val="ListBullet"/>
    <w:uiPriority w:val="99"/>
    <w:rsid w:val="00C90243"/>
    <w:rPr>
      <w:rFonts w:ascii="Times New Roman" w:eastAsia="SimSun" w:hAnsi="Times New Roman" w:cs="Times New Roman"/>
      <w:sz w:val="24"/>
    </w:rPr>
  </w:style>
  <w:style w:type="character" w:styleId="PageNumber">
    <w:name w:val="page number"/>
    <w:qFormat/>
    <w:rsid w:val="00C90243"/>
  </w:style>
  <w:style w:type="paragraph" w:styleId="TOC3">
    <w:name w:val="toc 3"/>
    <w:basedOn w:val="Normal"/>
    <w:next w:val="Normal"/>
    <w:autoRedefine/>
    <w:uiPriority w:val="39"/>
    <w:unhideWhenUsed/>
    <w:qFormat/>
    <w:rsid w:val="00C90243"/>
    <w:pPr>
      <w:spacing w:before="0" w:after="100" w:line="259" w:lineRule="auto"/>
      <w:ind w:left="440"/>
    </w:pPr>
    <w:rPr>
      <w:rFonts w:ascii="Calibri" w:eastAsia="Calibri" w:hAnsi="Calibri" w:cs="Times New Roman"/>
      <w:sz w:val="22"/>
      <w:szCs w:val="22"/>
    </w:rPr>
  </w:style>
  <w:style w:type="paragraph" w:customStyle="1" w:styleId="TOC41">
    <w:name w:val="TOC 41"/>
    <w:basedOn w:val="Normal"/>
    <w:next w:val="Normal"/>
    <w:autoRedefine/>
    <w:uiPriority w:val="39"/>
    <w:unhideWhenUsed/>
    <w:rsid w:val="00C90243"/>
    <w:pPr>
      <w:spacing w:before="0" w:after="100" w:line="259" w:lineRule="auto"/>
      <w:ind w:left="660"/>
    </w:pPr>
    <w:rPr>
      <w:rFonts w:ascii="Calibri" w:eastAsia="Times New Roman" w:hAnsi="Calibri" w:cs="Times New Roman"/>
      <w:sz w:val="22"/>
      <w:szCs w:val="22"/>
    </w:rPr>
  </w:style>
  <w:style w:type="paragraph" w:customStyle="1" w:styleId="TOC51">
    <w:name w:val="TOC 51"/>
    <w:basedOn w:val="Normal"/>
    <w:next w:val="Normal"/>
    <w:autoRedefine/>
    <w:uiPriority w:val="39"/>
    <w:unhideWhenUsed/>
    <w:rsid w:val="00C90243"/>
    <w:pPr>
      <w:spacing w:before="0" w:after="100" w:line="259" w:lineRule="auto"/>
      <w:ind w:left="880"/>
    </w:pPr>
    <w:rPr>
      <w:rFonts w:ascii="Calibri" w:eastAsia="Times New Roman" w:hAnsi="Calibri" w:cs="Times New Roman"/>
      <w:sz w:val="22"/>
      <w:szCs w:val="22"/>
    </w:rPr>
  </w:style>
  <w:style w:type="paragraph" w:customStyle="1" w:styleId="TOC61">
    <w:name w:val="TOC 61"/>
    <w:basedOn w:val="Normal"/>
    <w:next w:val="Normal"/>
    <w:autoRedefine/>
    <w:uiPriority w:val="39"/>
    <w:unhideWhenUsed/>
    <w:rsid w:val="00C90243"/>
    <w:pPr>
      <w:spacing w:before="0" w:after="100" w:line="259" w:lineRule="auto"/>
      <w:ind w:left="1100"/>
    </w:pPr>
    <w:rPr>
      <w:rFonts w:ascii="Calibri" w:eastAsia="Times New Roman" w:hAnsi="Calibri" w:cs="Times New Roman"/>
      <w:sz w:val="22"/>
      <w:szCs w:val="22"/>
    </w:rPr>
  </w:style>
  <w:style w:type="paragraph" w:customStyle="1" w:styleId="TOC71">
    <w:name w:val="TOC 71"/>
    <w:basedOn w:val="Normal"/>
    <w:next w:val="Normal"/>
    <w:autoRedefine/>
    <w:uiPriority w:val="39"/>
    <w:unhideWhenUsed/>
    <w:rsid w:val="00C90243"/>
    <w:pPr>
      <w:spacing w:before="0" w:after="100" w:line="259" w:lineRule="auto"/>
      <w:ind w:left="1320"/>
    </w:pPr>
    <w:rPr>
      <w:rFonts w:ascii="Calibri" w:eastAsia="Times New Roman" w:hAnsi="Calibri" w:cs="Times New Roman"/>
      <w:sz w:val="22"/>
      <w:szCs w:val="22"/>
    </w:rPr>
  </w:style>
  <w:style w:type="paragraph" w:customStyle="1" w:styleId="TOC81">
    <w:name w:val="TOC 81"/>
    <w:basedOn w:val="Normal"/>
    <w:next w:val="Normal"/>
    <w:autoRedefine/>
    <w:uiPriority w:val="39"/>
    <w:unhideWhenUsed/>
    <w:rsid w:val="00C90243"/>
    <w:pPr>
      <w:spacing w:before="0" w:after="100" w:line="259" w:lineRule="auto"/>
      <w:ind w:left="1540"/>
    </w:pPr>
    <w:rPr>
      <w:rFonts w:ascii="Calibri" w:eastAsia="Times New Roman" w:hAnsi="Calibri" w:cs="Times New Roman"/>
      <w:sz w:val="22"/>
      <w:szCs w:val="22"/>
    </w:rPr>
  </w:style>
  <w:style w:type="paragraph" w:customStyle="1" w:styleId="TOC91">
    <w:name w:val="TOC 91"/>
    <w:basedOn w:val="Normal"/>
    <w:next w:val="Normal"/>
    <w:autoRedefine/>
    <w:uiPriority w:val="39"/>
    <w:unhideWhenUsed/>
    <w:rsid w:val="00C90243"/>
    <w:pPr>
      <w:spacing w:before="0" w:after="100" w:line="259" w:lineRule="auto"/>
      <w:ind w:left="1760"/>
    </w:pPr>
    <w:rPr>
      <w:rFonts w:ascii="Calibri" w:eastAsia="Times New Roman" w:hAnsi="Calibri" w:cs="Times New Roman"/>
      <w:sz w:val="22"/>
      <w:szCs w:val="22"/>
    </w:rPr>
  </w:style>
  <w:style w:type="paragraph" w:styleId="TOC5">
    <w:name w:val="toc 5"/>
    <w:basedOn w:val="Normal"/>
    <w:next w:val="Normal"/>
    <w:autoRedefine/>
    <w:uiPriority w:val="39"/>
    <w:rsid w:val="00C90243"/>
    <w:pPr>
      <w:spacing w:before="0" w:after="100"/>
      <w:ind w:left="880"/>
    </w:pPr>
    <w:rPr>
      <w:rFonts w:ascii="Calibri" w:eastAsia="Times New Roman" w:hAnsi="Calibri" w:cs="Calibri"/>
      <w:sz w:val="22"/>
      <w:szCs w:val="22"/>
      <w:lang w:val="en-GB" w:eastAsia="en-GB"/>
    </w:rPr>
  </w:style>
  <w:style w:type="character" w:customStyle="1" w:styleId="apple-converted-space">
    <w:name w:val="apple-converted-space"/>
    <w:basedOn w:val="DefaultParagraphFont"/>
    <w:rsid w:val="00C90243"/>
  </w:style>
  <w:style w:type="numbering" w:customStyle="1" w:styleId="NoList2">
    <w:name w:val="No List2"/>
    <w:next w:val="NoList"/>
    <w:uiPriority w:val="99"/>
    <w:semiHidden/>
    <w:unhideWhenUsed/>
    <w:rsid w:val="00C90243"/>
  </w:style>
  <w:style w:type="numbering" w:customStyle="1" w:styleId="NoList3">
    <w:name w:val="No List3"/>
    <w:next w:val="NoList"/>
    <w:uiPriority w:val="99"/>
    <w:semiHidden/>
    <w:unhideWhenUsed/>
    <w:rsid w:val="00C90243"/>
  </w:style>
  <w:style w:type="numbering" w:customStyle="1" w:styleId="NoList4">
    <w:name w:val="No List4"/>
    <w:next w:val="NoList"/>
    <w:uiPriority w:val="99"/>
    <w:semiHidden/>
    <w:unhideWhenUsed/>
    <w:rsid w:val="00C90243"/>
  </w:style>
  <w:style w:type="numbering" w:customStyle="1" w:styleId="NoList11">
    <w:name w:val="No List11"/>
    <w:next w:val="NoList"/>
    <w:uiPriority w:val="99"/>
    <w:semiHidden/>
    <w:unhideWhenUsed/>
    <w:rsid w:val="00C90243"/>
  </w:style>
  <w:style w:type="table" w:customStyle="1" w:styleId="TableGrid2">
    <w:name w:val="Table Grid2"/>
    <w:basedOn w:val="TableNormal"/>
    <w:next w:val="TableGrid"/>
    <w:uiPriority w:val="59"/>
    <w:rsid w:val="00C90243"/>
    <w:pPr>
      <w:spacing w:before="0" w:after="0" w:line="240" w:lineRule="auto"/>
    </w:pPr>
    <w:rPr>
      <w:rFonts w:ascii="Calibri" w:eastAsia="Times New Roman" w:hAnsi="Calibri" w:cs="Calibri"/>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C90243"/>
  </w:style>
  <w:style w:type="table" w:customStyle="1" w:styleId="TableGrid11">
    <w:name w:val="Table Grid11"/>
    <w:basedOn w:val="TableNormal"/>
    <w:next w:val="TableGrid"/>
    <w:uiPriority w:val="39"/>
    <w:rsid w:val="00C90243"/>
    <w:pPr>
      <w:spacing w:before="0"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C90243"/>
  </w:style>
  <w:style w:type="paragraph" w:customStyle="1" w:styleId="xl65">
    <w:name w:val="xl65"/>
    <w:basedOn w:val="Normal"/>
    <w:rsid w:val="00C90243"/>
    <w:pPr>
      <w:pBdr>
        <w:top w:val="single" w:sz="4" w:space="0" w:color="auto"/>
        <w:left w:val="single" w:sz="4" w:space="0" w:color="auto"/>
        <w:bottom w:val="single" w:sz="4" w:space="0" w:color="auto"/>
        <w:right w:val="single" w:sz="4" w:space="0" w:color="auto"/>
      </w:pBdr>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66">
    <w:name w:val="xl66"/>
    <w:basedOn w:val="Normal"/>
    <w:rsid w:val="00C90243"/>
    <w:pPr>
      <w:pBdr>
        <w:top w:val="single" w:sz="4" w:space="0" w:color="auto"/>
        <w:bottom w:val="single" w:sz="4" w:space="0" w:color="auto"/>
        <w:right w:val="single" w:sz="4" w:space="0" w:color="auto"/>
      </w:pBdr>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67">
    <w:name w:val="xl67"/>
    <w:basedOn w:val="Normal"/>
    <w:rsid w:val="00C90243"/>
    <w:pPr>
      <w:spacing w:beforeAutospacing="1" w:after="100" w:afterAutospacing="1" w:line="240" w:lineRule="auto"/>
    </w:pPr>
    <w:rPr>
      <w:rFonts w:ascii="Cambria" w:eastAsia="Times New Roman" w:hAnsi="Cambria" w:cs="Times New Roman"/>
      <w:lang w:val="en-GB" w:eastAsia="en-GB"/>
    </w:rPr>
  </w:style>
  <w:style w:type="paragraph" w:customStyle="1" w:styleId="xl68">
    <w:name w:val="xl68"/>
    <w:basedOn w:val="Normal"/>
    <w:rsid w:val="00C90243"/>
    <w:pPr>
      <w:pBdr>
        <w:top w:val="single" w:sz="4" w:space="0" w:color="auto"/>
        <w:left w:val="single" w:sz="4" w:space="0" w:color="auto"/>
        <w:bottom w:val="single" w:sz="4" w:space="0" w:color="auto"/>
        <w:right w:val="single" w:sz="4" w:space="0" w:color="auto"/>
      </w:pBdr>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69">
    <w:name w:val="xl69"/>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lang w:val="en-GB" w:eastAsia="en-GB"/>
    </w:rPr>
  </w:style>
  <w:style w:type="paragraph" w:customStyle="1" w:styleId="xl70">
    <w:name w:val="xl70"/>
    <w:basedOn w:val="Normal"/>
    <w:rsid w:val="00C90243"/>
    <w:pPr>
      <w:pBdr>
        <w:top w:val="single" w:sz="4" w:space="0" w:color="auto"/>
        <w:left w:val="single" w:sz="4" w:space="0" w:color="auto"/>
        <w:bottom w:val="single" w:sz="4" w:space="0" w:color="auto"/>
        <w:right w:val="single" w:sz="4" w:space="0" w:color="auto"/>
      </w:pBdr>
      <w:shd w:val="clear" w:color="000000" w:fill="F2F2F2"/>
      <w:spacing w:beforeAutospacing="1" w:after="100" w:afterAutospacing="1" w:line="240" w:lineRule="auto"/>
      <w:jc w:val="center"/>
      <w:textAlignment w:val="center"/>
    </w:pPr>
    <w:rPr>
      <w:rFonts w:ascii="Times New Roman" w:eastAsia="Times New Roman" w:hAnsi="Times New Roman" w:cs="Times New Roman"/>
      <w:b/>
      <w:bCs/>
      <w:sz w:val="24"/>
      <w:szCs w:val="24"/>
      <w:lang w:val="en-GB" w:eastAsia="en-GB"/>
    </w:rPr>
  </w:style>
  <w:style w:type="paragraph" w:customStyle="1" w:styleId="xl71">
    <w:name w:val="xl71"/>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72">
    <w:name w:val="xl72"/>
    <w:basedOn w:val="Normal"/>
    <w:rsid w:val="00C90243"/>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73">
    <w:name w:val="xl73"/>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74">
    <w:name w:val="xl74"/>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pPr>
    <w:rPr>
      <w:rFonts w:ascii="Cambria" w:eastAsia="Times New Roman" w:hAnsi="Cambria" w:cs="Times New Roman"/>
      <w:i/>
      <w:iCs/>
      <w:lang w:val="en-GB" w:eastAsia="en-GB"/>
    </w:rPr>
  </w:style>
  <w:style w:type="paragraph" w:customStyle="1" w:styleId="xl75">
    <w:name w:val="xl75"/>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pPr>
    <w:rPr>
      <w:rFonts w:ascii="Cambria" w:eastAsia="Times New Roman" w:hAnsi="Cambria" w:cs="Times New Roman"/>
      <w:b/>
      <w:bCs/>
      <w:i/>
      <w:iCs/>
      <w:lang w:val="en-GB" w:eastAsia="en-GB"/>
    </w:rPr>
  </w:style>
  <w:style w:type="paragraph" w:customStyle="1" w:styleId="xl76">
    <w:name w:val="xl76"/>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77">
    <w:name w:val="xl77"/>
    <w:basedOn w:val="Normal"/>
    <w:rsid w:val="00C90243"/>
    <w:pPr>
      <w:pBdr>
        <w:top w:val="single" w:sz="4" w:space="0" w:color="auto"/>
        <w:bottom w:val="single" w:sz="4" w:space="0" w:color="auto"/>
        <w:right w:val="single" w:sz="4" w:space="0" w:color="auto"/>
      </w:pBdr>
      <w:shd w:val="clear" w:color="000000" w:fill="D9D9D9"/>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78">
    <w:name w:val="xl78"/>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79">
    <w:name w:val="xl79"/>
    <w:basedOn w:val="Normal"/>
    <w:rsid w:val="00C90243"/>
    <w:pPr>
      <w:shd w:val="clear" w:color="000000" w:fill="A6A6A6"/>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80">
    <w:name w:val="xl80"/>
    <w:basedOn w:val="Normal"/>
    <w:rsid w:val="00C90243"/>
    <w:pPr>
      <w:pBdr>
        <w:top w:val="single" w:sz="4" w:space="0" w:color="auto"/>
        <w:right w:val="single" w:sz="4" w:space="0" w:color="auto"/>
      </w:pBdr>
      <w:shd w:val="clear" w:color="000000" w:fill="D9D9D9"/>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81">
    <w:name w:val="xl81"/>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2">
    <w:name w:val="xl82"/>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textAlignment w:val="center"/>
    </w:pPr>
    <w:rPr>
      <w:rFonts w:ascii="Cambria" w:eastAsia="Times New Roman" w:hAnsi="Cambria" w:cs="Times New Roman"/>
      <w:b/>
      <w:bCs/>
      <w:lang w:val="en-GB" w:eastAsia="en-GB"/>
    </w:rPr>
  </w:style>
  <w:style w:type="paragraph" w:customStyle="1" w:styleId="xl83">
    <w:name w:val="xl83"/>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4">
    <w:name w:val="xl84"/>
    <w:basedOn w:val="Normal"/>
    <w:rsid w:val="00C90243"/>
    <w:pPr>
      <w:pBdr>
        <w:top w:val="single" w:sz="4" w:space="0" w:color="auto"/>
        <w:bottom w:val="single" w:sz="4" w:space="0" w:color="auto"/>
        <w:right w:val="single" w:sz="4" w:space="0" w:color="auto"/>
      </w:pBdr>
      <w:shd w:val="clear" w:color="000000" w:fill="808080"/>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85">
    <w:name w:val="xl85"/>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86">
    <w:name w:val="xl86"/>
    <w:basedOn w:val="Normal"/>
    <w:rsid w:val="00C90243"/>
    <w:pPr>
      <w:pBdr>
        <w:top w:val="single" w:sz="4" w:space="0" w:color="auto"/>
        <w:bottom w:val="single" w:sz="4" w:space="0" w:color="auto"/>
        <w:right w:val="single" w:sz="4" w:space="0" w:color="auto"/>
      </w:pBdr>
      <w:shd w:val="clear" w:color="000000" w:fill="D9D9D9"/>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7">
    <w:name w:val="xl87"/>
    <w:basedOn w:val="Normal"/>
    <w:rsid w:val="00C90243"/>
    <w:pPr>
      <w:pBdr>
        <w:top w:val="single" w:sz="4" w:space="0" w:color="auto"/>
        <w:bottom w:val="single" w:sz="4" w:space="0" w:color="auto"/>
        <w:right w:val="single" w:sz="4" w:space="0" w:color="auto"/>
      </w:pBdr>
      <w:shd w:val="clear" w:color="000000" w:fill="A6A6A6"/>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8">
    <w:name w:val="xl88"/>
    <w:basedOn w:val="Normal"/>
    <w:rsid w:val="00C90243"/>
    <w:pPr>
      <w:pBdr>
        <w:top w:val="single" w:sz="4" w:space="0" w:color="auto"/>
        <w:bottom w:val="single" w:sz="4" w:space="0" w:color="auto"/>
        <w:right w:val="single" w:sz="4" w:space="0" w:color="auto"/>
      </w:pBdr>
      <w:shd w:val="clear" w:color="000000" w:fill="808080"/>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89">
    <w:name w:val="xl89"/>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90">
    <w:name w:val="xl90"/>
    <w:basedOn w:val="Normal"/>
    <w:rsid w:val="00C90243"/>
    <w:pPr>
      <w:pBdr>
        <w:top w:val="single" w:sz="4" w:space="0" w:color="auto"/>
        <w:bottom w:val="single" w:sz="4" w:space="0" w:color="auto"/>
        <w:right w:val="single" w:sz="4" w:space="0" w:color="auto"/>
      </w:pBdr>
      <w:shd w:val="clear" w:color="000000" w:fill="A6A6A6"/>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xl91">
    <w:name w:val="xl91"/>
    <w:basedOn w:val="Normal"/>
    <w:rsid w:val="00C90243"/>
    <w:pPr>
      <w:pBdr>
        <w:top w:val="single" w:sz="4" w:space="0" w:color="auto"/>
        <w:left w:val="single" w:sz="4" w:space="0" w:color="auto"/>
        <w:right w:val="single" w:sz="4" w:space="0" w:color="auto"/>
      </w:pBdr>
      <w:shd w:val="clear" w:color="000000" w:fill="808080"/>
      <w:spacing w:beforeAutospacing="1" w:after="100" w:afterAutospacing="1" w:line="240" w:lineRule="auto"/>
      <w:textAlignment w:val="center"/>
    </w:pPr>
    <w:rPr>
      <w:rFonts w:ascii="Cambria" w:eastAsia="Times New Roman" w:hAnsi="Cambria" w:cs="Times New Roman"/>
      <w:b/>
      <w:bCs/>
      <w:lang w:val="en-GB" w:eastAsia="en-GB"/>
    </w:rPr>
  </w:style>
  <w:style w:type="paragraph" w:customStyle="1" w:styleId="xl92">
    <w:name w:val="xl92"/>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93">
    <w:name w:val="xl93"/>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94">
    <w:name w:val="xl94"/>
    <w:basedOn w:val="Normal"/>
    <w:rsid w:val="00C90243"/>
    <w:pPr>
      <w:pBdr>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95">
    <w:name w:val="xl95"/>
    <w:basedOn w:val="Normal"/>
    <w:rsid w:val="00C90243"/>
    <w:pPr>
      <w:pBdr>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lang w:val="en-GB" w:eastAsia="en-GB"/>
    </w:rPr>
  </w:style>
  <w:style w:type="paragraph" w:customStyle="1" w:styleId="xl96">
    <w:name w:val="xl96"/>
    <w:basedOn w:val="Normal"/>
    <w:rsid w:val="00C90243"/>
    <w:pPr>
      <w:pBdr>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97">
    <w:name w:val="xl97"/>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98">
    <w:name w:val="xl98"/>
    <w:basedOn w:val="Normal"/>
    <w:rsid w:val="00C90243"/>
    <w:pPr>
      <w:pBdr>
        <w:left w:val="single" w:sz="4" w:space="0" w:color="auto"/>
        <w:bottom w:val="single" w:sz="4" w:space="0" w:color="auto"/>
        <w:right w:val="single" w:sz="4" w:space="0" w:color="auto"/>
      </w:pBdr>
      <w:shd w:val="clear" w:color="000000" w:fill="808080"/>
      <w:spacing w:beforeAutospacing="1" w:after="100" w:afterAutospacing="1" w:line="240" w:lineRule="auto"/>
      <w:textAlignment w:val="center"/>
    </w:pPr>
    <w:rPr>
      <w:rFonts w:ascii="Cambria" w:eastAsia="Times New Roman" w:hAnsi="Cambria" w:cs="Times New Roman"/>
      <w:b/>
      <w:bCs/>
      <w:lang w:val="en-GB" w:eastAsia="en-GB"/>
    </w:rPr>
  </w:style>
  <w:style w:type="paragraph" w:customStyle="1" w:styleId="xl99">
    <w:name w:val="xl99"/>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textAlignment w:val="center"/>
    </w:pPr>
    <w:rPr>
      <w:rFonts w:ascii="Cambria" w:eastAsia="Times New Roman" w:hAnsi="Cambria" w:cs="Times New Roman"/>
      <w:i/>
      <w:iCs/>
      <w:lang w:val="en-GB" w:eastAsia="en-GB"/>
    </w:rPr>
  </w:style>
  <w:style w:type="paragraph" w:customStyle="1" w:styleId="xl100">
    <w:name w:val="xl100"/>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textAlignment w:val="center"/>
    </w:pPr>
    <w:rPr>
      <w:rFonts w:ascii="Cambria" w:eastAsia="Times New Roman" w:hAnsi="Cambria" w:cs="Times New Roman"/>
      <w:b/>
      <w:bCs/>
      <w:lang w:val="en-GB" w:eastAsia="en-GB"/>
    </w:rPr>
  </w:style>
  <w:style w:type="paragraph" w:customStyle="1" w:styleId="xl101">
    <w:name w:val="xl101"/>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102">
    <w:name w:val="xl102"/>
    <w:basedOn w:val="Normal"/>
    <w:rsid w:val="00C90243"/>
    <w:pPr>
      <w:pBdr>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103">
    <w:name w:val="xl103"/>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textAlignment w:val="center"/>
    </w:pPr>
    <w:rPr>
      <w:rFonts w:ascii="Cambria" w:eastAsia="Times New Roman" w:hAnsi="Cambria" w:cs="Times New Roman"/>
      <w:b/>
      <w:bCs/>
      <w:i/>
      <w:iCs/>
      <w:lang w:val="en-GB" w:eastAsia="en-GB"/>
    </w:rPr>
  </w:style>
  <w:style w:type="paragraph" w:customStyle="1" w:styleId="xl104">
    <w:name w:val="xl104"/>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pPr>
    <w:rPr>
      <w:rFonts w:ascii="Cambria" w:eastAsia="Times New Roman" w:hAnsi="Cambria" w:cs="Times New Roman"/>
      <w:b/>
      <w:bCs/>
      <w:lang w:val="en-GB" w:eastAsia="en-GB"/>
    </w:rPr>
  </w:style>
  <w:style w:type="paragraph" w:customStyle="1" w:styleId="xl105">
    <w:name w:val="xl105"/>
    <w:basedOn w:val="Normal"/>
    <w:rsid w:val="00C90243"/>
    <w:pPr>
      <w:pBdr>
        <w:top w:val="single" w:sz="4" w:space="0" w:color="auto"/>
        <w:left w:val="single" w:sz="4" w:space="0" w:color="auto"/>
        <w:bottom w:val="single" w:sz="4" w:space="0" w:color="auto"/>
        <w:right w:val="single" w:sz="4" w:space="0" w:color="auto"/>
      </w:pBdr>
      <w:shd w:val="clear" w:color="000000" w:fill="A6A6A6"/>
      <w:spacing w:beforeAutospacing="1" w:after="100" w:afterAutospacing="1" w:line="240" w:lineRule="auto"/>
    </w:pPr>
    <w:rPr>
      <w:rFonts w:ascii="Cambria" w:eastAsia="Times New Roman" w:hAnsi="Cambria" w:cs="Times New Roman"/>
      <w:b/>
      <w:bCs/>
      <w:i/>
      <w:iCs/>
      <w:lang w:val="en-GB" w:eastAsia="en-GB"/>
    </w:rPr>
  </w:style>
  <w:style w:type="paragraph" w:customStyle="1" w:styleId="xl106">
    <w:name w:val="xl106"/>
    <w:basedOn w:val="Normal"/>
    <w:rsid w:val="00C90243"/>
    <w:pPr>
      <w:pBdr>
        <w:top w:val="single" w:sz="4" w:space="0" w:color="auto"/>
        <w:left w:val="single" w:sz="4" w:space="0" w:color="auto"/>
        <w:bottom w:val="single" w:sz="4" w:space="0" w:color="auto"/>
        <w:right w:val="single" w:sz="4" w:space="0" w:color="auto"/>
      </w:pBdr>
      <w:shd w:val="clear" w:color="000000" w:fill="D9D9D9"/>
      <w:spacing w:beforeAutospacing="1" w:after="100" w:afterAutospacing="1" w:line="240" w:lineRule="auto"/>
    </w:pPr>
    <w:rPr>
      <w:rFonts w:ascii="Cambria" w:eastAsia="Times New Roman" w:hAnsi="Cambria" w:cs="Times New Roman"/>
      <w:i/>
      <w:iCs/>
      <w:lang w:val="en-GB" w:eastAsia="en-GB"/>
    </w:rPr>
  </w:style>
  <w:style w:type="paragraph" w:customStyle="1" w:styleId="xl107">
    <w:name w:val="xl107"/>
    <w:basedOn w:val="Normal"/>
    <w:rsid w:val="00C90243"/>
    <w:pPr>
      <w:pBdr>
        <w:top w:val="single" w:sz="4" w:space="0" w:color="auto"/>
        <w:left w:val="single" w:sz="4" w:space="0" w:color="auto"/>
        <w:bottom w:val="single" w:sz="4" w:space="0" w:color="auto"/>
        <w:right w:val="single" w:sz="4" w:space="0" w:color="auto"/>
      </w:pBdr>
      <w:shd w:val="clear" w:color="000000" w:fill="808080"/>
      <w:spacing w:beforeAutospacing="1" w:after="100" w:afterAutospacing="1" w:line="240" w:lineRule="auto"/>
    </w:pPr>
    <w:rPr>
      <w:rFonts w:ascii="Cambria" w:eastAsia="Times New Roman" w:hAnsi="Cambria" w:cs="Times New Roman"/>
      <w:b/>
      <w:bCs/>
      <w:lang w:val="en-GB" w:eastAsia="en-GB"/>
    </w:rPr>
  </w:style>
  <w:style w:type="paragraph" w:customStyle="1" w:styleId="xl108">
    <w:name w:val="xl108"/>
    <w:basedOn w:val="Normal"/>
    <w:rsid w:val="00C90243"/>
    <w:pPr>
      <w:pBdr>
        <w:top w:val="single" w:sz="4" w:space="0" w:color="auto"/>
        <w:left w:val="single" w:sz="4" w:space="0" w:color="auto"/>
        <w:right w:val="single" w:sz="4" w:space="0" w:color="auto"/>
      </w:pBdr>
      <w:shd w:val="clear" w:color="000000" w:fill="808080"/>
      <w:spacing w:beforeAutospacing="1" w:after="100" w:afterAutospacing="1" w:line="240" w:lineRule="auto"/>
    </w:pPr>
    <w:rPr>
      <w:rFonts w:ascii="Cambria" w:eastAsia="Times New Roman" w:hAnsi="Cambria" w:cs="Times New Roman"/>
      <w:b/>
      <w:bCs/>
      <w:lang w:val="en-GB" w:eastAsia="en-GB"/>
    </w:rPr>
  </w:style>
  <w:style w:type="paragraph" w:customStyle="1" w:styleId="xl109">
    <w:name w:val="xl109"/>
    <w:basedOn w:val="Normal"/>
    <w:rsid w:val="00C90243"/>
    <w:pPr>
      <w:pBdr>
        <w:bottom w:val="single" w:sz="4" w:space="0" w:color="auto"/>
      </w:pBdr>
      <w:spacing w:beforeAutospacing="1" w:after="100" w:afterAutospacing="1" w:line="240" w:lineRule="auto"/>
      <w:jc w:val="center"/>
      <w:textAlignment w:val="center"/>
    </w:pPr>
    <w:rPr>
      <w:rFonts w:ascii="Cambria" w:eastAsia="Times New Roman" w:hAnsi="Cambria" w:cs="Times New Roman"/>
      <w:b/>
      <w:bCs/>
      <w:sz w:val="28"/>
      <w:szCs w:val="28"/>
      <w:lang w:val="en-GB" w:eastAsia="en-GB"/>
    </w:rPr>
  </w:style>
  <w:style w:type="paragraph" w:customStyle="1" w:styleId="xl110">
    <w:name w:val="xl110"/>
    <w:basedOn w:val="Normal"/>
    <w:rsid w:val="00C90243"/>
    <w:pPr>
      <w:pBdr>
        <w:bottom w:val="single" w:sz="4" w:space="0" w:color="auto"/>
      </w:pBdr>
      <w:spacing w:beforeAutospacing="1" w:after="100" w:afterAutospacing="1" w:line="240" w:lineRule="auto"/>
      <w:jc w:val="center"/>
      <w:textAlignment w:val="center"/>
    </w:pPr>
    <w:rPr>
      <w:rFonts w:ascii="Cambria" w:eastAsia="Times New Roman" w:hAnsi="Cambria" w:cs="Times New Roman"/>
      <w:sz w:val="24"/>
      <w:szCs w:val="24"/>
      <w:lang w:val="en-GB" w:eastAsia="en-GB"/>
    </w:rPr>
  </w:style>
  <w:style w:type="paragraph" w:customStyle="1" w:styleId="xl111">
    <w:name w:val="xl111"/>
    <w:basedOn w:val="Normal"/>
    <w:rsid w:val="00C90243"/>
    <w:pPr>
      <w:pBdr>
        <w:top w:val="single" w:sz="4" w:space="0" w:color="auto"/>
        <w:left w:val="single" w:sz="4" w:space="0" w:color="auto"/>
        <w:right w:val="single" w:sz="4" w:space="0" w:color="auto"/>
      </w:pBdr>
      <w:shd w:val="clear" w:color="000000" w:fill="F2F2F2"/>
      <w:spacing w:beforeAutospacing="1" w:after="100" w:afterAutospacing="1" w:line="240" w:lineRule="auto"/>
      <w:jc w:val="center"/>
    </w:pPr>
    <w:rPr>
      <w:rFonts w:ascii="Cambria" w:eastAsia="Times New Roman" w:hAnsi="Cambria" w:cs="Times New Roman"/>
      <w:b/>
      <w:bCs/>
      <w:sz w:val="24"/>
      <w:szCs w:val="24"/>
      <w:lang w:val="en-GB" w:eastAsia="en-GB"/>
    </w:rPr>
  </w:style>
  <w:style w:type="paragraph" w:customStyle="1" w:styleId="xl112">
    <w:name w:val="xl112"/>
    <w:basedOn w:val="Normal"/>
    <w:rsid w:val="00C90243"/>
    <w:pPr>
      <w:pBdr>
        <w:left w:val="single" w:sz="4" w:space="0" w:color="auto"/>
        <w:bottom w:val="single" w:sz="4" w:space="0" w:color="auto"/>
        <w:right w:val="single" w:sz="4" w:space="0" w:color="auto"/>
      </w:pBdr>
      <w:shd w:val="clear" w:color="000000" w:fill="F2F2F2"/>
      <w:spacing w:beforeAutospacing="1" w:after="100" w:afterAutospacing="1" w:line="240" w:lineRule="auto"/>
      <w:jc w:val="center"/>
    </w:pPr>
    <w:rPr>
      <w:rFonts w:ascii="Cambria" w:eastAsia="Times New Roman" w:hAnsi="Cambria" w:cs="Times New Roman"/>
      <w:b/>
      <w:bCs/>
      <w:sz w:val="24"/>
      <w:szCs w:val="24"/>
      <w:lang w:val="en-GB" w:eastAsia="en-GB"/>
    </w:rPr>
  </w:style>
  <w:style w:type="table" w:styleId="MediumGrid1-Accent4">
    <w:name w:val="Medium Grid 1 Accent 4"/>
    <w:basedOn w:val="TableNormal"/>
    <w:uiPriority w:val="67"/>
    <w:rsid w:val="00C90243"/>
    <w:pPr>
      <w:spacing w:before="0" w:after="0" w:line="240" w:lineRule="auto"/>
    </w:pPr>
    <w:rPr>
      <w:rFonts w:ascii="Calibri" w:eastAsia="Calibri" w:hAnsi="Calibri" w:cs="Times New Roman"/>
      <w:sz w:val="22"/>
      <w:szCs w:val="22"/>
      <w:lang w:val="en-GB" w:eastAsia="en-GB"/>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customStyle="1" w:styleId="MediumGrid1-Accent41">
    <w:name w:val="Medium Grid 1 - Accent 41"/>
    <w:basedOn w:val="TableNormal"/>
    <w:next w:val="MediumGrid1-Accent4"/>
    <w:uiPriority w:val="67"/>
    <w:rsid w:val="00C90243"/>
    <w:pPr>
      <w:spacing w:before="0" w:after="0" w:line="240" w:lineRule="auto"/>
    </w:pPr>
    <w:rPr>
      <w:rFonts w:ascii="Calibri" w:eastAsia="Calibri" w:hAnsi="Calibri" w:cs="Times New Roman"/>
      <w:sz w:val="22"/>
      <w:szCs w:val="22"/>
      <w:lang w:val="en-GB" w:eastAsia="en-GB"/>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paragraph" w:styleId="EndnoteText">
    <w:name w:val="endnote text"/>
    <w:basedOn w:val="Normal"/>
    <w:link w:val="EndnoteTextChar"/>
    <w:uiPriority w:val="99"/>
    <w:semiHidden/>
    <w:unhideWhenUsed/>
    <w:rsid w:val="00C90243"/>
    <w:pPr>
      <w:spacing w:before="0"/>
    </w:pPr>
    <w:rPr>
      <w:rFonts w:ascii="Calibri" w:eastAsia="Times New Roman" w:hAnsi="Calibri" w:cs="Calibri"/>
      <w:lang w:val="en-GB" w:eastAsia="en-GB"/>
    </w:rPr>
  </w:style>
  <w:style w:type="character" w:customStyle="1" w:styleId="EndnoteTextChar">
    <w:name w:val="Endnote Text Char"/>
    <w:basedOn w:val="DefaultParagraphFont"/>
    <w:link w:val="EndnoteText"/>
    <w:uiPriority w:val="99"/>
    <w:semiHidden/>
    <w:rsid w:val="00C90243"/>
    <w:rPr>
      <w:rFonts w:ascii="Calibri" w:eastAsia="Times New Roman" w:hAnsi="Calibri" w:cs="Calibri"/>
      <w:lang w:val="en-GB" w:eastAsia="en-GB"/>
    </w:rPr>
  </w:style>
  <w:style w:type="character" w:styleId="EndnoteReference">
    <w:name w:val="endnote reference"/>
    <w:uiPriority w:val="99"/>
    <w:semiHidden/>
    <w:unhideWhenUsed/>
    <w:rsid w:val="00C90243"/>
    <w:rPr>
      <w:vertAlign w:val="superscript"/>
    </w:rPr>
  </w:style>
  <w:style w:type="character" w:styleId="LineNumber">
    <w:name w:val="line number"/>
    <w:uiPriority w:val="99"/>
    <w:semiHidden/>
    <w:unhideWhenUsed/>
    <w:rsid w:val="00C90243"/>
  </w:style>
  <w:style w:type="numbering" w:customStyle="1" w:styleId="NoList5">
    <w:name w:val="No List5"/>
    <w:next w:val="NoList"/>
    <w:uiPriority w:val="99"/>
    <w:semiHidden/>
    <w:unhideWhenUsed/>
    <w:rsid w:val="00C90243"/>
  </w:style>
  <w:style w:type="numbering" w:customStyle="1" w:styleId="NoList12">
    <w:name w:val="No List12"/>
    <w:next w:val="NoList"/>
    <w:uiPriority w:val="99"/>
    <w:semiHidden/>
    <w:unhideWhenUsed/>
    <w:rsid w:val="00C90243"/>
  </w:style>
  <w:style w:type="numbering" w:customStyle="1" w:styleId="NoList112">
    <w:name w:val="No List112"/>
    <w:next w:val="NoList"/>
    <w:uiPriority w:val="99"/>
    <w:semiHidden/>
    <w:unhideWhenUsed/>
    <w:rsid w:val="00C90243"/>
  </w:style>
  <w:style w:type="numbering" w:customStyle="1" w:styleId="NoList1111">
    <w:name w:val="No List1111"/>
    <w:next w:val="NoList"/>
    <w:uiPriority w:val="99"/>
    <w:semiHidden/>
    <w:unhideWhenUsed/>
    <w:rsid w:val="00C90243"/>
  </w:style>
  <w:style w:type="numbering" w:customStyle="1" w:styleId="NoList22">
    <w:name w:val="No List22"/>
    <w:next w:val="NoList"/>
    <w:uiPriority w:val="99"/>
    <w:semiHidden/>
    <w:unhideWhenUsed/>
    <w:rsid w:val="00C90243"/>
  </w:style>
  <w:style w:type="character" w:customStyle="1" w:styleId="NoSpacingChar">
    <w:name w:val="No Spacing Char"/>
    <w:basedOn w:val="DefaultParagraphFont"/>
    <w:link w:val="NoSpacing"/>
    <w:uiPriority w:val="1"/>
    <w:rsid w:val="007001D9"/>
  </w:style>
  <w:style w:type="character" w:customStyle="1" w:styleId="acopre1">
    <w:name w:val="acopre1"/>
    <w:basedOn w:val="DefaultParagraphFont"/>
    <w:rsid w:val="00152E82"/>
  </w:style>
  <w:style w:type="paragraph" w:styleId="BodyText">
    <w:name w:val="Body Text"/>
    <w:basedOn w:val="Normal"/>
    <w:link w:val="BodyTextChar"/>
    <w:uiPriority w:val="1"/>
    <w:qFormat/>
    <w:rsid w:val="00A971BC"/>
    <w:pPr>
      <w:spacing w:before="0" w:after="0" w:line="240" w:lineRule="auto"/>
      <w:jc w:val="both"/>
    </w:pPr>
    <w:rPr>
      <w:rFonts w:ascii="YU C Times" w:eastAsia="Times New Roman" w:hAnsi="YU C Times" w:cs="Times New Roman"/>
      <w:sz w:val="24"/>
    </w:rPr>
  </w:style>
  <w:style w:type="character" w:customStyle="1" w:styleId="BodyTextChar">
    <w:name w:val="Body Text Char"/>
    <w:basedOn w:val="DefaultParagraphFont"/>
    <w:link w:val="BodyText"/>
    <w:uiPriority w:val="1"/>
    <w:qFormat/>
    <w:rsid w:val="00A971BC"/>
    <w:rPr>
      <w:rFonts w:ascii="YU C Times" w:eastAsia="Times New Roman" w:hAnsi="YU C Times" w:cs="Times New Roman"/>
      <w:sz w:val="24"/>
    </w:rPr>
  </w:style>
  <w:style w:type="character" w:customStyle="1" w:styleId="st1">
    <w:name w:val="st1"/>
    <w:rsid w:val="00A971BC"/>
  </w:style>
  <w:style w:type="paragraph" w:styleId="HTMLPreformatted">
    <w:name w:val="HTML Preformatted"/>
    <w:basedOn w:val="Normal"/>
    <w:link w:val="HTMLPreformattedChar"/>
    <w:uiPriority w:val="99"/>
    <w:unhideWhenUsed/>
    <w:rsid w:val="00BC5C5F"/>
    <w:pPr>
      <w:spacing w:before="0" w:after="0" w:line="240" w:lineRule="auto"/>
    </w:pPr>
    <w:rPr>
      <w:rFonts w:ascii="Consolas" w:hAnsi="Consolas"/>
    </w:rPr>
  </w:style>
  <w:style w:type="character" w:customStyle="1" w:styleId="HTMLPreformattedChar">
    <w:name w:val="HTML Preformatted Char"/>
    <w:basedOn w:val="DefaultParagraphFont"/>
    <w:link w:val="HTMLPreformatted"/>
    <w:uiPriority w:val="99"/>
    <w:rsid w:val="00BC5C5F"/>
    <w:rPr>
      <w:rFonts w:ascii="Consolas" w:hAnsi="Consolas"/>
    </w:rPr>
  </w:style>
  <w:style w:type="character" w:customStyle="1" w:styleId="expand">
    <w:name w:val="expand"/>
    <w:basedOn w:val="DefaultParagraphFont"/>
    <w:rsid w:val="003B1E1D"/>
  </w:style>
  <w:style w:type="paragraph" w:customStyle="1" w:styleId="msonormal0">
    <w:name w:val="msonormal"/>
    <w:basedOn w:val="Normal"/>
    <w:rsid w:val="00AE3C4E"/>
    <w:pPr>
      <w:spacing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font5">
    <w:name w:val="font5"/>
    <w:basedOn w:val="Normal"/>
    <w:rsid w:val="00AE3C4E"/>
    <w:pPr>
      <w:spacing w:beforeAutospacing="1" w:after="100" w:afterAutospacing="1" w:line="240" w:lineRule="auto"/>
    </w:pPr>
    <w:rPr>
      <w:rFonts w:ascii="Times New Roman" w:eastAsia="Times New Roman" w:hAnsi="Times New Roman" w:cs="Times New Roman"/>
      <w:color w:val="FF0000"/>
      <w:lang w:val="en-GB" w:eastAsia="en-GB"/>
    </w:rPr>
  </w:style>
  <w:style w:type="paragraph" w:customStyle="1" w:styleId="font6">
    <w:name w:val="font6"/>
    <w:basedOn w:val="Normal"/>
    <w:rsid w:val="00AE3C4E"/>
    <w:pPr>
      <w:spacing w:beforeAutospacing="1" w:after="100" w:afterAutospacing="1" w:line="240" w:lineRule="auto"/>
    </w:pPr>
    <w:rPr>
      <w:rFonts w:ascii="Calibri" w:eastAsia="Times New Roman" w:hAnsi="Calibri" w:cs="Calibri"/>
      <w:color w:val="000000"/>
      <w:sz w:val="16"/>
      <w:szCs w:val="16"/>
      <w:lang w:val="en-GB" w:eastAsia="en-GB"/>
    </w:rPr>
  </w:style>
  <w:style w:type="paragraph" w:customStyle="1" w:styleId="xl113">
    <w:name w:val="xl113"/>
    <w:basedOn w:val="Normal"/>
    <w:rsid w:val="00AE3C4E"/>
    <w:pPr>
      <w:pBdr>
        <w:top w:val="single" w:sz="4" w:space="0" w:color="auto"/>
        <w:left w:val="single" w:sz="4" w:space="0" w:color="auto"/>
        <w:bottom w:val="single" w:sz="4" w:space="0" w:color="auto"/>
        <w:right w:val="single" w:sz="4" w:space="0" w:color="auto"/>
      </w:pBdr>
      <w:spacing w:beforeAutospacing="1" w:after="100" w:afterAutospacing="1" w:line="240" w:lineRule="auto"/>
      <w:textAlignment w:val="center"/>
    </w:pPr>
    <w:rPr>
      <w:rFonts w:ascii="Arial" w:eastAsia="Times New Roman" w:hAnsi="Arial" w:cs="Arial"/>
      <w:color w:val="000000"/>
      <w:sz w:val="16"/>
      <w:szCs w:val="16"/>
      <w:lang w:val="en-GB" w:eastAsia="en-GB"/>
    </w:rPr>
  </w:style>
  <w:style w:type="paragraph" w:customStyle="1" w:styleId="xl114">
    <w:name w:val="xl114"/>
    <w:basedOn w:val="Normal"/>
    <w:rsid w:val="00AE3C4E"/>
    <w:pPr>
      <w:pBdr>
        <w:top w:val="single" w:sz="4" w:space="0" w:color="auto"/>
        <w:left w:val="single" w:sz="4" w:space="0" w:color="auto"/>
        <w:bottom w:val="single" w:sz="4" w:space="0" w:color="auto"/>
        <w:right w:val="single" w:sz="4" w:space="0" w:color="auto"/>
      </w:pBdr>
      <w:spacing w:beforeAutospacing="1" w:after="100" w:afterAutospacing="1" w:line="240" w:lineRule="auto"/>
      <w:textAlignment w:val="center"/>
    </w:pPr>
    <w:rPr>
      <w:rFonts w:ascii="Arial" w:eastAsia="Times New Roman" w:hAnsi="Arial" w:cs="Arial"/>
      <w:sz w:val="16"/>
      <w:szCs w:val="16"/>
      <w:lang w:val="en-GB" w:eastAsia="en-GB"/>
    </w:rPr>
  </w:style>
  <w:style w:type="paragraph" w:customStyle="1" w:styleId="xl115">
    <w:name w:val="xl115"/>
    <w:basedOn w:val="Normal"/>
    <w:rsid w:val="00AE3C4E"/>
    <w:pPr>
      <w:pBdr>
        <w:top w:val="single" w:sz="4" w:space="0" w:color="9FC8E9"/>
        <w:left w:val="single" w:sz="4" w:space="0" w:color="9FC8E9"/>
        <w:bottom w:val="single" w:sz="4" w:space="0" w:color="9FC8E9"/>
        <w:right w:val="single" w:sz="4" w:space="0" w:color="9FC8E9"/>
      </w:pBdr>
      <w:shd w:val="clear" w:color="D7E3EE" w:fill="DDEBF7"/>
      <w:spacing w:beforeAutospacing="1" w:after="100" w:afterAutospacing="1" w:line="240" w:lineRule="auto"/>
      <w:textAlignment w:val="center"/>
    </w:pPr>
    <w:rPr>
      <w:rFonts w:ascii="Arial" w:eastAsia="Times New Roman" w:hAnsi="Arial" w:cs="Arial"/>
      <w:b/>
      <w:bCs/>
      <w:color w:val="000000"/>
      <w:sz w:val="24"/>
      <w:szCs w:val="24"/>
      <w:lang w:val="en-GB" w:eastAsia="en-GB"/>
    </w:rPr>
  </w:style>
  <w:style w:type="paragraph" w:customStyle="1" w:styleId="xl116">
    <w:name w:val="xl116"/>
    <w:basedOn w:val="Normal"/>
    <w:rsid w:val="00AE3C4E"/>
    <w:pPr>
      <w:pBdr>
        <w:top w:val="single" w:sz="4" w:space="0" w:color="9FC8E9"/>
        <w:left w:val="single" w:sz="4" w:space="0" w:color="9FC8E9"/>
        <w:bottom w:val="single" w:sz="4" w:space="0" w:color="9FC8E9"/>
        <w:right w:val="single" w:sz="4" w:space="0" w:color="9FC8E9"/>
      </w:pBdr>
      <w:shd w:val="clear" w:color="D7E3EE" w:fill="DDEBF7"/>
      <w:spacing w:beforeAutospacing="1" w:after="100" w:afterAutospacing="1" w:line="240" w:lineRule="auto"/>
      <w:textAlignment w:val="center"/>
    </w:pPr>
    <w:rPr>
      <w:rFonts w:ascii="Arial" w:eastAsia="Times New Roman" w:hAnsi="Arial" w:cs="Arial"/>
      <w:b/>
      <w:bCs/>
      <w:lang w:val="en-GB" w:eastAsia="en-GB"/>
    </w:rPr>
  </w:style>
  <w:style w:type="paragraph" w:customStyle="1" w:styleId="xl117">
    <w:name w:val="xl117"/>
    <w:basedOn w:val="Normal"/>
    <w:rsid w:val="00AE3C4E"/>
    <w:pPr>
      <w:pBdr>
        <w:top w:val="single" w:sz="4" w:space="0" w:color="9FC8E9"/>
        <w:left w:val="single" w:sz="4" w:space="0" w:color="9FC8E9"/>
        <w:bottom w:val="single" w:sz="4" w:space="0" w:color="9FC8E9"/>
        <w:right w:val="single" w:sz="4" w:space="0" w:color="9FC8E9"/>
      </w:pBdr>
      <w:shd w:val="clear" w:color="000000" w:fill="DDEBF7"/>
      <w:spacing w:beforeAutospacing="1" w:after="100" w:afterAutospacing="1" w:line="240" w:lineRule="auto"/>
      <w:textAlignment w:val="center"/>
    </w:pPr>
    <w:rPr>
      <w:rFonts w:ascii="Times New Roman" w:eastAsia="Times New Roman" w:hAnsi="Times New Roman" w:cs="Times New Roman"/>
      <w:lang w:val="en-GB" w:eastAsia="en-GB"/>
    </w:rPr>
  </w:style>
  <w:style w:type="paragraph" w:customStyle="1" w:styleId="xl118">
    <w:name w:val="xl118"/>
    <w:basedOn w:val="Normal"/>
    <w:rsid w:val="00AE3C4E"/>
    <w:pPr>
      <w:pBdr>
        <w:left w:val="single" w:sz="4" w:space="0" w:color="auto"/>
        <w:bottom w:val="single" w:sz="4" w:space="0" w:color="auto"/>
        <w:right w:val="single" w:sz="4" w:space="0" w:color="auto"/>
      </w:pBdr>
      <w:shd w:val="clear" w:color="98CBEF" w:fill="9FC8E9"/>
      <w:spacing w:beforeAutospacing="1" w:after="100" w:afterAutospacing="1" w:line="240" w:lineRule="auto"/>
      <w:textAlignment w:val="center"/>
    </w:pPr>
    <w:rPr>
      <w:rFonts w:ascii="Arial" w:eastAsia="Times New Roman" w:hAnsi="Arial" w:cs="Arial"/>
      <w:b/>
      <w:bCs/>
      <w:sz w:val="18"/>
      <w:szCs w:val="18"/>
      <w:lang w:val="en-GB" w:eastAsia="en-GB"/>
    </w:rPr>
  </w:style>
  <w:style w:type="paragraph" w:customStyle="1" w:styleId="xl119">
    <w:name w:val="xl119"/>
    <w:basedOn w:val="Normal"/>
    <w:rsid w:val="00AE3C4E"/>
    <w:pPr>
      <w:pBdr>
        <w:top w:val="dashed" w:sz="4" w:space="0" w:color="auto"/>
        <w:left w:val="dashed" w:sz="4" w:space="0" w:color="auto"/>
        <w:bottom w:val="single" w:sz="8" w:space="0" w:color="auto"/>
        <w:right w:val="dashed" w:sz="4" w:space="0" w:color="auto"/>
      </w:pBdr>
      <w:spacing w:beforeAutospacing="1" w:after="100" w:afterAutospacing="1" w:line="240" w:lineRule="auto"/>
      <w:jc w:val="center"/>
      <w:textAlignment w:val="center"/>
    </w:pPr>
    <w:rPr>
      <w:rFonts w:ascii="Arial" w:eastAsia="Times New Roman" w:hAnsi="Arial" w:cs="Arial"/>
      <w:sz w:val="16"/>
      <w:szCs w:val="16"/>
      <w:lang w:val="en-GB" w:eastAsia="en-GB"/>
    </w:rPr>
  </w:style>
  <w:style w:type="paragraph" w:customStyle="1" w:styleId="xl120">
    <w:name w:val="xl120"/>
    <w:basedOn w:val="Normal"/>
    <w:rsid w:val="00AE3C4E"/>
    <w:pPr>
      <w:pBdr>
        <w:top w:val="dashed" w:sz="4" w:space="0" w:color="auto"/>
        <w:left w:val="dashed" w:sz="4" w:space="0" w:color="auto"/>
        <w:bottom w:val="single" w:sz="8" w:space="0" w:color="auto"/>
        <w:right w:val="single" w:sz="4" w:space="0" w:color="auto"/>
      </w:pBdr>
      <w:spacing w:beforeAutospacing="1" w:after="100" w:afterAutospacing="1" w:line="240" w:lineRule="auto"/>
      <w:jc w:val="center"/>
      <w:textAlignment w:val="center"/>
    </w:pPr>
    <w:rPr>
      <w:rFonts w:ascii="Arial" w:eastAsia="Times New Roman" w:hAnsi="Arial" w:cs="Arial"/>
      <w:sz w:val="16"/>
      <w:szCs w:val="16"/>
      <w:lang w:val="en-GB" w:eastAsia="en-GB"/>
    </w:rPr>
  </w:style>
  <w:style w:type="paragraph" w:customStyle="1" w:styleId="xl121">
    <w:name w:val="xl121"/>
    <w:basedOn w:val="Normal"/>
    <w:rsid w:val="00AE3C4E"/>
    <w:pPr>
      <w:pBdr>
        <w:top w:val="single" w:sz="4" w:space="0" w:color="auto"/>
        <w:left w:val="single" w:sz="4" w:space="0" w:color="auto"/>
        <w:bottom w:val="single" w:sz="4" w:space="0" w:color="auto"/>
        <w:right w:val="single" w:sz="4" w:space="0" w:color="auto"/>
      </w:pBdr>
      <w:shd w:val="clear" w:color="95DBB8" w:fill="FFFFFF"/>
      <w:spacing w:beforeAutospacing="1" w:after="100" w:afterAutospacing="1" w:line="240" w:lineRule="auto"/>
      <w:textAlignment w:val="top"/>
    </w:pPr>
    <w:rPr>
      <w:rFonts w:ascii="Arial" w:eastAsia="Times New Roman" w:hAnsi="Arial" w:cs="Arial"/>
      <w:b/>
      <w:bCs/>
      <w:color w:val="60A3DA"/>
      <w:sz w:val="18"/>
      <w:szCs w:val="18"/>
      <w:lang w:val="en-GB" w:eastAsia="en-GB"/>
    </w:rPr>
  </w:style>
  <w:style w:type="paragraph" w:customStyle="1" w:styleId="xl122">
    <w:name w:val="xl122"/>
    <w:basedOn w:val="Normal"/>
    <w:rsid w:val="00AE3C4E"/>
    <w:pPr>
      <w:pBdr>
        <w:top w:val="single" w:sz="4" w:space="0" w:color="auto"/>
        <w:left w:val="single" w:sz="4" w:space="0" w:color="auto"/>
        <w:bottom w:val="single" w:sz="4" w:space="0" w:color="auto"/>
        <w:right w:val="single" w:sz="4" w:space="0" w:color="auto"/>
      </w:pBdr>
      <w:shd w:val="clear" w:color="000000" w:fill="F2F2F2"/>
      <w:spacing w:beforeAutospacing="1" w:after="100" w:afterAutospacing="1" w:line="240" w:lineRule="auto"/>
      <w:textAlignment w:val="center"/>
    </w:pPr>
    <w:rPr>
      <w:rFonts w:ascii="Times New Roman" w:eastAsia="Times New Roman" w:hAnsi="Times New Roman" w:cs="Times New Roman"/>
      <w:sz w:val="24"/>
      <w:szCs w:val="24"/>
      <w:lang w:val="en-GB" w:eastAsia="en-GB"/>
    </w:rPr>
  </w:style>
  <w:style w:type="paragraph" w:customStyle="1" w:styleId="font7">
    <w:name w:val="font7"/>
    <w:basedOn w:val="Normal"/>
    <w:rsid w:val="00AE3C4E"/>
    <w:pPr>
      <w:spacing w:beforeAutospacing="1" w:after="100" w:afterAutospacing="1" w:line="240" w:lineRule="auto"/>
    </w:pPr>
    <w:rPr>
      <w:rFonts w:ascii="Arial" w:eastAsia="Times New Roman" w:hAnsi="Arial" w:cs="Arial"/>
      <w:color w:val="FF0000"/>
      <w:sz w:val="16"/>
      <w:szCs w:val="16"/>
      <w:lang w:val="en-GB" w:eastAsia="en-GB"/>
    </w:rPr>
  </w:style>
  <w:style w:type="paragraph" w:customStyle="1" w:styleId="font8">
    <w:name w:val="font8"/>
    <w:basedOn w:val="Normal"/>
    <w:rsid w:val="00AE3C4E"/>
    <w:pPr>
      <w:spacing w:beforeAutospacing="1" w:after="100" w:afterAutospacing="1" w:line="240" w:lineRule="auto"/>
    </w:pPr>
    <w:rPr>
      <w:rFonts w:ascii="Arial" w:eastAsia="Times New Roman" w:hAnsi="Arial" w:cs="Arial"/>
      <w:b/>
      <w:bCs/>
      <w:sz w:val="16"/>
      <w:szCs w:val="16"/>
      <w:lang w:val="en-GB" w:eastAsia="en-GB"/>
    </w:rPr>
  </w:style>
  <w:style w:type="paragraph" w:customStyle="1" w:styleId="font9">
    <w:name w:val="font9"/>
    <w:basedOn w:val="Normal"/>
    <w:rsid w:val="00AE3C4E"/>
    <w:pPr>
      <w:spacing w:beforeAutospacing="1" w:after="100" w:afterAutospacing="1" w:line="240" w:lineRule="auto"/>
    </w:pPr>
    <w:rPr>
      <w:rFonts w:ascii="Calibri" w:eastAsia="Times New Roman" w:hAnsi="Calibri" w:cs="Calibri"/>
      <w:color w:val="000000"/>
      <w:sz w:val="16"/>
      <w:szCs w:val="16"/>
      <w:lang w:val="en-GB" w:eastAsia="en-GB"/>
    </w:rPr>
  </w:style>
  <w:style w:type="paragraph" w:customStyle="1" w:styleId="xl123">
    <w:name w:val="xl123"/>
    <w:basedOn w:val="Normal"/>
    <w:rsid w:val="00AE3C4E"/>
    <w:pPr>
      <w:pBdr>
        <w:top w:val="single" w:sz="4" w:space="0" w:color="BFBFBF"/>
        <w:left w:val="single" w:sz="4" w:space="0" w:color="BFBFBF"/>
        <w:bottom w:val="single" w:sz="4" w:space="0" w:color="BFBFBF"/>
        <w:right w:val="single" w:sz="4" w:space="0" w:color="BFBFBF"/>
      </w:pBdr>
      <w:shd w:val="clear" w:color="000000" w:fill="FFFFFF"/>
      <w:spacing w:beforeAutospacing="1" w:after="100" w:afterAutospacing="1" w:line="240" w:lineRule="auto"/>
      <w:jc w:val="center"/>
    </w:pPr>
    <w:rPr>
      <w:rFonts w:ascii="Times New Roman" w:eastAsia="Times New Roman" w:hAnsi="Times New Roman" w:cs="Times New Roman"/>
      <w:sz w:val="24"/>
      <w:szCs w:val="24"/>
      <w:lang w:val="en-GB" w:eastAsia="en-GB"/>
    </w:rPr>
  </w:style>
  <w:style w:type="paragraph" w:customStyle="1" w:styleId="xl124">
    <w:name w:val="xl124"/>
    <w:basedOn w:val="Normal"/>
    <w:rsid w:val="00AE3C4E"/>
    <w:pPr>
      <w:pBdr>
        <w:top w:val="single" w:sz="4" w:space="0" w:color="BFBFBF"/>
        <w:left w:val="single" w:sz="4" w:space="0" w:color="BFBFBF"/>
        <w:bottom w:val="single" w:sz="4" w:space="0" w:color="BFBFBF"/>
        <w:right w:val="single" w:sz="4" w:space="0" w:color="BFBFBF"/>
      </w:pBdr>
      <w:shd w:val="clear" w:color="FFFFCC" w:fill="FFFFFF"/>
      <w:spacing w:beforeAutospacing="1" w:after="100" w:afterAutospacing="1" w:line="240" w:lineRule="auto"/>
      <w:jc w:val="center"/>
      <w:textAlignment w:val="center"/>
    </w:pPr>
    <w:rPr>
      <w:rFonts w:ascii="Arial" w:eastAsia="Times New Roman" w:hAnsi="Arial" w:cs="Arial"/>
      <w:b/>
      <w:bCs/>
      <w:color w:val="000000"/>
      <w:sz w:val="16"/>
      <w:szCs w:val="16"/>
      <w:lang w:val="en-GB" w:eastAsia="en-GB"/>
    </w:rPr>
  </w:style>
  <w:style w:type="character" w:customStyle="1" w:styleId="SidebarChar">
    <w:name w:val="Sidebar Char"/>
    <w:link w:val="Sidebar"/>
    <w:uiPriority w:val="8"/>
    <w:locked/>
    <w:rsid w:val="00AE3C4E"/>
    <w:rPr>
      <w:i/>
      <w:color w:val="365F91"/>
      <w:sz w:val="24"/>
    </w:rPr>
  </w:style>
  <w:style w:type="paragraph" w:customStyle="1" w:styleId="Sidebar">
    <w:name w:val="Sidebar"/>
    <w:basedOn w:val="Normal"/>
    <w:link w:val="SidebarChar"/>
    <w:uiPriority w:val="8"/>
    <w:qFormat/>
    <w:rsid w:val="00AE3C4E"/>
    <w:pPr>
      <w:suppressAutoHyphens/>
      <w:autoSpaceDN w:val="0"/>
      <w:spacing w:before="240" w:after="240" w:line="288" w:lineRule="auto"/>
      <w:ind w:firstLine="357"/>
      <w:jc w:val="both"/>
      <w:textAlignment w:val="baseline"/>
    </w:pPr>
    <w:rPr>
      <w:i/>
      <w:color w:val="365F91"/>
      <w:sz w:val="24"/>
    </w:rPr>
  </w:style>
  <w:style w:type="paragraph" w:customStyle="1" w:styleId="Normal1">
    <w:name w:val="Normal1"/>
    <w:basedOn w:val="Normal"/>
    <w:rsid w:val="00AE3C4E"/>
    <w:pPr>
      <w:suppressAutoHyphens/>
      <w:autoSpaceDN w:val="0"/>
      <w:spacing w:beforeAutospacing="1" w:after="100" w:afterAutospacing="1" w:line="240" w:lineRule="auto"/>
      <w:ind w:firstLine="357"/>
      <w:jc w:val="both"/>
      <w:textAlignment w:val="baseline"/>
    </w:pPr>
    <w:rPr>
      <w:rFonts w:ascii="Times New Roman" w:eastAsia="Times New Roman" w:hAnsi="Times New Roman" w:cs="Times New Roman"/>
      <w:kern w:val="3"/>
      <w:sz w:val="24"/>
      <w:szCs w:val="24"/>
      <w:lang w:val="de-DE" w:eastAsia="de-DE" w:bidi="hi-IN"/>
    </w:rPr>
  </w:style>
  <w:style w:type="character" w:customStyle="1" w:styleId="fontstyle01">
    <w:name w:val="fontstyle01"/>
    <w:rsid w:val="00AE3C4E"/>
    <w:rPr>
      <w:rFonts w:ascii="Roboto-Regular" w:hAnsi="Roboto-Regular" w:hint="default"/>
      <w:b w:val="0"/>
      <w:bCs w:val="0"/>
      <w:i w:val="0"/>
      <w:iCs w:val="0"/>
      <w:color w:val="1A171C"/>
      <w:sz w:val="16"/>
      <w:szCs w:val="16"/>
    </w:rPr>
  </w:style>
  <w:style w:type="table" w:customStyle="1" w:styleId="PlainTable31">
    <w:name w:val="Plain Table 31"/>
    <w:basedOn w:val="TableNormal"/>
    <w:uiPriority w:val="99"/>
    <w:rsid w:val="00AE3C4E"/>
    <w:pPr>
      <w:spacing w:before="0" w:after="0" w:line="240" w:lineRule="auto"/>
    </w:pPr>
    <w:rPr>
      <w:rFonts w:ascii="Calibri" w:eastAsia="Calibri" w:hAnsi="Calibri" w:cs="Times New Roman"/>
      <w:lang w:val="uz-Cyrl-UZ"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auto-style1">
    <w:name w:val="auto-style1"/>
    <w:basedOn w:val="Normal"/>
    <w:rsid w:val="00AE3C4E"/>
    <w:pPr>
      <w:suppressAutoHyphens/>
      <w:autoSpaceDN w:val="0"/>
      <w:spacing w:beforeAutospacing="1" w:after="100" w:afterAutospacing="1" w:line="240" w:lineRule="auto"/>
      <w:ind w:firstLine="357"/>
      <w:jc w:val="both"/>
      <w:textAlignment w:val="baseline"/>
    </w:pPr>
    <w:rPr>
      <w:rFonts w:ascii="Times New Roman" w:eastAsia="Times New Roman" w:hAnsi="Times New Roman" w:cs="Times New Roman"/>
      <w:kern w:val="3"/>
      <w:sz w:val="24"/>
      <w:szCs w:val="24"/>
      <w:lang w:val="en-GB" w:eastAsia="en-GB" w:bidi="hi-IN"/>
    </w:rPr>
  </w:style>
  <w:style w:type="paragraph" w:customStyle="1" w:styleId="odluka-zakon">
    <w:name w:val="odluka-zakon"/>
    <w:basedOn w:val="Normal"/>
    <w:rsid w:val="00AE3C4E"/>
    <w:pPr>
      <w:suppressAutoHyphens/>
      <w:autoSpaceDN w:val="0"/>
      <w:spacing w:beforeAutospacing="1" w:after="100" w:afterAutospacing="1" w:line="240" w:lineRule="auto"/>
      <w:ind w:firstLine="357"/>
      <w:jc w:val="both"/>
      <w:textAlignment w:val="baseline"/>
    </w:pPr>
    <w:rPr>
      <w:rFonts w:ascii="Times New Roman" w:eastAsia="Times New Roman" w:hAnsi="Times New Roman" w:cs="Times New Roman"/>
      <w:kern w:val="3"/>
      <w:sz w:val="24"/>
      <w:szCs w:val="24"/>
      <w:lang w:eastAsia="zh-CN" w:bidi="hi-IN"/>
    </w:rPr>
  </w:style>
  <w:style w:type="paragraph" w:customStyle="1" w:styleId="kmnaslov1">
    <w:name w:val="kmnaslov1"/>
    <w:basedOn w:val="Normal"/>
    <w:uiPriority w:val="99"/>
    <w:rsid w:val="00AE3C4E"/>
    <w:pPr>
      <w:suppressAutoHyphens/>
      <w:autoSpaceDN w:val="0"/>
      <w:spacing w:beforeAutospacing="1" w:after="100" w:afterAutospacing="1" w:line="240" w:lineRule="auto"/>
      <w:ind w:firstLine="357"/>
      <w:jc w:val="both"/>
      <w:textAlignment w:val="baseline"/>
    </w:pPr>
    <w:rPr>
      <w:rFonts w:ascii="Calibri" w:eastAsia="Times New Roman" w:hAnsi="Calibri" w:cs="Calibri"/>
      <w:kern w:val="3"/>
      <w:sz w:val="24"/>
      <w:szCs w:val="24"/>
      <w:lang w:eastAsia="zh-CN" w:bidi="hi-IN"/>
    </w:rPr>
  </w:style>
  <w:style w:type="character" w:customStyle="1" w:styleId="UnresolvedMention11">
    <w:name w:val="Unresolved Mention11"/>
    <w:uiPriority w:val="99"/>
    <w:semiHidden/>
    <w:unhideWhenUsed/>
    <w:rsid w:val="00AE3C4E"/>
    <w:rPr>
      <w:color w:val="605E5C"/>
      <w:shd w:val="clear" w:color="auto" w:fill="E1DFDD"/>
    </w:rPr>
  </w:style>
  <w:style w:type="character" w:customStyle="1" w:styleId="UnresolvedMention2">
    <w:name w:val="Unresolved Mention2"/>
    <w:uiPriority w:val="99"/>
    <w:semiHidden/>
    <w:unhideWhenUsed/>
    <w:rsid w:val="00AE3C4E"/>
    <w:rPr>
      <w:color w:val="605E5C"/>
      <w:shd w:val="clear" w:color="auto" w:fill="E1DFDD"/>
    </w:rPr>
  </w:style>
  <w:style w:type="paragraph" w:styleId="TableofFigures">
    <w:name w:val="table of figures"/>
    <w:basedOn w:val="Normal"/>
    <w:next w:val="Normal"/>
    <w:uiPriority w:val="99"/>
    <w:unhideWhenUsed/>
    <w:rsid w:val="00AE3C4E"/>
    <w:pPr>
      <w:suppressAutoHyphens/>
      <w:autoSpaceDN w:val="0"/>
      <w:spacing w:before="120" w:after="0" w:line="240" w:lineRule="auto"/>
      <w:ind w:firstLine="357"/>
      <w:jc w:val="both"/>
      <w:textAlignment w:val="baseline"/>
    </w:pPr>
    <w:rPr>
      <w:rFonts w:ascii="Times New Roman" w:eastAsia="DejaVu Sans Mono" w:hAnsi="Times New Roman" w:cs="Calibri"/>
      <w:i/>
      <w:iCs/>
      <w:kern w:val="3"/>
      <w:lang w:val="de-DE" w:eastAsia="zh-CN" w:bidi="hi-IN"/>
    </w:rPr>
  </w:style>
  <w:style w:type="paragraph" w:customStyle="1" w:styleId="CharCharCharCharCarCarCharCharCarCar">
    <w:name w:val="Char Char Char Char Car Car Char Char Car Car"/>
    <w:basedOn w:val="Normal"/>
    <w:next w:val="Normal"/>
    <w:uiPriority w:val="99"/>
    <w:rsid w:val="00AE3C4E"/>
    <w:pPr>
      <w:suppressAutoHyphens/>
      <w:autoSpaceDN w:val="0"/>
      <w:spacing w:before="120" w:after="60" w:line="240" w:lineRule="exact"/>
      <w:ind w:firstLine="357"/>
      <w:jc w:val="both"/>
      <w:textAlignment w:val="baseline"/>
    </w:pPr>
    <w:rPr>
      <w:rFonts w:ascii="Times New Roman" w:eastAsia="DejaVu Sans Mono" w:hAnsi="Times New Roman" w:cs="Times New Roman"/>
      <w:kern w:val="3"/>
      <w:sz w:val="24"/>
      <w:szCs w:val="24"/>
      <w:vertAlign w:val="superscript"/>
      <w:lang w:eastAsia="zh-CN" w:bidi="hi-IN"/>
    </w:rPr>
  </w:style>
  <w:style w:type="paragraph" w:customStyle="1" w:styleId="CharCharCharCharCarChar">
    <w:name w:val="Char Char Char Char Car Char"/>
    <w:aliases w:val="Char Char Char Char Car Char Char1,Char Char Char1,16 Point Char1,Superscript 6 Point Char1,ftref Char1,Char Char Char1 Char Char Char"/>
    <w:basedOn w:val="Normal"/>
    <w:next w:val="Normal"/>
    <w:uiPriority w:val="99"/>
    <w:rsid w:val="00AE3C4E"/>
    <w:pPr>
      <w:suppressAutoHyphens/>
      <w:autoSpaceDN w:val="0"/>
      <w:spacing w:before="120" w:after="0" w:line="120" w:lineRule="exact"/>
      <w:ind w:firstLine="357"/>
      <w:jc w:val="both"/>
      <w:textAlignment w:val="baseline"/>
    </w:pPr>
    <w:rPr>
      <w:rFonts w:ascii="Calibri" w:eastAsia="DejaVu Sans Mono" w:hAnsi="Calibri" w:cs="Times New Roman"/>
      <w:color w:val="000000"/>
      <w:kern w:val="3"/>
      <w:sz w:val="24"/>
      <w:szCs w:val="24"/>
      <w:vertAlign w:val="superscript"/>
      <w:lang w:val="sr-Cyrl-RS" w:eastAsia="zh-CN" w:bidi="hi-IN"/>
    </w:rPr>
  </w:style>
  <w:style w:type="character" w:customStyle="1" w:styleId="UnresolvedMention3">
    <w:name w:val="Unresolved Mention3"/>
    <w:uiPriority w:val="99"/>
    <w:semiHidden/>
    <w:unhideWhenUsed/>
    <w:rsid w:val="00AE3C4E"/>
    <w:rPr>
      <w:color w:val="605E5C"/>
      <w:shd w:val="clear" w:color="auto" w:fill="E1DFDD"/>
    </w:rPr>
  </w:style>
  <w:style w:type="character" w:customStyle="1" w:styleId="FootnoteCharacters">
    <w:name w:val="Footnote Characters"/>
    <w:uiPriority w:val="99"/>
    <w:qFormat/>
    <w:rsid w:val="00AE3C4E"/>
    <w:rPr>
      <w:vertAlign w:val="superscript"/>
    </w:rPr>
  </w:style>
  <w:style w:type="character" w:customStyle="1" w:styleId="FootnoteAnchor">
    <w:name w:val="Footnote Anchor"/>
    <w:rsid w:val="00AE3C4E"/>
    <w:rPr>
      <w:vertAlign w:val="superscript"/>
    </w:rPr>
  </w:style>
  <w:style w:type="paragraph" w:customStyle="1" w:styleId="commentcontentpara">
    <w:name w:val="commentcontentpara"/>
    <w:basedOn w:val="Normal"/>
    <w:rsid w:val="00AE3C4E"/>
    <w:pPr>
      <w:suppressAutoHyphens/>
      <w:autoSpaceDN w:val="0"/>
      <w:spacing w:beforeAutospacing="1" w:after="100" w:afterAutospacing="1" w:line="240" w:lineRule="auto"/>
      <w:ind w:firstLine="357"/>
      <w:jc w:val="both"/>
      <w:textAlignment w:val="baseline"/>
    </w:pPr>
    <w:rPr>
      <w:rFonts w:ascii="Times New Roman" w:eastAsia="Times New Roman" w:hAnsi="Times New Roman" w:cs="Times New Roman"/>
      <w:kern w:val="3"/>
      <w:sz w:val="24"/>
      <w:szCs w:val="24"/>
      <w:lang w:val="sr-Cyrl-RS" w:eastAsia="sr-Latn-RS" w:bidi="hi-IN"/>
    </w:rPr>
  </w:style>
  <w:style w:type="character" w:customStyle="1" w:styleId="xmsofootnotereference">
    <w:name w:val="x_msofootnotereference"/>
    <w:basedOn w:val="DefaultParagraphFont"/>
    <w:rsid w:val="00AE3C4E"/>
  </w:style>
  <w:style w:type="character" w:customStyle="1" w:styleId="UnresolvedMention4">
    <w:name w:val="Unresolved Mention4"/>
    <w:uiPriority w:val="99"/>
    <w:semiHidden/>
    <w:unhideWhenUsed/>
    <w:rsid w:val="00AE3C4E"/>
    <w:rPr>
      <w:color w:val="605E5C"/>
      <w:shd w:val="clear" w:color="auto" w:fill="E1DFDD"/>
    </w:rPr>
  </w:style>
  <w:style w:type="character" w:customStyle="1" w:styleId="UnresolvedMention5">
    <w:name w:val="Unresolved Mention5"/>
    <w:uiPriority w:val="99"/>
    <w:semiHidden/>
    <w:unhideWhenUsed/>
    <w:rsid w:val="00AE3C4E"/>
    <w:rPr>
      <w:color w:val="605E5C"/>
      <w:shd w:val="clear" w:color="auto" w:fill="E1DFDD"/>
    </w:rPr>
  </w:style>
  <w:style w:type="character" w:customStyle="1" w:styleId="UnresolvedMention6">
    <w:name w:val="Unresolved Mention6"/>
    <w:uiPriority w:val="99"/>
    <w:semiHidden/>
    <w:unhideWhenUsed/>
    <w:rsid w:val="00AE3C4E"/>
    <w:rPr>
      <w:color w:val="605E5C"/>
      <w:shd w:val="clear" w:color="auto" w:fill="E1DFDD"/>
    </w:rPr>
  </w:style>
  <w:style w:type="character" w:customStyle="1" w:styleId="UnresolvedMention7">
    <w:name w:val="Unresolved Mention7"/>
    <w:uiPriority w:val="99"/>
    <w:semiHidden/>
    <w:unhideWhenUsed/>
    <w:rsid w:val="00AE3C4E"/>
    <w:rPr>
      <w:color w:val="605E5C"/>
      <w:shd w:val="clear" w:color="auto" w:fill="E1DFDD"/>
    </w:rPr>
  </w:style>
  <w:style w:type="character" w:customStyle="1" w:styleId="UnresolvedMention21">
    <w:name w:val="Unresolved Mention21"/>
    <w:uiPriority w:val="99"/>
    <w:semiHidden/>
    <w:unhideWhenUsed/>
    <w:rsid w:val="00AE3C4E"/>
    <w:rPr>
      <w:color w:val="605E5C"/>
      <w:shd w:val="clear" w:color="auto" w:fill="E1DFDD"/>
    </w:rPr>
  </w:style>
  <w:style w:type="character" w:customStyle="1" w:styleId="fontstyle21">
    <w:name w:val="fontstyle21"/>
    <w:rsid w:val="00AE3C4E"/>
    <w:rPr>
      <w:rFonts w:ascii="Cambria" w:hAnsi="Cambria" w:hint="default"/>
      <w:b w:val="0"/>
      <w:bCs w:val="0"/>
      <w:i w:val="0"/>
      <w:iCs w:val="0"/>
      <w:color w:val="000000"/>
      <w:sz w:val="22"/>
      <w:szCs w:val="22"/>
    </w:rPr>
  </w:style>
  <w:style w:type="character" w:customStyle="1" w:styleId="gmail-msoins">
    <w:name w:val="gmail-msoins"/>
    <w:basedOn w:val="DefaultParagraphFont"/>
    <w:rsid w:val="00AE3C4E"/>
  </w:style>
  <w:style w:type="paragraph" w:customStyle="1" w:styleId="Footnote">
    <w:name w:val="Footnote"/>
    <w:basedOn w:val="Normal"/>
    <w:rsid w:val="00AE3C4E"/>
    <w:pPr>
      <w:suppressAutoHyphens/>
      <w:autoSpaceDN w:val="0"/>
      <w:spacing w:before="120" w:after="0" w:line="240" w:lineRule="auto"/>
      <w:ind w:firstLine="357"/>
      <w:jc w:val="both"/>
      <w:textAlignment w:val="baseline"/>
    </w:pPr>
    <w:rPr>
      <w:rFonts w:ascii="Times New Roman" w:eastAsia="Times New Roman" w:hAnsi="Times New Roman" w:cs="Lohit Devanagari"/>
      <w:kern w:val="3"/>
      <w:lang w:val="sl-SI" w:eastAsia="zh-CN" w:bidi="hi-IN"/>
    </w:rPr>
  </w:style>
  <w:style w:type="character" w:customStyle="1" w:styleId="pronadjen">
    <w:name w:val="pronadjen"/>
    <w:basedOn w:val="DefaultParagraphFont"/>
    <w:qFormat/>
    <w:rsid w:val="00AE3C4E"/>
  </w:style>
  <w:style w:type="character" w:customStyle="1" w:styleId="BodyTextChar1">
    <w:name w:val="Body Text Char1"/>
    <w:uiPriority w:val="1"/>
    <w:semiHidden/>
    <w:rsid w:val="00AE3C4E"/>
    <w:rPr>
      <w:lang w:val="sr-Cyrl-RS"/>
    </w:rPr>
  </w:style>
  <w:style w:type="table" w:customStyle="1" w:styleId="ListTable1Light-Accent11">
    <w:name w:val="List Table 1 Light - Accent 11"/>
    <w:basedOn w:val="TableNormal"/>
    <w:uiPriority w:val="46"/>
    <w:rsid w:val="00AE3C4E"/>
    <w:pPr>
      <w:spacing w:before="0" w:after="0" w:line="240" w:lineRule="auto"/>
    </w:pPr>
    <w:rPr>
      <w:rFonts w:ascii="Calibri" w:eastAsia="Calibri" w:hAnsi="Calibri" w:cs="Times New Roman"/>
      <w:lang w:eastAsia="en-GB"/>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3">
    <w:name w:val="Table Grid3"/>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formattedText">
    <w:name w:val="Preformatted Text"/>
    <w:basedOn w:val="Normal"/>
    <w:qFormat/>
    <w:rsid w:val="00AE3C4E"/>
    <w:pPr>
      <w:suppressAutoHyphens/>
      <w:autoSpaceDN w:val="0"/>
      <w:spacing w:before="120" w:after="0" w:line="240" w:lineRule="auto"/>
      <w:ind w:firstLine="357"/>
      <w:jc w:val="both"/>
      <w:textAlignment w:val="baseline"/>
    </w:pPr>
    <w:rPr>
      <w:rFonts w:ascii="Liberation Mono" w:eastAsia="DejaVu Sans Mono" w:hAnsi="Liberation Mono" w:cs="Liberation Mono"/>
      <w:kern w:val="2"/>
      <w:lang w:eastAsia="zh-CN" w:bidi="hi-IN"/>
    </w:rPr>
  </w:style>
  <w:style w:type="paragraph" w:customStyle="1" w:styleId="Bullet1">
    <w:name w:val="Bullet 1"/>
    <w:basedOn w:val="ListBullet"/>
    <w:qFormat/>
    <w:rsid w:val="00AE3C4E"/>
    <w:pPr>
      <w:numPr>
        <w:numId w:val="0"/>
      </w:numPr>
      <w:suppressAutoHyphens/>
      <w:autoSpaceDN w:val="0"/>
      <w:spacing w:before="20" w:after="20" w:line="240" w:lineRule="exact"/>
      <w:ind w:left="142" w:hanging="142"/>
      <w:textAlignment w:val="baseline"/>
    </w:pPr>
    <w:rPr>
      <w:rFonts w:ascii="DejaVu Sans" w:eastAsia="DejaVu Sans Mono" w:hAnsi="DejaVu Sans" w:cs="DejaVu Sans"/>
      <w:kern w:val="3"/>
      <w:sz w:val="18"/>
      <w:szCs w:val="18"/>
      <w:lang w:eastAsia="zh-CN" w:bidi="hi-IN"/>
    </w:rPr>
  </w:style>
  <w:style w:type="character" w:customStyle="1" w:styleId="hps">
    <w:name w:val="hps"/>
    <w:uiPriority w:val="99"/>
    <w:rsid w:val="00AE3C4E"/>
    <w:rPr>
      <w:rFonts w:cs="Times New Roman"/>
    </w:rPr>
  </w:style>
  <w:style w:type="character" w:customStyle="1" w:styleId="InternetLink">
    <w:name w:val="Internet Link"/>
    <w:uiPriority w:val="99"/>
    <w:unhideWhenUsed/>
    <w:rsid w:val="00AE3C4E"/>
    <w:rPr>
      <w:color w:val="0000FF"/>
      <w:u w:val="single"/>
    </w:rPr>
  </w:style>
  <w:style w:type="character" w:customStyle="1" w:styleId="ListLabel10">
    <w:name w:val="ListLabel 10"/>
    <w:qFormat/>
    <w:rsid w:val="00AE3C4E"/>
    <w:rPr>
      <w:rFonts w:cs="Courier New"/>
    </w:rPr>
  </w:style>
  <w:style w:type="character" w:customStyle="1" w:styleId="EndnoteAnchor">
    <w:name w:val="Endnote Anchor"/>
    <w:rsid w:val="00AE3C4E"/>
    <w:rPr>
      <w:vertAlign w:val="superscript"/>
    </w:rPr>
  </w:style>
  <w:style w:type="character" w:customStyle="1" w:styleId="EndnoteCharacters">
    <w:name w:val="Endnote Characters"/>
    <w:qFormat/>
    <w:rsid w:val="00AE3C4E"/>
  </w:style>
  <w:style w:type="paragraph" w:customStyle="1" w:styleId="Heading">
    <w:name w:val="Heading"/>
    <w:basedOn w:val="Normal"/>
    <w:next w:val="BodyText"/>
    <w:qFormat/>
    <w:rsid w:val="00AE3C4E"/>
    <w:pPr>
      <w:keepNext/>
      <w:suppressAutoHyphens/>
      <w:autoSpaceDN w:val="0"/>
      <w:spacing w:before="240" w:after="120" w:line="240" w:lineRule="auto"/>
      <w:ind w:firstLine="357"/>
      <w:jc w:val="both"/>
      <w:textAlignment w:val="baseline"/>
    </w:pPr>
    <w:rPr>
      <w:rFonts w:ascii="Liberation Sans" w:eastAsia="Noto Sans CJK SC" w:hAnsi="Liberation Sans" w:cs="Lohit Devanagari"/>
      <w:kern w:val="3"/>
      <w:sz w:val="28"/>
      <w:szCs w:val="28"/>
      <w:lang w:val="de-DE" w:eastAsia="zh-CN" w:bidi="hi-IN"/>
    </w:rPr>
  </w:style>
  <w:style w:type="paragraph" w:styleId="List">
    <w:name w:val="List"/>
    <w:basedOn w:val="BodyText"/>
    <w:rsid w:val="00AE3C4E"/>
    <w:pPr>
      <w:widowControl w:val="0"/>
      <w:suppressAutoHyphens/>
      <w:autoSpaceDN w:val="0"/>
      <w:spacing w:before="120"/>
      <w:ind w:firstLine="357"/>
      <w:textAlignment w:val="baseline"/>
    </w:pPr>
    <w:rPr>
      <w:rFonts w:ascii="Calibri" w:eastAsia="Calibri" w:hAnsi="Calibri" w:cs="Lohit Devanagari"/>
      <w:sz w:val="22"/>
      <w:szCs w:val="22"/>
      <w:lang w:val="en-GB" w:eastAsia="en-GB" w:bidi="en-GB"/>
    </w:rPr>
  </w:style>
  <w:style w:type="paragraph" w:customStyle="1" w:styleId="Index">
    <w:name w:val="Index"/>
    <w:basedOn w:val="Normal"/>
    <w:qFormat/>
    <w:rsid w:val="00AE3C4E"/>
    <w:pPr>
      <w:suppressLineNumbers/>
      <w:suppressAutoHyphens/>
      <w:autoSpaceDN w:val="0"/>
      <w:spacing w:before="120" w:after="120" w:line="240" w:lineRule="auto"/>
      <w:ind w:firstLine="357"/>
      <w:jc w:val="both"/>
      <w:textAlignment w:val="baseline"/>
    </w:pPr>
    <w:rPr>
      <w:rFonts w:ascii="Times New Roman" w:eastAsia="DejaVu Sans Mono" w:hAnsi="Times New Roman" w:cs="Lohit Devanagari"/>
      <w:kern w:val="3"/>
      <w:sz w:val="24"/>
      <w:szCs w:val="24"/>
      <w:lang w:val="de-DE" w:eastAsia="zh-CN" w:bidi="hi-IN"/>
    </w:rPr>
  </w:style>
  <w:style w:type="character" w:customStyle="1" w:styleId="FooterChar1">
    <w:name w:val="Footer Char1"/>
    <w:uiPriority w:val="99"/>
    <w:semiHidden/>
    <w:rsid w:val="00AE3C4E"/>
    <w:rPr>
      <w:lang w:val="de-DE"/>
    </w:rPr>
  </w:style>
  <w:style w:type="paragraph" w:customStyle="1" w:styleId="Standard">
    <w:name w:val="Standard"/>
    <w:qFormat/>
    <w:rsid w:val="00AE3C4E"/>
    <w:pPr>
      <w:suppressAutoHyphens/>
      <w:spacing w:before="0" w:after="0" w:line="240" w:lineRule="auto"/>
      <w:textAlignment w:val="baseline"/>
    </w:pPr>
    <w:rPr>
      <w:rFonts w:ascii="Liberation Serif" w:eastAsia="Times New Roman" w:hAnsi="Liberation Serif" w:cs="FreeSans"/>
      <w:kern w:val="2"/>
      <w:sz w:val="24"/>
      <w:szCs w:val="24"/>
      <w:lang w:eastAsia="zh-CN" w:bidi="hi-IN"/>
    </w:rPr>
  </w:style>
  <w:style w:type="paragraph" w:customStyle="1" w:styleId="FrameContents">
    <w:name w:val="Frame Contents"/>
    <w:basedOn w:val="Normal"/>
    <w:qFormat/>
    <w:rsid w:val="00AE3C4E"/>
    <w:pPr>
      <w:suppressAutoHyphens/>
      <w:autoSpaceDN w:val="0"/>
      <w:spacing w:before="120" w:after="120" w:line="240" w:lineRule="auto"/>
      <w:ind w:firstLine="357"/>
      <w:jc w:val="both"/>
      <w:textAlignment w:val="baseline"/>
    </w:pPr>
    <w:rPr>
      <w:rFonts w:ascii="Times New Roman" w:eastAsia="DejaVu Sans Mono" w:hAnsi="Times New Roman" w:cs="Times New Roman"/>
      <w:kern w:val="3"/>
      <w:sz w:val="24"/>
      <w:szCs w:val="24"/>
      <w:lang w:val="de-DE" w:eastAsia="zh-CN" w:bidi="hi-IN"/>
    </w:rPr>
  </w:style>
  <w:style w:type="paragraph" w:customStyle="1" w:styleId="Quotations">
    <w:name w:val="Quotations"/>
    <w:basedOn w:val="Normal"/>
    <w:qFormat/>
    <w:rsid w:val="00AE3C4E"/>
    <w:pPr>
      <w:suppressAutoHyphens/>
      <w:autoSpaceDN w:val="0"/>
      <w:spacing w:before="120" w:after="283" w:line="240" w:lineRule="auto"/>
      <w:ind w:left="567" w:right="567" w:firstLine="357"/>
      <w:jc w:val="both"/>
      <w:textAlignment w:val="baseline"/>
    </w:pPr>
    <w:rPr>
      <w:rFonts w:ascii="Times New Roman" w:eastAsia="DejaVu Sans Mono" w:hAnsi="Times New Roman" w:cs="Times New Roman"/>
      <w:kern w:val="3"/>
      <w:sz w:val="24"/>
      <w:szCs w:val="24"/>
      <w:lang w:val="de-DE" w:eastAsia="zh-CN" w:bidi="hi-IN"/>
    </w:rPr>
  </w:style>
  <w:style w:type="character" w:customStyle="1" w:styleId="CommentTextChar1">
    <w:name w:val="Comment Text Char1"/>
    <w:uiPriority w:val="99"/>
    <w:semiHidden/>
    <w:rsid w:val="00AE3C4E"/>
    <w:rPr>
      <w:sz w:val="20"/>
      <w:szCs w:val="20"/>
      <w:lang w:val="de-DE"/>
    </w:rPr>
  </w:style>
  <w:style w:type="paragraph" w:customStyle="1" w:styleId="Textbody">
    <w:name w:val="Text body"/>
    <w:basedOn w:val="Standard"/>
    <w:rsid w:val="00AE3C4E"/>
    <w:pPr>
      <w:autoSpaceDN w:val="0"/>
      <w:spacing w:after="140" w:line="276" w:lineRule="auto"/>
    </w:pPr>
    <w:rPr>
      <w:rFonts w:eastAsia="Noto Sans CJK SC" w:cs="Lohit Devanagari"/>
      <w:kern w:val="3"/>
    </w:rPr>
  </w:style>
  <w:style w:type="paragraph" w:customStyle="1" w:styleId="BodyText0">
    <w:name w:val="BodyText"/>
    <w:basedOn w:val="Normal"/>
    <w:qFormat/>
    <w:rsid w:val="00AE3C4E"/>
    <w:pPr>
      <w:suppressAutoHyphens/>
      <w:autoSpaceDN w:val="0"/>
      <w:spacing w:before="60" w:after="0" w:line="240" w:lineRule="exact"/>
      <w:ind w:firstLine="357"/>
      <w:jc w:val="both"/>
      <w:textAlignment w:val="baseline"/>
    </w:pPr>
    <w:rPr>
      <w:rFonts w:ascii="DejaVu Sans" w:eastAsia="DejaVu Sans Mono" w:hAnsi="DejaVu Sans" w:cs="DejaVu Sans"/>
      <w:kern w:val="3"/>
      <w:sz w:val="18"/>
      <w:szCs w:val="18"/>
      <w:lang w:eastAsia="zh-CN" w:bidi="hi-IN"/>
    </w:rPr>
  </w:style>
  <w:style w:type="character" w:customStyle="1" w:styleId="trs">
    <w:name w:val="trs"/>
    <w:basedOn w:val="DefaultParagraphFont"/>
    <w:rsid w:val="00AE3C4E"/>
  </w:style>
  <w:style w:type="table" w:customStyle="1" w:styleId="TableGrid8">
    <w:name w:val="Table Grid8"/>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Light">
    <w:name w:val="Grid Table Light"/>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2Accent3">
    <w:name w:val="List Table 2 Accent 3"/>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GridTable1LightAccent3">
    <w:name w:val="Grid Table 1 Light Accent 3"/>
    <w:basedOn w:val="TableNormal"/>
    <w:uiPriority w:val="46"/>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TableGrid9">
    <w:name w:val="Table Grid9"/>
    <w:basedOn w:val="TableNormal"/>
    <w:next w:val="TableGrid"/>
    <w:rsid w:val="00AE3C4E"/>
    <w:pPr>
      <w:spacing w:before="0" w:after="0" w:line="240" w:lineRule="auto"/>
    </w:pPr>
    <w:rPr>
      <w:rFonts w:ascii="Georgia" w:eastAsia="Calibri" w:hAnsi="Georgia" w:cs="Times New Roman"/>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stTable6ColorfulAccent3">
    <w:name w:val="List Table 6 Colorful Accent 3"/>
    <w:basedOn w:val="TableNormal"/>
    <w:uiPriority w:val="51"/>
    <w:rsid w:val="00AE3C4E"/>
    <w:pPr>
      <w:spacing w:before="0" w:after="0" w:line="240" w:lineRule="auto"/>
    </w:pPr>
    <w:rPr>
      <w:rFonts w:ascii="Calibri" w:eastAsia="Calibri" w:hAnsi="Calibri" w:cs="Times New Roman"/>
      <w:color w:val="76923C"/>
      <w:lang w:val="sr-Latn-RS" w:eastAsia="en-GB"/>
    </w:rPr>
    <w:tblPr>
      <w:tblStyleRowBandSize w:val="1"/>
      <w:tblStyleColBandSize w:val="1"/>
      <w:tblBorders>
        <w:top w:val="single" w:sz="4" w:space="0" w:color="9BBB59"/>
        <w:bottom w:val="single" w:sz="4" w:space="0" w:color="9BBB59"/>
      </w:tblBorders>
    </w:tblPr>
    <w:tblStylePr w:type="firstRow">
      <w:rPr>
        <w:b/>
        <w:bCs/>
      </w:rPr>
      <w:tblPr/>
      <w:tcPr>
        <w:tcBorders>
          <w:bottom w:val="single" w:sz="4" w:space="0" w:color="9BBB59"/>
        </w:tcBorders>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10">
    <w:name w:val="Table Grid10"/>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99"/>
    <w:rsid w:val="00AE3C4E"/>
    <w:pPr>
      <w:spacing w:before="0" w:after="0" w:line="240" w:lineRule="auto"/>
    </w:pPr>
    <w:rPr>
      <w:rFonts w:ascii="Calibri" w:eastAsia="Calibri" w:hAnsi="Calibri" w:cs="Times New Roman"/>
      <w:lang w:val="uz-Cyrl-UZ"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21">
    <w:name w:val="Table Grid21"/>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1Light-Accent111">
    <w:name w:val="List Table 1 Light - Accent 111"/>
    <w:basedOn w:val="TableNormal"/>
    <w:uiPriority w:val="46"/>
    <w:rsid w:val="00AE3C4E"/>
    <w:pPr>
      <w:spacing w:before="0" w:after="0" w:line="240" w:lineRule="auto"/>
    </w:pPr>
    <w:rPr>
      <w:rFonts w:ascii="Calibri" w:eastAsia="Calibri" w:hAnsi="Calibri" w:cs="Times New Roman"/>
      <w:lang w:eastAsia="en-GB"/>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31">
    <w:name w:val="Table Grid3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AE3C4E"/>
    <w:pPr>
      <w:spacing w:before="0" w:after="100" w:line="259" w:lineRule="auto"/>
      <w:ind w:left="660"/>
    </w:pPr>
    <w:rPr>
      <w:rFonts w:ascii="Calibri" w:eastAsia="Times New Roman" w:hAnsi="Calibri" w:cs="Times New Roman"/>
      <w:sz w:val="22"/>
      <w:szCs w:val="22"/>
      <w:lang w:val="sr-Cyrl-RS" w:eastAsia="sr-Cyrl-RS"/>
    </w:rPr>
  </w:style>
  <w:style w:type="paragraph" w:styleId="TOC6">
    <w:name w:val="toc 6"/>
    <w:basedOn w:val="Normal"/>
    <w:next w:val="Normal"/>
    <w:autoRedefine/>
    <w:uiPriority w:val="39"/>
    <w:unhideWhenUsed/>
    <w:rsid w:val="00AE3C4E"/>
    <w:pPr>
      <w:spacing w:before="0" w:after="100" w:line="259" w:lineRule="auto"/>
      <w:ind w:left="1100"/>
    </w:pPr>
    <w:rPr>
      <w:rFonts w:ascii="Calibri" w:eastAsia="Times New Roman" w:hAnsi="Calibri" w:cs="Times New Roman"/>
      <w:sz w:val="22"/>
      <w:szCs w:val="22"/>
      <w:lang w:val="sr-Cyrl-RS" w:eastAsia="sr-Cyrl-RS"/>
    </w:rPr>
  </w:style>
  <w:style w:type="paragraph" w:styleId="TOC7">
    <w:name w:val="toc 7"/>
    <w:basedOn w:val="Normal"/>
    <w:next w:val="Normal"/>
    <w:autoRedefine/>
    <w:uiPriority w:val="39"/>
    <w:unhideWhenUsed/>
    <w:rsid w:val="00AE3C4E"/>
    <w:pPr>
      <w:spacing w:before="0" w:after="100" w:line="259" w:lineRule="auto"/>
      <w:ind w:left="1320"/>
    </w:pPr>
    <w:rPr>
      <w:rFonts w:ascii="Calibri" w:eastAsia="Times New Roman" w:hAnsi="Calibri" w:cs="Times New Roman"/>
      <w:sz w:val="22"/>
      <w:szCs w:val="22"/>
      <w:lang w:val="sr-Cyrl-RS" w:eastAsia="sr-Cyrl-RS"/>
    </w:rPr>
  </w:style>
  <w:style w:type="paragraph" w:styleId="TOC8">
    <w:name w:val="toc 8"/>
    <w:basedOn w:val="Normal"/>
    <w:next w:val="Normal"/>
    <w:autoRedefine/>
    <w:uiPriority w:val="39"/>
    <w:unhideWhenUsed/>
    <w:rsid w:val="00AE3C4E"/>
    <w:pPr>
      <w:spacing w:before="0" w:after="100" w:line="259" w:lineRule="auto"/>
      <w:ind w:left="1540"/>
    </w:pPr>
    <w:rPr>
      <w:rFonts w:ascii="Calibri" w:eastAsia="Times New Roman" w:hAnsi="Calibri" w:cs="Times New Roman"/>
      <w:sz w:val="22"/>
      <w:szCs w:val="22"/>
      <w:lang w:val="sr-Cyrl-RS" w:eastAsia="sr-Cyrl-RS"/>
    </w:rPr>
  </w:style>
  <w:style w:type="paragraph" w:styleId="TOC9">
    <w:name w:val="toc 9"/>
    <w:basedOn w:val="Normal"/>
    <w:next w:val="Normal"/>
    <w:autoRedefine/>
    <w:uiPriority w:val="39"/>
    <w:unhideWhenUsed/>
    <w:rsid w:val="00AE3C4E"/>
    <w:pPr>
      <w:spacing w:before="0" w:after="100" w:line="259" w:lineRule="auto"/>
      <w:ind w:left="1760"/>
    </w:pPr>
    <w:rPr>
      <w:rFonts w:ascii="Calibri" w:eastAsia="Times New Roman" w:hAnsi="Calibri" w:cs="Times New Roman"/>
      <w:sz w:val="22"/>
      <w:szCs w:val="22"/>
      <w:lang w:val="sr-Cyrl-RS" w:eastAsia="sr-Cyrl-RS"/>
    </w:rPr>
  </w:style>
  <w:style w:type="character" w:customStyle="1" w:styleId="UnresolvedMention8">
    <w:name w:val="Unresolved Mention8"/>
    <w:uiPriority w:val="99"/>
    <w:semiHidden/>
    <w:unhideWhenUsed/>
    <w:rsid w:val="00AE3C4E"/>
    <w:rPr>
      <w:color w:val="605E5C"/>
      <w:shd w:val="clear" w:color="auto" w:fill="E1DFDD"/>
    </w:rPr>
  </w:style>
  <w:style w:type="table" w:customStyle="1" w:styleId="PlainTable3">
    <w:name w:val="Plain Table 3"/>
    <w:basedOn w:val="TableNormal"/>
    <w:uiPriority w:val="43"/>
    <w:rsid w:val="00AE3C4E"/>
    <w:pPr>
      <w:spacing w:before="0" w:after="0" w:line="240" w:lineRule="auto"/>
    </w:pPr>
    <w:rPr>
      <w:rFonts w:ascii="Calibri" w:eastAsia="Calibri" w:hAnsi="Calibri" w:cs="Times New Roman"/>
      <w:lang w:val="sr-Latn-RS"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GridTable1Light-Accent31">
    <w:name w:val="Grid Table 1 Light - Accent 31"/>
    <w:basedOn w:val="TableNormal"/>
    <w:next w:val="GridTable1LightAccent3"/>
    <w:uiPriority w:val="46"/>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character" w:customStyle="1" w:styleId="UnresolvedMention9">
    <w:name w:val="Unresolved Mention9"/>
    <w:uiPriority w:val="99"/>
    <w:semiHidden/>
    <w:unhideWhenUsed/>
    <w:rsid w:val="00AE3C4E"/>
    <w:rPr>
      <w:color w:val="605E5C"/>
      <w:shd w:val="clear" w:color="auto" w:fill="E1DFDD"/>
    </w:rPr>
  </w:style>
  <w:style w:type="table" w:customStyle="1" w:styleId="TableGrid16">
    <w:name w:val="Table Grid16"/>
    <w:basedOn w:val="TableNormal"/>
    <w:next w:val="TableGrid"/>
    <w:uiPriority w:val="39"/>
    <w:rsid w:val="00AE3C4E"/>
    <w:pPr>
      <w:spacing w:before="0"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0">
    <w:name w:val="Unresolved Mention10"/>
    <w:uiPriority w:val="99"/>
    <w:semiHidden/>
    <w:unhideWhenUsed/>
    <w:rsid w:val="00AE3C4E"/>
    <w:rPr>
      <w:color w:val="605E5C"/>
      <w:shd w:val="clear" w:color="auto" w:fill="E1DFDD"/>
    </w:rPr>
  </w:style>
  <w:style w:type="table" w:customStyle="1" w:styleId="ListTable2-Accent31">
    <w:name w:val="List Table 2 - Accent 31"/>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Light1">
    <w:name w:val="Table Grid Light1"/>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UnresolvedMention12">
    <w:name w:val="Unresolved Mention12"/>
    <w:uiPriority w:val="99"/>
    <w:semiHidden/>
    <w:unhideWhenUsed/>
    <w:rsid w:val="00AE3C4E"/>
    <w:rPr>
      <w:color w:val="605E5C"/>
      <w:shd w:val="clear" w:color="auto" w:fill="E1DFDD"/>
    </w:rPr>
  </w:style>
  <w:style w:type="paragraph" w:customStyle="1" w:styleId="Style1">
    <w:name w:val="Style1"/>
    <w:basedOn w:val="Heading4"/>
    <w:link w:val="Style1Char"/>
    <w:qFormat/>
    <w:rsid w:val="00AE3C4E"/>
    <w:pPr>
      <w:keepNext/>
      <w:keepLines/>
      <w:pBdr>
        <w:top w:val="none" w:sz="0" w:space="0" w:color="auto"/>
      </w:pBdr>
      <w:suppressAutoHyphens/>
      <w:autoSpaceDN w:val="0"/>
      <w:spacing w:before="240" w:after="60" w:line="240" w:lineRule="auto"/>
      <w:jc w:val="both"/>
      <w:textAlignment w:val="baseline"/>
    </w:pPr>
    <w:rPr>
      <w:rFonts w:ascii="Times New Roman" w:eastAsia="Calibri" w:hAnsi="Times New Roman" w:cs="Times New Roman"/>
      <w:i/>
      <w:iCs/>
      <w:caps w:val="0"/>
      <w:color w:val="365F91"/>
      <w:spacing w:val="0"/>
      <w:kern w:val="3"/>
      <w:sz w:val="24"/>
      <w:szCs w:val="24"/>
      <w:lang w:val="de-DE"/>
    </w:rPr>
  </w:style>
  <w:style w:type="character" w:customStyle="1" w:styleId="UnresolvedMention13">
    <w:name w:val="Unresolved Mention13"/>
    <w:uiPriority w:val="99"/>
    <w:semiHidden/>
    <w:unhideWhenUsed/>
    <w:rsid w:val="00AE3C4E"/>
    <w:rPr>
      <w:color w:val="605E5C"/>
      <w:shd w:val="clear" w:color="auto" w:fill="E1DFDD"/>
    </w:rPr>
  </w:style>
  <w:style w:type="character" w:customStyle="1" w:styleId="Style1Char">
    <w:name w:val="Style1 Char"/>
    <w:link w:val="Style1"/>
    <w:rsid w:val="00AE3C4E"/>
    <w:rPr>
      <w:rFonts w:ascii="Times New Roman" w:eastAsia="Calibri" w:hAnsi="Times New Roman" w:cs="Times New Roman"/>
      <w:i/>
      <w:iCs/>
      <w:color w:val="365F91"/>
      <w:kern w:val="3"/>
      <w:sz w:val="24"/>
      <w:szCs w:val="24"/>
      <w:lang w:val="de-DE"/>
    </w:rPr>
  </w:style>
  <w:style w:type="character" w:customStyle="1" w:styleId="UnresolvedMention14">
    <w:name w:val="Unresolved Mention14"/>
    <w:uiPriority w:val="99"/>
    <w:semiHidden/>
    <w:unhideWhenUsed/>
    <w:rsid w:val="00AE3C4E"/>
    <w:rPr>
      <w:color w:val="605E5C"/>
      <w:shd w:val="clear" w:color="auto" w:fill="E1DFDD"/>
    </w:rPr>
  </w:style>
  <w:style w:type="table" w:customStyle="1" w:styleId="ListTable1LightAccent3">
    <w:name w:val="List Table 1 Light Accent 3"/>
    <w:basedOn w:val="TableNormal"/>
    <w:uiPriority w:val="46"/>
    <w:rsid w:val="00AE3C4E"/>
    <w:pPr>
      <w:spacing w:before="0" w:after="0" w:line="240" w:lineRule="auto"/>
    </w:pPr>
    <w:rPr>
      <w:rFonts w:ascii="Calibri" w:eastAsia="Calibri" w:hAnsi="Calibri" w:cs="Times New Roman"/>
      <w:lang w:val="en-GB" w:eastAsia="en-GB"/>
    </w:rPr>
    <w:tblPr>
      <w:tblStyleRowBandSize w:val="1"/>
      <w:tblStyleColBandSize w:val="1"/>
    </w:tblPr>
    <w:tblStylePr w:type="firstRow">
      <w:rPr>
        <w:b/>
        <w:bCs/>
      </w:rPr>
      <w:tblPr/>
      <w:tcPr>
        <w:tcBorders>
          <w:bottom w:val="single" w:sz="4" w:space="0" w:color="C2D69B"/>
        </w:tcBorders>
      </w:tcPr>
    </w:tblStylePr>
    <w:tblStylePr w:type="lastRow">
      <w:rPr>
        <w:b/>
        <w:bCs/>
      </w:rPr>
      <w:tblPr/>
      <w:tcPr>
        <w:tcBorders>
          <w:top w:val="single" w:sz="4" w:space="0" w:color="C2D69B"/>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17">
    <w:name w:val="Table Grid17"/>
    <w:basedOn w:val="TableNormal"/>
    <w:next w:val="TableGrid"/>
    <w:uiPriority w:val="39"/>
    <w:rsid w:val="00AE3C4E"/>
    <w:pPr>
      <w:spacing w:before="0"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6ColorfulAccent6">
    <w:name w:val="List Table 6 Colorful Accent 6"/>
    <w:basedOn w:val="TableNormal"/>
    <w:uiPriority w:val="51"/>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79646"/>
        <w:bottom w:val="single" w:sz="4" w:space="0" w:color="F79646"/>
      </w:tblBorders>
    </w:tblPr>
    <w:tblStylePr w:type="firstRow">
      <w:rPr>
        <w:b/>
        <w:bCs/>
      </w:rPr>
      <w:tblPr/>
      <w:tcPr>
        <w:tcBorders>
          <w:bottom w:val="single" w:sz="4" w:space="0" w:color="F79646"/>
        </w:tcBorders>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7ColorfulAccent6">
    <w:name w:val="Grid Table 7 Colorful Accent 6"/>
    <w:basedOn w:val="TableNormal"/>
    <w:uiPriority w:val="52"/>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9D9"/>
      </w:tcPr>
    </w:tblStylePr>
    <w:tblStylePr w:type="band1Horz">
      <w:tblPr/>
      <w:tcPr>
        <w:shd w:val="clear" w:color="auto" w:fill="FDE9D9"/>
      </w:tcPr>
    </w:tblStylePr>
    <w:tblStylePr w:type="neCell">
      <w:tblPr/>
      <w:tcPr>
        <w:tcBorders>
          <w:bottom w:val="single" w:sz="4" w:space="0" w:color="FABF8F"/>
        </w:tcBorders>
      </w:tcPr>
    </w:tblStylePr>
    <w:tblStylePr w:type="nwCell">
      <w:tblPr/>
      <w:tcPr>
        <w:tcBorders>
          <w:bottom w:val="single" w:sz="4" w:space="0" w:color="FABF8F"/>
        </w:tcBorders>
      </w:tcPr>
    </w:tblStylePr>
    <w:tblStylePr w:type="seCell">
      <w:tblPr/>
      <w:tcPr>
        <w:tcBorders>
          <w:top w:val="single" w:sz="4" w:space="0" w:color="FABF8F"/>
        </w:tcBorders>
      </w:tcPr>
    </w:tblStylePr>
    <w:tblStylePr w:type="swCell">
      <w:tblPr/>
      <w:tcPr>
        <w:tcBorders>
          <w:top w:val="single" w:sz="4" w:space="0" w:color="FABF8F"/>
        </w:tcBorders>
      </w:tcPr>
    </w:tblStylePr>
  </w:style>
  <w:style w:type="table" w:customStyle="1" w:styleId="ListTable2-Accent311">
    <w:name w:val="List Table 2 - Accent 311"/>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Light11">
    <w:name w:val="Table Grid Light11"/>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6Colorful-Accent61">
    <w:name w:val="List Table 6 Colorful - Accent 61"/>
    <w:basedOn w:val="TableNormal"/>
    <w:uiPriority w:val="51"/>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79646"/>
        <w:bottom w:val="single" w:sz="4" w:space="0" w:color="F79646"/>
      </w:tblBorders>
    </w:tblPr>
    <w:tblStylePr w:type="firstRow">
      <w:rPr>
        <w:b/>
        <w:bCs/>
      </w:rPr>
      <w:tblPr/>
      <w:tcPr>
        <w:tcBorders>
          <w:bottom w:val="single" w:sz="4" w:space="0" w:color="F79646"/>
        </w:tcBorders>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7Colorful-Accent61">
    <w:name w:val="Grid Table 7 Colorful - Accent 61"/>
    <w:basedOn w:val="TableNormal"/>
    <w:uiPriority w:val="52"/>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9D9"/>
      </w:tcPr>
    </w:tblStylePr>
    <w:tblStylePr w:type="band1Horz">
      <w:tblPr/>
      <w:tcPr>
        <w:shd w:val="clear" w:color="auto" w:fill="FDE9D9"/>
      </w:tcPr>
    </w:tblStylePr>
    <w:tblStylePr w:type="neCell">
      <w:tblPr/>
      <w:tcPr>
        <w:tcBorders>
          <w:bottom w:val="single" w:sz="4" w:space="0" w:color="FABF8F"/>
        </w:tcBorders>
      </w:tcPr>
    </w:tblStylePr>
    <w:tblStylePr w:type="nwCell">
      <w:tblPr/>
      <w:tcPr>
        <w:tcBorders>
          <w:bottom w:val="single" w:sz="4" w:space="0" w:color="FABF8F"/>
        </w:tcBorders>
      </w:tcPr>
    </w:tblStylePr>
    <w:tblStylePr w:type="seCell">
      <w:tblPr/>
      <w:tcPr>
        <w:tcBorders>
          <w:top w:val="single" w:sz="4" w:space="0" w:color="FABF8F"/>
        </w:tcBorders>
      </w:tcPr>
    </w:tblStylePr>
    <w:tblStylePr w:type="swCell">
      <w:tblPr/>
      <w:tcPr>
        <w:tcBorders>
          <w:top w:val="single" w:sz="4" w:space="0" w:color="FABF8F"/>
        </w:tcBorders>
      </w:tcPr>
    </w:tblStylePr>
  </w:style>
  <w:style w:type="table" w:customStyle="1" w:styleId="ListTable6Colorful-Accent31">
    <w:name w:val="List Table 6 Colorful - Accent 31"/>
    <w:basedOn w:val="TableNormal"/>
    <w:uiPriority w:val="51"/>
    <w:rsid w:val="00AE3C4E"/>
    <w:pPr>
      <w:spacing w:before="0" w:after="0" w:line="240" w:lineRule="auto"/>
    </w:pPr>
    <w:rPr>
      <w:rFonts w:ascii="Calibri" w:eastAsia="Calibri" w:hAnsi="Calibri" w:cs="Times New Roman"/>
      <w:color w:val="76923C"/>
      <w:lang w:val="sr-Latn-RS" w:eastAsia="en-GB"/>
    </w:rPr>
    <w:tblPr>
      <w:tblStyleRowBandSize w:val="1"/>
      <w:tblStyleColBandSize w:val="1"/>
      <w:tblBorders>
        <w:top w:val="single" w:sz="4" w:space="0" w:color="9BBB59"/>
        <w:bottom w:val="single" w:sz="4" w:space="0" w:color="9BBB59"/>
      </w:tblBorders>
    </w:tblPr>
    <w:tblStylePr w:type="firstRow">
      <w:rPr>
        <w:b/>
        <w:bCs/>
      </w:rPr>
      <w:tblPr/>
      <w:tcPr>
        <w:tcBorders>
          <w:bottom w:val="single" w:sz="4" w:space="0" w:color="9BBB59"/>
        </w:tcBorders>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PlainTable32">
    <w:name w:val="Plain Table 32"/>
    <w:basedOn w:val="TableNormal"/>
    <w:uiPriority w:val="43"/>
    <w:rsid w:val="00AE3C4E"/>
    <w:pPr>
      <w:spacing w:before="0" w:after="0" w:line="240" w:lineRule="auto"/>
    </w:pPr>
    <w:rPr>
      <w:rFonts w:ascii="Calibri" w:eastAsia="Calibri" w:hAnsi="Calibri" w:cs="Times New Roman"/>
      <w:lang w:val="sr-Latn-RS"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UnresolvedMention15">
    <w:name w:val="Unresolved Mention15"/>
    <w:uiPriority w:val="99"/>
    <w:semiHidden/>
    <w:unhideWhenUsed/>
    <w:rsid w:val="00AE3C4E"/>
    <w:rPr>
      <w:color w:val="605E5C"/>
      <w:shd w:val="clear" w:color="auto" w:fill="E1DFDD"/>
    </w:rPr>
  </w:style>
  <w:style w:type="paragraph" w:customStyle="1" w:styleId="xmsobodytext">
    <w:name w:val="x_msobodytext"/>
    <w:basedOn w:val="Normal"/>
    <w:rsid w:val="00AE3C4E"/>
    <w:pPr>
      <w:spacing w:beforeAutospacing="1" w:after="100" w:afterAutospacing="1" w:line="240" w:lineRule="auto"/>
    </w:pPr>
    <w:rPr>
      <w:rFonts w:ascii="Times New Roman" w:eastAsia="Times New Roman" w:hAnsi="Times New Roman" w:cs="Times New Roman"/>
      <w:sz w:val="24"/>
      <w:szCs w:val="24"/>
      <w:lang w:val="sr-Latn-RS" w:eastAsia="sr-Latn-RS"/>
    </w:rPr>
  </w:style>
  <w:style w:type="paragraph" w:customStyle="1" w:styleId="xmsonormal">
    <w:name w:val="x_msonormal"/>
    <w:basedOn w:val="Normal"/>
    <w:rsid w:val="00AE3C4E"/>
    <w:pPr>
      <w:spacing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UnresolvedMention16">
    <w:name w:val="Unresolved Mention16"/>
    <w:uiPriority w:val="99"/>
    <w:semiHidden/>
    <w:unhideWhenUsed/>
    <w:rsid w:val="00AE3C4E"/>
    <w:rPr>
      <w:color w:val="605E5C"/>
      <w:shd w:val="clear" w:color="auto" w:fill="E1DFDD"/>
    </w:rPr>
  </w:style>
  <w:style w:type="table" w:customStyle="1" w:styleId="TableGrid19">
    <w:name w:val="Table Grid19"/>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2">
    <w:name w:val="Plain Table 312"/>
    <w:basedOn w:val="TableNormal"/>
    <w:uiPriority w:val="99"/>
    <w:rsid w:val="00AE3C4E"/>
    <w:pPr>
      <w:spacing w:before="0" w:after="0" w:line="240" w:lineRule="auto"/>
    </w:pPr>
    <w:rPr>
      <w:rFonts w:ascii="Calibri" w:eastAsia="Calibri" w:hAnsi="Calibri" w:cs="Times New Roman"/>
      <w:lang w:val="uz-Cyrl-UZ"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22">
    <w:name w:val="Table Grid22"/>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1Light-Accent112">
    <w:name w:val="List Table 1 Light - Accent 112"/>
    <w:basedOn w:val="TableNormal"/>
    <w:uiPriority w:val="46"/>
    <w:rsid w:val="00AE3C4E"/>
    <w:pPr>
      <w:spacing w:before="0" w:after="0" w:line="240" w:lineRule="auto"/>
    </w:pPr>
    <w:rPr>
      <w:rFonts w:ascii="Calibri" w:eastAsia="Calibri" w:hAnsi="Calibri" w:cs="Times New Roman"/>
      <w:lang w:eastAsia="en-GB"/>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32">
    <w:name w:val="Table Grid3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
    <w:name w:val="Table Grid72"/>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
    <w:name w:val="Table Grid82"/>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2">
    <w:name w:val="Table Grid Light2"/>
    <w:basedOn w:val="TableNormal"/>
    <w:next w:val="GridTableLight"/>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2-Accent32">
    <w:name w:val="List Table 2 - Accent 32"/>
    <w:basedOn w:val="TableNormal"/>
    <w:next w:val="ListTable2Accent3"/>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GridTable1Light-Accent32">
    <w:name w:val="Grid Table 1 Light - Accent 32"/>
    <w:basedOn w:val="TableNormal"/>
    <w:next w:val="GridTable1LightAccent3"/>
    <w:uiPriority w:val="46"/>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TableGrid91">
    <w:name w:val="Table Grid91"/>
    <w:basedOn w:val="TableNormal"/>
    <w:next w:val="TableGrid"/>
    <w:rsid w:val="00AE3C4E"/>
    <w:pPr>
      <w:spacing w:before="0" w:after="0" w:line="240" w:lineRule="auto"/>
    </w:pPr>
    <w:rPr>
      <w:rFonts w:ascii="Georgia" w:eastAsia="Calibri" w:hAnsi="Georgia" w:cs="Times New Roman"/>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stTable6Colorful-Accent32">
    <w:name w:val="List Table 6 Colorful - Accent 32"/>
    <w:basedOn w:val="TableNormal"/>
    <w:next w:val="ListTable6ColorfulAccent3"/>
    <w:uiPriority w:val="51"/>
    <w:rsid w:val="00AE3C4E"/>
    <w:pPr>
      <w:spacing w:before="0" w:after="0" w:line="240" w:lineRule="auto"/>
    </w:pPr>
    <w:rPr>
      <w:rFonts w:ascii="Calibri" w:eastAsia="Calibri" w:hAnsi="Calibri" w:cs="Times New Roman"/>
      <w:color w:val="76923C"/>
      <w:lang w:val="sr-Latn-RS" w:eastAsia="en-GB"/>
    </w:rPr>
    <w:tblPr>
      <w:tblStyleRowBandSize w:val="1"/>
      <w:tblStyleColBandSize w:val="1"/>
      <w:tblBorders>
        <w:top w:val="single" w:sz="4" w:space="0" w:color="9BBB59"/>
        <w:bottom w:val="single" w:sz="4" w:space="0" w:color="9BBB59"/>
      </w:tblBorders>
    </w:tblPr>
    <w:tblStylePr w:type="firstRow">
      <w:rPr>
        <w:b/>
        <w:bCs/>
      </w:rPr>
      <w:tblPr/>
      <w:tcPr>
        <w:tcBorders>
          <w:bottom w:val="single" w:sz="4" w:space="0" w:color="9BBB59"/>
        </w:tcBorders>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101">
    <w:name w:val="Table Grid10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
    <w:name w:val="No List31"/>
    <w:next w:val="NoList"/>
    <w:uiPriority w:val="99"/>
    <w:semiHidden/>
    <w:unhideWhenUsed/>
    <w:rsid w:val="00AE3C4E"/>
  </w:style>
  <w:style w:type="table" w:customStyle="1" w:styleId="TableGrid131">
    <w:name w:val="Table Grid13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
    <w:name w:val="Table Grid141"/>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1">
    <w:name w:val="Plain Table 3111"/>
    <w:basedOn w:val="TableNormal"/>
    <w:uiPriority w:val="99"/>
    <w:rsid w:val="00AE3C4E"/>
    <w:pPr>
      <w:spacing w:before="0" w:after="0" w:line="240" w:lineRule="auto"/>
    </w:pPr>
    <w:rPr>
      <w:rFonts w:ascii="Calibri" w:eastAsia="Calibri" w:hAnsi="Calibri" w:cs="Times New Roman"/>
      <w:lang w:val="uz-Cyrl-UZ"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211">
    <w:name w:val="Table Grid211"/>
    <w:basedOn w:val="TableNormal"/>
    <w:next w:val="TableGrid"/>
    <w:uiPriority w:val="5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1Light-Accent1111">
    <w:name w:val="List Table 1 Light - Accent 1111"/>
    <w:basedOn w:val="TableNormal"/>
    <w:uiPriority w:val="46"/>
    <w:rsid w:val="00AE3C4E"/>
    <w:pPr>
      <w:spacing w:before="0" w:after="0" w:line="240" w:lineRule="auto"/>
    </w:pPr>
    <w:rPr>
      <w:rFonts w:ascii="Calibri" w:eastAsia="Calibri" w:hAnsi="Calibri" w:cs="Times New Roman"/>
      <w:lang w:eastAsia="en-GB"/>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311">
    <w:name w:val="Table Grid3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
    <w:name w:val="Table Grid5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
    <w:name w:val="Table Grid6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
    <w:name w:val="Table Grid711"/>
    <w:basedOn w:val="TableNormal"/>
    <w:next w:val="TableGrid"/>
    <w:uiPriority w:val="59"/>
    <w:rsid w:val="00AE3C4E"/>
    <w:pPr>
      <w:spacing w:before="0" w:after="0" w:line="240" w:lineRule="auto"/>
      <w:jc w:val="both"/>
    </w:pPr>
    <w:rPr>
      <w:rFonts w:ascii="Arial Narrow" w:eastAsia="Calibri" w:hAnsi="Arial Narrow"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
    <w:name w:val="No List211"/>
    <w:next w:val="NoList"/>
    <w:uiPriority w:val="99"/>
    <w:semiHidden/>
    <w:unhideWhenUsed/>
    <w:rsid w:val="00AE3C4E"/>
  </w:style>
  <w:style w:type="table" w:customStyle="1" w:styleId="TableGrid811">
    <w:name w:val="Table Grid811"/>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
    <w:name w:val="Table Grid151"/>
    <w:basedOn w:val="TableNormal"/>
    <w:next w:val="TableGrid"/>
    <w:uiPriority w:val="39"/>
    <w:rsid w:val="00AE3C4E"/>
    <w:pPr>
      <w:spacing w:before="120" w:after="0" w:line="240" w:lineRule="auto"/>
      <w:jc w:val="both"/>
    </w:pPr>
    <w:rPr>
      <w:rFonts w:ascii="Calibri" w:eastAsia="Calibri" w:hAnsi="Calibri" w:cs="Times New Roman"/>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3">
    <w:name w:val="Plain Table 33"/>
    <w:basedOn w:val="TableNormal"/>
    <w:next w:val="PlainTable3"/>
    <w:uiPriority w:val="43"/>
    <w:rsid w:val="00AE3C4E"/>
    <w:pPr>
      <w:spacing w:before="0" w:after="0" w:line="240" w:lineRule="auto"/>
    </w:pPr>
    <w:rPr>
      <w:rFonts w:ascii="Calibri" w:eastAsia="Calibri" w:hAnsi="Calibri" w:cs="Times New Roman"/>
      <w:lang w:val="sr-Latn-RS"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GridTable1Light-Accent311">
    <w:name w:val="Grid Table 1 Light - Accent 311"/>
    <w:basedOn w:val="TableNormal"/>
    <w:next w:val="GridTable1LightAccent3"/>
    <w:uiPriority w:val="46"/>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Pr>
    <w:tblStylePr w:type="firstRow">
      <w:rPr>
        <w:b/>
        <w:bCs/>
      </w:rPr>
      <w:tblPr/>
      <w:tcPr>
        <w:tcBorders>
          <w:bottom w:val="single" w:sz="12" w:space="0" w:color="C2D69B"/>
        </w:tcBorders>
      </w:tcPr>
    </w:tblStylePr>
    <w:tblStylePr w:type="lastRow">
      <w:rPr>
        <w:b/>
        <w:bCs/>
      </w:rPr>
      <w:tblPr/>
      <w:tcPr>
        <w:tcBorders>
          <w:top w:val="double" w:sz="2" w:space="0" w:color="C2D69B"/>
        </w:tcBorders>
      </w:tcPr>
    </w:tblStylePr>
    <w:tblStylePr w:type="firstCol">
      <w:rPr>
        <w:b/>
        <w:bCs/>
      </w:rPr>
    </w:tblStylePr>
    <w:tblStylePr w:type="lastCol">
      <w:rPr>
        <w:b/>
        <w:bCs/>
      </w:rPr>
    </w:tblStylePr>
  </w:style>
  <w:style w:type="table" w:customStyle="1" w:styleId="TableGrid161">
    <w:name w:val="Table Grid161"/>
    <w:basedOn w:val="TableNormal"/>
    <w:next w:val="TableGrid"/>
    <w:uiPriority w:val="39"/>
    <w:rsid w:val="00AE3C4E"/>
    <w:pPr>
      <w:spacing w:before="0"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2-Accent312">
    <w:name w:val="List Table 2 - Accent 312"/>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Light12">
    <w:name w:val="Table Grid Light12"/>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1Light-Accent31">
    <w:name w:val="List Table 1 Light - Accent 31"/>
    <w:basedOn w:val="TableNormal"/>
    <w:next w:val="ListTable1LightAccent3"/>
    <w:uiPriority w:val="46"/>
    <w:rsid w:val="00AE3C4E"/>
    <w:pPr>
      <w:spacing w:before="0" w:after="0" w:line="240" w:lineRule="auto"/>
    </w:pPr>
    <w:rPr>
      <w:rFonts w:ascii="Calibri" w:eastAsia="Calibri" w:hAnsi="Calibri" w:cs="Times New Roman"/>
      <w:lang w:val="en-GB" w:eastAsia="en-GB"/>
    </w:rPr>
    <w:tblPr>
      <w:tblStyleRowBandSize w:val="1"/>
      <w:tblStyleColBandSize w:val="1"/>
    </w:tblPr>
    <w:tblStylePr w:type="firstRow">
      <w:rPr>
        <w:b/>
        <w:bCs/>
      </w:rPr>
      <w:tblPr/>
      <w:tcPr>
        <w:tcBorders>
          <w:bottom w:val="single" w:sz="4" w:space="0" w:color="C2D69B"/>
        </w:tcBorders>
      </w:tcPr>
    </w:tblStylePr>
    <w:tblStylePr w:type="lastRow">
      <w:rPr>
        <w:b/>
        <w:bCs/>
      </w:rPr>
      <w:tblPr/>
      <w:tcPr>
        <w:tcBorders>
          <w:top w:val="single" w:sz="4" w:space="0" w:color="C2D69B"/>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NoList41">
    <w:name w:val="No List41"/>
    <w:next w:val="NoList"/>
    <w:uiPriority w:val="99"/>
    <w:semiHidden/>
    <w:unhideWhenUsed/>
    <w:rsid w:val="00AE3C4E"/>
  </w:style>
  <w:style w:type="table" w:customStyle="1" w:styleId="TableGrid171">
    <w:name w:val="Table Grid171"/>
    <w:basedOn w:val="TableNormal"/>
    <w:next w:val="TableGrid"/>
    <w:uiPriority w:val="39"/>
    <w:rsid w:val="00AE3C4E"/>
    <w:pPr>
      <w:spacing w:before="0" w:after="0" w:line="240" w:lineRule="auto"/>
    </w:pPr>
    <w:rPr>
      <w:rFonts w:ascii="Calibri" w:eastAsia="Calibri" w:hAnsi="Calibri"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1">
    <w:name w:val="Table Grid181"/>
    <w:basedOn w:val="TableNormal"/>
    <w:next w:val="TableGrid"/>
    <w:uiPriority w:val="39"/>
    <w:rsid w:val="00AE3C4E"/>
    <w:pPr>
      <w:spacing w:before="120" w:after="0" w:line="240" w:lineRule="auto"/>
      <w:jc w:val="both"/>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6Colorful-Accent62">
    <w:name w:val="List Table 6 Colorful - Accent 62"/>
    <w:basedOn w:val="TableNormal"/>
    <w:next w:val="ListTable6ColorfulAccent6"/>
    <w:uiPriority w:val="51"/>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79646"/>
        <w:bottom w:val="single" w:sz="4" w:space="0" w:color="F79646"/>
      </w:tblBorders>
    </w:tblPr>
    <w:tblStylePr w:type="firstRow">
      <w:rPr>
        <w:b/>
        <w:bCs/>
      </w:rPr>
      <w:tblPr/>
      <w:tcPr>
        <w:tcBorders>
          <w:bottom w:val="single" w:sz="4" w:space="0" w:color="F79646"/>
        </w:tcBorders>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7Colorful-Accent62">
    <w:name w:val="Grid Table 7 Colorful - Accent 62"/>
    <w:basedOn w:val="TableNormal"/>
    <w:next w:val="GridTable7ColorfulAccent6"/>
    <w:uiPriority w:val="52"/>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9D9"/>
      </w:tcPr>
    </w:tblStylePr>
    <w:tblStylePr w:type="band1Horz">
      <w:tblPr/>
      <w:tcPr>
        <w:shd w:val="clear" w:color="auto" w:fill="FDE9D9"/>
      </w:tcPr>
    </w:tblStylePr>
    <w:tblStylePr w:type="neCell">
      <w:tblPr/>
      <w:tcPr>
        <w:tcBorders>
          <w:bottom w:val="single" w:sz="4" w:space="0" w:color="FABF8F"/>
        </w:tcBorders>
      </w:tcPr>
    </w:tblStylePr>
    <w:tblStylePr w:type="nwCell">
      <w:tblPr/>
      <w:tcPr>
        <w:tcBorders>
          <w:bottom w:val="single" w:sz="4" w:space="0" w:color="FABF8F"/>
        </w:tcBorders>
      </w:tcPr>
    </w:tblStylePr>
    <w:tblStylePr w:type="seCell">
      <w:tblPr/>
      <w:tcPr>
        <w:tcBorders>
          <w:top w:val="single" w:sz="4" w:space="0" w:color="FABF8F"/>
        </w:tcBorders>
      </w:tcPr>
    </w:tblStylePr>
    <w:tblStylePr w:type="swCell">
      <w:tblPr/>
      <w:tcPr>
        <w:tcBorders>
          <w:top w:val="single" w:sz="4" w:space="0" w:color="FABF8F"/>
        </w:tcBorders>
      </w:tcPr>
    </w:tblStylePr>
  </w:style>
  <w:style w:type="table" w:customStyle="1" w:styleId="ListTable2-Accent3111">
    <w:name w:val="List Table 2 - Accent 3111"/>
    <w:basedOn w:val="TableNormal"/>
    <w:uiPriority w:val="47"/>
    <w:rsid w:val="00AE3C4E"/>
    <w:pPr>
      <w:spacing w:before="0" w:after="0" w:line="240" w:lineRule="auto"/>
    </w:pPr>
    <w:rPr>
      <w:rFonts w:ascii="Calibri" w:eastAsia="Calibri" w:hAnsi="Calibri" w:cs="Times New Roman"/>
      <w:lang w:val="sr-Latn-RS" w:eastAsia="en-GB"/>
    </w:rPr>
    <w:tblPr>
      <w:tblStyleRowBandSize w:val="1"/>
      <w:tblStyleColBandSize w:val="1"/>
      <w:tblBorders>
        <w:top w:val="single" w:sz="4" w:space="0" w:color="C2D69B"/>
        <w:bottom w:val="single" w:sz="4" w:space="0" w:color="C2D69B"/>
        <w:insideH w:val="single" w:sz="4" w:space="0" w:color="C2D69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eGridLight111">
    <w:name w:val="Table Grid Light111"/>
    <w:basedOn w:val="TableNormal"/>
    <w:uiPriority w:val="40"/>
    <w:rsid w:val="00AE3C4E"/>
    <w:pPr>
      <w:spacing w:before="0" w:after="0" w:line="240" w:lineRule="auto"/>
    </w:pPr>
    <w:rPr>
      <w:rFonts w:ascii="Calibri" w:eastAsia="Calibri" w:hAnsi="Calibri" w:cs="Times New Roman"/>
      <w:lang w:val="sr-Latn-RS" w:eastAsia="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6Colorful-Accent611">
    <w:name w:val="List Table 6 Colorful - Accent 611"/>
    <w:basedOn w:val="TableNormal"/>
    <w:uiPriority w:val="51"/>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79646"/>
        <w:bottom w:val="single" w:sz="4" w:space="0" w:color="F79646"/>
      </w:tblBorders>
    </w:tblPr>
    <w:tblStylePr w:type="firstRow">
      <w:rPr>
        <w:b/>
        <w:bCs/>
      </w:rPr>
      <w:tblPr/>
      <w:tcPr>
        <w:tcBorders>
          <w:bottom w:val="single" w:sz="4" w:space="0" w:color="F79646"/>
        </w:tcBorders>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7Colorful-Accent611">
    <w:name w:val="Grid Table 7 Colorful - Accent 611"/>
    <w:basedOn w:val="TableNormal"/>
    <w:uiPriority w:val="52"/>
    <w:rsid w:val="00AE3C4E"/>
    <w:pPr>
      <w:spacing w:before="0" w:after="0" w:line="240" w:lineRule="auto"/>
    </w:pPr>
    <w:rPr>
      <w:rFonts w:ascii="Calibri" w:eastAsia="Calibri" w:hAnsi="Calibri" w:cs="Times New Roman"/>
      <w:color w:val="E36C0A"/>
      <w:lang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DE9D9"/>
      </w:tcPr>
    </w:tblStylePr>
    <w:tblStylePr w:type="band1Horz">
      <w:tblPr/>
      <w:tcPr>
        <w:shd w:val="clear" w:color="auto" w:fill="FDE9D9"/>
      </w:tcPr>
    </w:tblStylePr>
    <w:tblStylePr w:type="neCell">
      <w:tblPr/>
      <w:tcPr>
        <w:tcBorders>
          <w:bottom w:val="single" w:sz="4" w:space="0" w:color="FABF8F"/>
        </w:tcBorders>
      </w:tcPr>
    </w:tblStylePr>
    <w:tblStylePr w:type="nwCell">
      <w:tblPr/>
      <w:tcPr>
        <w:tcBorders>
          <w:bottom w:val="single" w:sz="4" w:space="0" w:color="FABF8F"/>
        </w:tcBorders>
      </w:tcPr>
    </w:tblStylePr>
    <w:tblStylePr w:type="seCell">
      <w:tblPr/>
      <w:tcPr>
        <w:tcBorders>
          <w:top w:val="single" w:sz="4" w:space="0" w:color="FABF8F"/>
        </w:tcBorders>
      </w:tcPr>
    </w:tblStylePr>
    <w:tblStylePr w:type="swCell">
      <w:tblPr/>
      <w:tcPr>
        <w:tcBorders>
          <w:top w:val="single" w:sz="4" w:space="0" w:color="FABF8F"/>
        </w:tcBorders>
      </w:tcPr>
    </w:tblStylePr>
  </w:style>
  <w:style w:type="table" w:customStyle="1" w:styleId="ListTable6Colorful-Accent311">
    <w:name w:val="List Table 6 Colorful - Accent 311"/>
    <w:basedOn w:val="TableNormal"/>
    <w:uiPriority w:val="51"/>
    <w:rsid w:val="00AE3C4E"/>
    <w:pPr>
      <w:spacing w:before="0" w:after="0" w:line="240" w:lineRule="auto"/>
    </w:pPr>
    <w:rPr>
      <w:rFonts w:ascii="Calibri" w:eastAsia="Calibri" w:hAnsi="Calibri" w:cs="Times New Roman"/>
      <w:color w:val="76923C"/>
      <w:lang w:val="sr-Latn-RS" w:eastAsia="en-GB"/>
    </w:rPr>
    <w:tblPr>
      <w:tblStyleRowBandSize w:val="1"/>
      <w:tblStyleColBandSize w:val="1"/>
      <w:tblBorders>
        <w:top w:val="single" w:sz="4" w:space="0" w:color="9BBB59"/>
        <w:bottom w:val="single" w:sz="4" w:space="0" w:color="9BBB59"/>
      </w:tblBorders>
    </w:tblPr>
    <w:tblStylePr w:type="firstRow">
      <w:rPr>
        <w:b/>
        <w:bCs/>
      </w:rPr>
      <w:tblPr/>
      <w:tcPr>
        <w:tcBorders>
          <w:bottom w:val="single" w:sz="4" w:space="0" w:color="9BBB59"/>
        </w:tcBorders>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PlainTable321">
    <w:name w:val="Plain Table 321"/>
    <w:basedOn w:val="TableNormal"/>
    <w:uiPriority w:val="43"/>
    <w:rsid w:val="00AE3C4E"/>
    <w:pPr>
      <w:spacing w:before="0" w:after="0" w:line="240" w:lineRule="auto"/>
    </w:pPr>
    <w:rPr>
      <w:rFonts w:ascii="Calibri" w:eastAsia="Calibri" w:hAnsi="Calibri" w:cs="Times New Roman"/>
      <w:lang w:val="sr-Latn-RS" w:eastAsia="en-GB"/>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UnresolvedMention17">
    <w:name w:val="Unresolved Mention17"/>
    <w:uiPriority w:val="99"/>
    <w:semiHidden/>
    <w:unhideWhenUsed/>
    <w:rsid w:val="00AE3C4E"/>
    <w:rPr>
      <w:color w:val="605E5C"/>
      <w:shd w:val="clear" w:color="auto" w:fill="E1DFDD"/>
    </w:rPr>
  </w:style>
  <w:style w:type="numbering" w:customStyle="1" w:styleId="NoList51">
    <w:name w:val="No List51"/>
    <w:next w:val="NoList"/>
    <w:uiPriority w:val="99"/>
    <w:semiHidden/>
    <w:unhideWhenUsed/>
    <w:rsid w:val="00AE3C4E"/>
  </w:style>
  <w:style w:type="numbering" w:customStyle="1" w:styleId="NoList6">
    <w:name w:val="No List6"/>
    <w:next w:val="NoList"/>
    <w:uiPriority w:val="99"/>
    <w:semiHidden/>
    <w:unhideWhenUsed/>
    <w:rsid w:val="00AE3C4E"/>
  </w:style>
  <w:style w:type="numbering" w:customStyle="1" w:styleId="NoList7">
    <w:name w:val="No List7"/>
    <w:next w:val="NoList"/>
    <w:uiPriority w:val="99"/>
    <w:semiHidden/>
    <w:unhideWhenUsed/>
    <w:rsid w:val="00AE3C4E"/>
  </w:style>
  <w:style w:type="paragraph" w:customStyle="1" w:styleId="xl125">
    <w:name w:val="xl125"/>
    <w:basedOn w:val="Normal"/>
    <w:rsid w:val="00AE3C4E"/>
    <w:pPr>
      <w:pBdr>
        <w:top w:val="single" w:sz="4" w:space="0" w:color="BFBFBF"/>
        <w:left w:val="single" w:sz="4" w:space="0" w:color="BFBFBF"/>
        <w:right w:val="single" w:sz="4" w:space="0" w:color="BFBFBF"/>
      </w:pBdr>
      <w:shd w:val="clear" w:color="F7C3AA" w:fill="305496"/>
      <w:spacing w:beforeAutospacing="1" w:after="100" w:afterAutospacing="1" w:line="240" w:lineRule="auto"/>
      <w:textAlignment w:val="center"/>
    </w:pPr>
    <w:rPr>
      <w:rFonts w:ascii="Arial" w:eastAsia="Times New Roman" w:hAnsi="Arial" w:cs="Arial"/>
      <w:b/>
      <w:bCs/>
      <w:color w:val="FFFFFF"/>
      <w:sz w:val="18"/>
      <w:szCs w:val="18"/>
      <w:lang w:val="en-GB" w:eastAsia="en-GB"/>
    </w:rPr>
  </w:style>
  <w:style w:type="paragraph" w:customStyle="1" w:styleId="xl126">
    <w:name w:val="xl126"/>
    <w:basedOn w:val="Normal"/>
    <w:rsid w:val="00AE3C4E"/>
    <w:pPr>
      <w:pBdr>
        <w:top w:val="single" w:sz="4" w:space="0" w:color="C1CEE5"/>
        <w:left w:val="single" w:sz="4" w:space="0" w:color="C1CEE5"/>
        <w:bottom w:val="single" w:sz="4" w:space="0" w:color="C1CEE5"/>
      </w:pBdr>
      <w:spacing w:beforeAutospacing="1" w:after="100" w:afterAutospacing="1" w:line="240" w:lineRule="auto"/>
      <w:textAlignment w:val="center"/>
    </w:pPr>
    <w:rPr>
      <w:rFonts w:ascii="Arial" w:eastAsia="Times New Roman" w:hAnsi="Arial" w:cs="Arial"/>
      <w:sz w:val="16"/>
      <w:szCs w:val="16"/>
      <w:lang w:val="en-GB" w:eastAsia="en-GB"/>
    </w:rPr>
  </w:style>
  <w:style w:type="paragraph" w:customStyle="1" w:styleId="xl127">
    <w:name w:val="xl127"/>
    <w:basedOn w:val="Normal"/>
    <w:rsid w:val="00AE3C4E"/>
    <w:pPr>
      <w:pBdr>
        <w:top w:val="single" w:sz="4" w:space="0" w:color="C1CEE5"/>
        <w:bottom w:val="single" w:sz="4" w:space="0" w:color="C1CEE5"/>
      </w:pBdr>
      <w:spacing w:beforeAutospacing="1" w:after="100" w:afterAutospacing="1" w:line="240" w:lineRule="auto"/>
      <w:textAlignment w:val="center"/>
    </w:pPr>
    <w:rPr>
      <w:rFonts w:ascii="Arial" w:eastAsia="Times New Roman" w:hAnsi="Arial" w:cs="Arial"/>
      <w:sz w:val="16"/>
      <w:szCs w:val="16"/>
      <w:lang w:val="en-GB" w:eastAsia="en-GB"/>
    </w:rPr>
  </w:style>
  <w:style w:type="paragraph" w:customStyle="1" w:styleId="xl128">
    <w:name w:val="xl128"/>
    <w:basedOn w:val="Normal"/>
    <w:rsid w:val="00AE3C4E"/>
    <w:pPr>
      <w:pBdr>
        <w:top w:val="single" w:sz="4" w:space="0" w:color="C1CEE5"/>
        <w:bottom w:val="single" w:sz="4" w:space="0" w:color="C1CEE5"/>
        <w:right w:val="single" w:sz="4" w:space="0" w:color="C1CEE5"/>
      </w:pBdr>
      <w:spacing w:beforeAutospacing="1" w:after="100" w:afterAutospacing="1" w:line="240" w:lineRule="auto"/>
      <w:textAlignment w:val="center"/>
    </w:pPr>
    <w:rPr>
      <w:rFonts w:ascii="Arial" w:eastAsia="Times New Roman" w:hAnsi="Arial" w:cs="Arial"/>
      <w:sz w:val="16"/>
      <w:szCs w:val="16"/>
      <w:lang w:val="en-GB" w:eastAsia="en-GB"/>
    </w:rPr>
  </w:style>
  <w:style w:type="paragraph" w:customStyle="1" w:styleId="xl129">
    <w:name w:val="xl129"/>
    <w:basedOn w:val="Normal"/>
    <w:rsid w:val="00AE3C4E"/>
    <w:pPr>
      <w:pBdr>
        <w:left w:val="single" w:sz="4" w:space="0" w:color="BFBFBF"/>
        <w:right w:val="single" w:sz="4" w:space="0" w:color="BFBFBF"/>
      </w:pBdr>
      <w:shd w:val="clear" w:color="F7C3AA" w:fill="305496"/>
      <w:spacing w:beforeAutospacing="1" w:after="100" w:afterAutospacing="1" w:line="240" w:lineRule="auto"/>
      <w:textAlignment w:val="center"/>
    </w:pPr>
    <w:rPr>
      <w:rFonts w:ascii="Arial" w:eastAsia="Times New Roman" w:hAnsi="Arial" w:cs="Arial"/>
      <w:b/>
      <w:bCs/>
      <w:color w:val="FFFFFF"/>
      <w:sz w:val="18"/>
      <w:szCs w:val="18"/>
      <w:lang w:val="en-GB" w:eastAsia="en-GB"/>
    </w:rPr>
  </w:style>
  <w:style w:type="paragraph" w:customStyle="1" w:styleId="xl130">
    <w:name w:val="xl130"/>
    <w:basedOn w:val="Normal"/>
    <w:rsid w:val="00AE3C4E"/>
    <w:pPr>
      <w:pBdr>
        <w:top w:val="single" w:sz="4" w:space="0" w:color="auto"/>
        <w:left w:val="single" w:sz="4" w:space="0" w:color="auto"/>
        <w:bottom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1">
    <w:name w:val="xl131"/>
    <w:basedOn w:val="Normal"/>
    <w:rsid w:val="00AE3C4E"/>
    <w:pPr>
      <w:pBdr>
        <w:top w:val="single" w:sz="4" w:space="0" w:color="auto"/>
        <w:bottom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2">
    <w:name w:val="xl132"/>
    <w:basedOn w:val="Normal"/>
    <w:rsid w:val="00AE3C4E"/>
    <w:pPr>
      <w:pBdr>
        <w:top w:val="single" w:sz="4" w:space="0" w:color="auto"/>
        <w:bottom w:val="single" w:sz="4" w:space="0" w:color="auto"/>
        <w:right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3">
    <w:name w:val="xl133"/>
    <w:basedOn w:val="Normal"/>
    <w:rsid w:val="00AE3C4E"/>
    <w:pPr>
      <w:pBdr>
        <w:left w:val="single" w:sz="4" w:space="0" w:color="BFBFBF"/>
        <w:right w:val="single" w:sz="4" w:space="0" w:color="BFBFBF"/>
      </w:pBdr>
      <w:shd w:val="clear" w:color="F7C3AA" w:fill="305496"/>
      <w:spacing w:beforeAutospacing="1" w:after="100" w:afterAutospacing="1" w:line="240" w:lineRule="auto"/>
      <w:textAlignment w:val="center"/>
    </w:pPr>
    <w:rPr>
      <w:rFonts w:ascii="Arial" w:eastAsia="Times New Roman" w:hAnsi="Arial" w:cs="Arial"/>
      <w:b/>
      <w:bCs/>
      <w:color w:val="FFFFFF"/>
      <w:sz w:val="18"/>
      <w:szCs w:val="18"/>
      <w:lang w:val="en-GB" w:eastAsia="en-GB"/>
    </w:rPr>
  </w:style>
  <w:style w:type="paragraph" w:customStyle="1" w:styleId="xl134">
    <w:name w:val="xl134"/>
    <w:basedOn w:val="Normal"/>
    <w:rsid w:val="00AE3C4E"/>
    <w:pPr>
      <w:pBdr>
        <w:top w:val="single" w:sz="4" w:space="0" w:color="auto"/>
        <w:left w:val="single" w:sz="4" w:space="0" w:color="auto"/>
        <w:bottom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5">
    <w:name w:val="xl135"/>
    <w:basedOn w:val="Normal"/>
    <w:rsid w:val="00AE3C4E"/>
    <w:pPr>
      <w:pBdr>
        <w:top w:val="single" w:sz="4" w:space="0" w:color="auto"/>
        <w:bottom w:val="single" w:sz="4" w:space="0" w:color="auto"/>
      </w:pBdr>
      <w:spacing w:beforeAutospacing="1" w:after="100" w:afterAutospacing="1" w:line="240" w:lineRule="auto"/>
    </w:pPr>
    <w:rPr>
      <w:rFonts w:ascii="Arial" w:eastAsia="Times New Roman" w:hAnsi="Arial" w:cs="Arial"/>
      <w:sz w:val="16"/>
      <w:szCs w:val="16"/>
      <w:lang w:val="en-GB" w:eastAsia="en-GB"/>
    </w:rPr>
  </w:style>
  <w:style w:type="paragraph" w:customStyle="1" w:styleId="xl136">
    <w:name w:val="xl136"/>
    <w:basedOn w:val="Normal"/>
    <w:rsid w:val="00AE3C4E"/>
    <w:pPr>
      <w:pBdr>
        <w:top w:val="single" w:sz="4" w:space="0" w:color="auto"/>
        <w:bottom w:val="single" w:sz="4" w:space="0" w:color="auto"/>
        <w:right w:val="single" w:sz="4" w:space="0" w:color="auto"/>
      </w:pBdr>
      <w:spacing w:beforeAutospacing="1" w:after="100" w:afterAutospacing="1" w:line="240" w:lineRule="auto"/>
    </w:pPr>
    <w:rPr>
      <w:rFonts w:ascii="Arial" w:eastAsia="Times New Roman" w:hAnsi="Arial" w:cs="Arial"/>
      <w:sz w:val="16"/>
      <w:szCs w:val="16"/>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40865">
      <w:bodyDiv w:val="1"/>
      <w:marLeft w:val="0"/>
      <w:marRight w:val="0"/>
      <w:marTop w:val="0"/>
      <w:marBottom w:val="0"/>
      <w:divBdr>
        <w:top w:val="none" w:sz="0" w:space="0" w:color="auto"/>
        <w:left w:val="none" w:sz="0" w:space="0" w:color="auto"/>
        <w:bottom w:val="none" w:sz="0" w:space="0" w:color="auto"/>
        <w:right w:val="none" w:sz="0" w:space="0" w:color="auto"/>
      </w:divBdr>
    </w:div>
    <w:div w:id="23556901">
      <w:bodyDiv w:val="1"/>
      <w:marLeft w:val="0"/>
      <w:marRight w:val="0"/>
      <w:marTop w:val="0"/>
      <w:marBottom w:val="0"/>
      <w:divBdr>
        <w:top w:val="none" w:sz="0" w:space="0" w:color="auto"/>
        <w:left w:val="none" w:sz="0" w:space="0" w:color="auto"/>
        <w:bottom w:val="none" w:sz="0" w:space="0" w:color="auto"/>
        <w:right w:val="none" w:sz="0" w:space="0" w:color="auto"/>
      </w:divBdr>
    </w:div>
    <w:div w:id="38827233">
      <w:bodyDiv w:val="1"/>
      <w:marLeft w:val="0"/>
      <w:marRight w:val="0"/>
      <w:marTop w:val="0"/>
      <w:marBottom w:val="0"/>
      <w:divBdr>
        <w:top w:val="none" w:sz="0" w:space="0" w:color="auto"/>
        <w:left w:val="none" w:sz="0" w:space="0" w:color="auto"/>
        <w:bottom w:val="none" w:sz="0" w:space="0" w:color="auto"/>
        <w:right w:val="none" w:sz="0" w:space="0" w:color="auto"/>
      </w:divBdr>
    </w:div>
    <w:div w:id="84301772">
      <w:bodyDiv w:val="1"/>
      <w:marLeft w:val="0"/>
      <w:marRight w:val="0"/>
      <w:marTop w:val="0"/>
      <w:marBottom w:val="0"/>
      <w:divBdr>
        <w:top w:val="none" w:sz="0" w:space="0" w:color="auto"/>
        <w:left w:val="none" w:sz="0" w:space="0" w:color="auto"/>
        <w:bottom w:val="none" w:sz="0" w:space="0" w:color="auto"/>
        <w:right w:val="none" w:sz="0" w:space="0" w:color="auto"/>
      </w:divBdr>
    </w:div>
    <w:div w:id="90123934">
      <w:bodyDiv w:val="1"/>
      <w:marLeft w:val="0"/>
      <w:marRight w:val="0"/>
      <w:marTop w:val="0"/>
      <w:marBottom w:val="0"/>
      <w:divBdr>
        <w:top w:val="none" w:sz="0" w:space="0" w:color="auto"/>
        <w:left w:val="none" w:sz="0" w:space="0" w:color="auto"/>
        <w:bottom w:val="none" w:sz="0" w:space="0" w:color="auto"/>
        <w:right w:val="none" w:sz="0" w:space="0" w:color="auto"/>
      </w:divBdr>
    </w:div>
    <w:div w:id="146290699">
      <w:bodyDiv w:val="1"/>
      <w:marLeft w:val="0"/>
      <w:marRight w:val="0"/>
      <w:marTop w:val="0"/>
      <w:marBottom w:val="0"/>
      <w:divBdr>
        <w:top w:val="none" w:sz="0" w:space="0" w:color="auto"/>
        <w:left w:val="none" w:sz="0" w:space="0" w:color="auto"/>
        <w:bottom w:val="none" w:sz="0" w:space="0" w:color="auto"/>
        <w:right w:val="none" w:sz="0" w:space="0" w:color="auto"/>
      </w:divBdr>
    </w:div>
    <w:div w:id="148980413">
      <w:bodyDiv w:val="1"/>
      <w:marLeft w:val="0"/>
      <w:marRight w:val="0"/>
      <w:marTop w:val="0"/>
      <w:marBottom w:val="0"/>
      <w:divBdr>
        <w:top w:val="none" w:sz="0" w:space="0" w:color="auto"/>
        <w:left w:val="none" w:sz="0" w:space="0" w:color="auto"/>
        <w:bottom w:val="none" w:sz="0" w:space="0" w:color="auto"/>
        <w:right w:val="none" w:sz="0" w:space="0" w:color="auto"/>
      </w:divBdr>
      <w:divsChild>
        <w:div w:id="1735204276">
          <w:marLeft w:val="547"/>
          <w:marRight w:val="0"/>
          <w:marTop w:val="0"/>
          <w:marBottom w:val="0"/>
          <w:divBdr>
            <w:top w:val="none" w:sz="0" w:space="0" w:color="auto"/>
            <w:left w:val="none" w:sz="0" w:space="0" w:color="auto"/>
            <w:bottom w:val="none" w:sz="0" w:space="0" w:color="auto"/>
            <w:right w:val="none" w:sz="0" w:space="0" w:color="auto"/>
          </w:divBdr>
        </w:div>
      </w:divsChild>
    </w:div>
    <w:div w:id="149951297">
      <w:bodyDiv w:val="1"/>
      <w:marLeft w:val="0"/>
      <w:marRight w:val="0"/>
      <w:marTop w:val="0"/>
      <w:marBottom w:val="0"/>
      <w:divBdr>
        <w:top w:val="none" w:sz="0" w:space="0" w:color="auto"/>
        <w:left w:val="none" w:sz="0" w:space="0" w:color="auto"/>
        <w:bottom w:val="none" w:sz="0" w:space="0" w:color="auto"/>
        <w:right w:val="none" w:sz="0" w:space="0" w:color="auto"/>
      </w:divBdr>
    </w:div>
    <w:div w:id="174350975">
      <w:bodyDiv w:val="1"/>
      <w:marLeft w:val="0"/>
      <w:marRight w:val="0"/>
      <w:marTop w:val="0"/>
      <w:marBottom w:val="0"/>
      <w:divBdr>
        <w:top w:val="none" w:sz="0" w:space="0" w:color="auto"/>
        <w:left w:val="none" w:sz="0" w:space="0" w:color="auto"/>
        <w:bottom w:val="none" w:sz="0" w:space="0" w:color="auto"/>
        <w:right w:val="none" w:sz="0" w:space="0" w:color="auto"/>
      </w:divBdr>
      <w:divsChild>
        <w:div w:id="269820140">
          <w:marLeft w:val="547"/>
          <w:marRight w:val="0"/>
          <w:marTop w:val="0"/>
          <w:marBottom w:val="0"/>
          <w:divBdr>
            <w:top w:val="none" w:sz="0" w:space="0" w:color="auto"/>
            <w:left w:val="none" w:sz="0" w:space="0" w:color="auto"/>
            <w:bottom w:val="none" w:sz="0" w:space="0" w:color="auto"/>
            <w:right w:val="none" w:sz="0" w:space="0" w:color="auto"/>
          </w:divBdr>
        </w:div>
      </w:divsChild>
    </w:div>
    <w:div w:id="248731142">
      <w:bodyDiv w:val="1"/>
      <w:marLeft w:val="0"/>
      <w:marRight w:val="0"/>
      <w:marTop w:val="0"/>
      <w:marBottom w:val="0"/>
      <w:divBdr>
        <w:top w:val="none" w:sz="0" w:space="0" w:color="auto"/>
        <w:left w:val="none" w:sz="0" w:space="0" w:color="auto"/>
        <w:bottom w:val="none" w:sz="0" w:space="0" w:color="auto"/>
        <w:right w:val="none" w:sz="0" w:space="0" w:color="auto"/>
      </w:divBdr>
    </w:div>
    <w:div w:id="255478294">
      <w:bodyDiv w:val="1"/>
      <w:marLeft w:val="0"/>
      <w:marRight w:val="0"/>
      <w:marTop w:val="0"/>
      <w:marBottom w:val="0"/>
      <w:divBdr>
        <w:top w:val="none" w:sz="0" w:space="0" w:color="auto"/>
        <w:left w:val="none" w:sz="0" w:space="0" w:color="auto"/>
        <w:bottom w:val="none" w:sz="0" w:space="0" w:color="auto"/>
        <w:right w:val="none" w:sz="0" w:space="0" w:color="auto"/>
      </w:divBdr>
    </w:div>
    <w:div w:id="255528105">
      <w:bodyDiv w:val="1"/>
      <w:marLeft w:val="0"/>
      <w:marRight w:val="0"/>
      <w:marTop w:val="0"/>
      <w:marBottom w:val="0"/>
      <w:divBdr>
        <w:top w:val="none" w:sz="0" w:space="0" w:color="auto"/>
        <w:left w:val="none" w:sz="0" w:space="0" w:color="auto"/>
        <w:bottom w:val="none" w:sz="0" w:space="0" w:color="auto"/>
        <w:right w:val="none" w:sz="0" w:space="0" w:color="auto"/>
      </w:divBdr>
    </w:div>
    <w:div w:id="265966906">
      <w:bodyDiv w:val="1"/>
      <w:marLeft w:val="0"/>
      <w:marRight w:val="0"/>
      <w:marTop w:val="0"/>
      <w:marBottom w:val="0"/>
      <w:divBdr>
        <w:top w:val="none" w:sz="0" w:space="0" w:color="auto"/>
        <w:left w:val="none" w:sz="0" w:space="0" w:color="auto"/>
        <w:bottom w:val="none" w:sz="0" w:space="0" w:color="auto"/>
        <w:right w:val="none" w:sz="0" w:space="0" w:color="auto"/>
      </w:divBdr>
    </w:div>
    <w:div w:id="316343182">
      <w:bodyDiv w:val="1"/>
      <w:marLeft w:val="0"/>
      <w:marRight w:val="0"/>
      <w:marTop w:val="0"/>
      <w:marBottom w:val="0"/>
      <w:divBdr>
        <w:top w:val="none" w:sz="0" w:space="0" w:color="auto"/>
        <w:left w:val="none" w:sz="0" w:space="0" w:color="auto"/>
        <w:bottom w:val="none" w:sz="0" w:space="0" w:color="auto"/>
        <w:right w:val="none" w:sz="0" w:space="0" w:color="auto"/>
      </w:divBdr>
    </w:div>
    <w:div w:id="343362191">
      <w:bodyDiv w:val="1"/>
      <w:marLeft w:val="0"/>
      <w:marRight w:val="0"/>
      <w:marTop w:val="0"/>
      <w:marBottom w:val="0"/>
      <w:divBdr>
        <w:top w:val="none" w:sz="0" w:space="0" w:color="auto"/>
        <w:left w:val="none" w:sz="0" w:space="0" w:color="auto"/>
        <w:bottom w:val="none" w:sz="0" w:space="0" w:color="auto"/>
        <w:right w:val="none" w:sz="0" w:space="0" w:color="auto"/>
      </w:divBdr>
    </w:div>
    <w:div w:id="451244804">
      <w:bodyDiv w:val="1"/>
      <w:marLeft w:val="0"/>
      <w:marRight w:val="0"/>
      <w:marTop w:val="0"/>
      <w:marBottom w:val="0"/>
      <w:divBdr>
        <w:top w:val="none" w:sz="0" w:space="0" w:color="auto"/>
        <w:left w:val="none" w:sz="0" w:space="0" w:color="auto"/>
        <w:bottom w:val="none" w:sz="0" w:space="0" w:color="auto"/>
        <w:right w:val="none" w:sz="0" w:space="0" w:color="auto"/>
      </w:divBdr>
      <w:divsChild>
        <w:div w:id="1970894313">
          <w:marLeft w:val="547"/>
          <w:marRight w:val="0"/>
          <w:marTop w:val="0"/>
          <w:marBottom w:val="0"/>
          <w:divBdr>
            <w:top w:val="none" w:sz="0" w:space="0" w:color="auto"/>
            <w:left w:val="none" w:sz="0" w:space="0" w:color="auto"/>
            <w:bottom w:val="none" w:sz="0" w:space="0" w:color="auto"/>
            <w:right w:val="none" w:sz="0" w:space="0" w:color="auto"/>
          </w:divBdr>
        </w:div>
      </w:divsChild>
    </w:div>
    <w:div w:id="488136555">
      <w:bodyDiv w:val="1"/>
      <w:marLeft w:val="0"/>
      <w:marRight w:val="0"/>
      <w:marTop w:val="0"/>
      <w:marBottom w:val="0"/>
      <w:divBdr>
        <w:top w:val="none" w:sz="0" w:space="0" w:color="auto"/>
        <w:left w:val="none" w:sz="0" w:space="0" w:color="auto"/>
        <w:bottom w:val="none" w:sz="0" w:space="0" w:color="auto"/>
        <w:right w:val="none" w:sz="0" w:space="0" w:color="auto"/>
      </w:divBdr>
    </w:div>
    <w:div w:id="592862658">
      <w:bodyDiv w:val="1"/>
      <w:marLeft w:val="0"/>
      <w:marRight w:val="0"/>
      <w:marTop w:val="0"/>
      <w:marBottom w:val="0"/>
      <w:divBdr>
        <w:top w:val="none" w:sz="0" w:space="0" w:color="auto"/>
        <w:left w:val="none" w:sz="0" w:space="0" w:color="auto"/>
        <w:bottom w:val="none" w:sz="0" w:space="0" w:color="auto"/>
        <w:right w:val="none" w:sz="0" w:space="0" w:color="auto"/>
      </w:divBdr>
    </w:div>
    <w:div w:id="628123534">
      <w:bodyDiv w:val="1"/>
      <w:marLeft w:val="0"/>
      <w:marRight w:val="0"/>
      <w:marTop w:val="0"/>
      <w:marBottom w:val="0"/>
      <w:divBdr>
        <w:top w:val="none" w:sz="0" w:space="0" w:color="auto"/>
        <w:left w:val="none" w:sz="0" w:space="0" w:color="auto"/>
        <w:bottom w:val="none" w:sz="0" w:space="0" w:color="auto"/>
        <w:right w:val="none" w:sz="0" w:space="0" w:color="auto"/>
      </w:divBdr>
    </w:div>
    <w:div w:id="706373502">
      <w:bodyDiv w:val="1"/>
      <w:marLeft w:val="0"/>
      <w:marRight w:val="0"/>
      <w:marTop w:val="0"/>
      <w:marBottom w:val="0"/>
      <w:divBdr>
        <w:top w:val="none" w:sz="0" w:space="0" w:color="auto"/>
        <w:left w:val="none" w:sz="0" w:space="0" w:color="auto"/>
        <w:bottom w:val="none" w:sz="0" w:space="0" w:color="auto"/>
        <w:right w:val="none" w:sz="0" w:space="0" w:color="auto"/>
      </w:divBdr>
    </w:div>
    <w:div w:id="772437544">
      <w:bodyDiv w:val="1"/>
      <w:marLeft w:val="0"/>
      <w:marRight w:val="0"/>
      <w:marTop w:val="0"/>
      <w:marBottom w:val="0"/>
      <w:divBdr>
        <w:top w:val="none" w:sz="0" w:space="0" w:color="auto"/>
        <w:left w:val="none" w:sz="0" w:space="0" w:color="auto"/>
        <w:bottom w:val="none" w:sz="0" w:space="0" w:color="auto"/>
        <w:right w:val="none" w:sz="0" w:space="0" w:color="auto"/>
      </w:divBdr>
    </w:div>
    <w:div w:id="774861572">
      <w:bodyDiv w:val="1"/>
      <w:marLeft w:val="0"/>
      <w:marRight w:val="0"/>
      <w:marTop w:val="0"/>
      <w:marBottom w:val="0"/>
      <w:divBdr>
        <w:top w:val="none" w:sz="0" w:space="0" w:color="auto"/>
        <w:left w:val="none" w:sz="0" w:space="0" w:color="auto"/>
        <w:bottom w:val="none" w:sz="0" w:space="0" w:color="auto"/>
        <w:right w:val="none" w:sz="0" w:space="0" w:color="auto"/>
      </w:divBdr>
    </w:div>
    <w:div w:id="787774192">
      <w:bodyDiv w:val="1"/>
      <w:marLeft w:val="0"/>
      <w:marRight w:val="0"/>
      <w:marTop w:val="0"/>
      <w:marBottom w:val="0"/>
      <w:divBdr>
        <w:top w:val="none" w:sz="0" w:space="0" w:color="auto"/>
        <w:left w:val="none" w:sz="0" w:space="0" w:color="auto"/>
        <w:bottom w:val="none" w:sz="0" w:space="0" w:color="auto"/>
        <w:right w:val="none" w:sz="0" w:space="0" w:color="auto"/>
      </w:divBdr>
    </w:div>
    <w:div w:id="809710378">
      <w:bodyDiv w:val="1"/>
      <w:marLeft w:val="0"/>
      <w:marRight w:val="0"/>
      <w:marTop w:val="0"/>
      <w:marBottom w:val="0"/>
      <w:divBdr>
        <w:top w:val="none" w:sz="0" w:space="0" w:color="auto"/>
        <w:left w:val="none" w:sz="0" w:space="0" w:color="auto"/>
        <w:bottom w:val="none" w:sz="0" w:space="0" w:color="auto"/>
        <w:right w:val="none" w:sz="0" w:space="0" w:color="auto"/>
      </w:divBdr>
    </w:div>
    <w:div w:id="885682533">
      <w:bodyDiv w:val="1"/>
      <w:marLeft w:val="0"/>
      <w:marRight w:val="0"/>
      <w:marTop w:val="0"/>
      <w:marBottom w:val="0"/>
      <w:divBdr>
        <w:top w:val="none" w:sz="0" w:space="0" w:color="auto"/>
        <w:left w:val="none" w:sz="0" w:space="0" w:color="auto"/>
        <w:bottom w:val="none" w:sz="0" w:space="0" w:color="auto"/>
        <w:right w:val="none" w:sz="0" w:space="0" w:color="auto"/>
      </w:divBdr>
      <w:divsChild>
        <w:div w:id="1835291218">
          <w:marLeft w:val="0"/>
          <w:marRight w:val="0"/>
          <w:marTop w:val="0"/>
          <w:marBottom w:val="0"/>
          <w:divBdr>
            <w:top w:val="none" w:sz="0" w:space="0" w:color="auto"/>
            <w:left w:val="none" w:sz="0" w:space="0" w:color="auto"/>
            <w:bottom w:val="none" w:sz="0" w:space="0" w:color="auto"/>
            <w:right w:val="none" w:sz="0" w:space="0" w:color="auto"/>
          </w:divBdr>
          <w:divsChild>
            <w:div w:id="1689063915">
              <w:marLeft w:val="0"/>
              <w:marRight w:val="0"/>
              <w:marTop w:val="0"/>
              <w:marBottom w:val="0"/>
              <w:divBdr>
                <w:top w:val="none" w:sz="0" w:space="0" w:color="auto"/>
                <w:left w:val="none" w:sz="0" w:space="0" w:color="auto"/>
                <w:bottom w:val="none" w:sz="0" w:space="0" w:color="auto"/>
                <w:right w:val="none" w:sz="0" w:space="0" w:color="auto"/>
              </w:divBdr>
              <w:divsChild>
                <w:div w:id="1542815342">
                  <w:marLeft w:val="0"/>
                  <w:marRight w:val="0"/>
                  <w:marTop w:val="0"/>
                  <w:marBottom w:val="0"/>
                  <w:divBdr>
                    <w:top w:val="none" w:sz="0" w:space="0" w:color="auto"/>
                    <w:left w:val="none" w:sz="0" w:space="0" w:color="auto"/>
                    <w:bottom w:val="none" w:sz="0" w:space="0" w:color="auto"/>
                    <w:right w:val="none" w:sz="0" w:space="0" w:color="auto"/>
                  </w:divBdr>
                  <w:divsChild>
                    <w:div w:id="1014957402">
                      <w:marLeft w:val="0"/>
                      <w:marRight w:val="0"/>
                      <w:marTop w:val="0"/>
                      <w:marBottom w:val="0"/>
                      <w:divBdr>
                        <w:top w:val="none" w:sz="0" w:space="0" w:color="auto"/>
                        <w:left w:val="none" w:sz="0" w:space="0" w:color="auto"/>
                        <w:bottom w:val="none" w:sz="0" w:space="0" w:color="auto"/>
                        <w:right w:val="none" w:sz="0" w:space="0" w:color="auto"/>
                      </w:divBdr>
                      <w:divsChild>
                        <w:div w:id="1728530298">
                          <w:marLeft w:val="-225"/>
                          <w:marRight w:val="-225"/>
                          <w:marTop w:val="0"/>
                          <w:marBottom w:val="0"/>
                          <w:divBdr>
                            <w:top w:val="none" w:sz="0" w:space="0" w:color="auto"/>
                            <w:left w:val="none" w:sz="0" w:space="0" w:color="auto"/>
                            <w:bottom w:val="none" w:sz="0" w:space="0" w:color="auto"/>
                            <w:right w:val="none" w:sz="0" w:space="0" w:color="auto"/>
                          </w:divBdr>
                          <w:divsChild>
                            <w:div w:id="1892035710">
                              <w:marLeft w:val="0"/>
                              <w:marRight w:val="0"/>
                              <w:marTop w:val="0"/>
                              <w:marBottom w:val="0"/>
                              <w:divBdr>
                                <w:top w:val="none" w:sz="0" w:space="0" w:color="auto"/>
                                <w:left w:val="none" w:sz="0" w:space="0" w:color="auto"/>
                                <w:bottom w:val="none" w:sz="0" w:space="0" w:color="auto"/>
                                <w:right w:val="none" w:sz="0" w:space="0" w:color="auto"/>
                              </w:divBdr>
                              <w:divsChild>
                                <w:div w:id="89543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29848062">
      <w:bodyDiv w:val="1"/>
      <w:marLeft w:val="0"/>
      <w:marRight w:val="0"/>
      <w:marTop w:val="0"/>
      <w:marBottom w:val="0"/>
      <w:divBdr>
        <w:top w:val="none" w:sz="0" w:space="0" w:color="auto"/>
        <w:left w:val="none" w:sz="0" w:space="0" w:color="auto"/>
        <w:bottom w:val="none" w:sz="0" w:space="0" w:color="auto"/>
        <w:right w:val="none" w:sz="0" w:space="0" w:color="auto"/>
      </w:divBdr>
    </w:div>
    <w:div w:id="974287196">
      <w:bodyDiv w:val="1"/>
      <w:marLeft w:val="0"/>
      <w:marRight w:val="0"/>
      <w:marTop w:val="0"/>
      <w:marBottom w:val="0"/>
      <w:divBdr>
        <w:top w:val="none" w:sz="0" w:space="0" w:color="auto"/>
        <w:left w:val="none" w:sz="0" w:space="0" w:color="auto"/>
        <w:bottom w:val="none" w:sz="0" w:space="0" w:color="auto"/>
        <w:right w:val="none" w:sz="0" w:space="0" w:color="auto"/>
      </w:divBdr>
    </w:div>
    <w:div w:id="1011952337">
      <w:bodyDiv w:val="1"/>
      <w:marLeft w:val="0"/>
      <w:marRight w:val="0"/>
      <w:marTop w:val="0"/>
      <w:marBottom w:val="0"/>
      <w:divBdr>
        <w:top w:val="none" w:sz="0" w:space="0" w:color="auto"/>
        <w:left w:val="none" w:sz="0" w:space="0" w:color="auto"/>
        <w:bottom w:val="none" w:sz="0" w:space="0" w:color="auto"/>
        <w:right w:val="none" w:sz="0" w:space="0" w:color="auto"/>
      </w:divBdr>
    </w:div>
    <w:div w:id="1020199758">
      <w:bodyDiv w:val="1"/>
      <w:marLeft w:val="0"/>
      <w:marRight w:val="0"/>
      <w:marTop w:val="0"/>
      <w:marBottom w:val="0"/>
      <w:divBdr>
        <w:top w:val="none" w:sz="0" w:space="0" w:color="auto"/>
        <w:left w:val="none" w:sz="0" w:space="0" w:color="auto"/>
        <w:bottom w:val="none" w:sz="0" w:space="0" w:color="auto"/>
        <w:right w:val="none" w:sz="0" w:space="0" w:color="auto"/>
      </w:divBdr>
    </w:div>
    <w:div w:id="1036346457">
      <w:bodyDiv w:val="1"/>
      <w:marLeft w:val="0"/>
      <w:marRight w:val="0"/>
      <w:marTop w:val="0"/>
      <w:marBottom w:val="0"/>
      <w:divBdr>
        <w:top w:val="none" w:sz="0" w:space="0" w:color="auto"/>
        <w:left w:val="none" w:sz="0" w:space="0" w:color="auto"/>
        <w:bottom w:val="none" w:sz="0" w:space="0" w:color="auto"/>
        <w:right w:val="none" w:sz="0" w:space="0" w:color="auto"/>
      </w:divBdr>
    </w:div>
    <w:div w:id="1200826223">
      <w:bodyDiv w:val="1"/>
      <w:marLeft w:val="0"/>
      <w:marRight w:val="0"/>
      <w:marTop w:val="0"/>
      <w:marBottom w:val="0"/>
      <w:divBdr>
        <w:top w:val="none" w:sz="0" w:space="0" w:color="auto"/>
        <w:left w:val="none" w:sz="0" w:space="0" w:color="auto"/>
        <w:bottom w:val="none" w:sz="0" w:space="0" w:color="auto"/>
        <w:right w:val="none" w:sz="0" w:space="0" w:color="auto"/>
      </w:divBdr>
    </w:div>
    <w:div w:id="1225143499">
      <w:bodyDiv w:val="1"/>
      <w:marLeft w:val="0"/>
      <w:marRight w:val="0"/>
      <w:marTop w:val="0"/>
      <w:marBottom w:val="0"/>
      <w:divBdr>
        <w:top w:val="none" w:sz="0" w:space="0" w:color="auto"/>
        <w:left w:val="none" w:sz="0" w:space="0" w:color="auto"/>
        <w:bottom w:val="none" w:sz="0" w:space="0" w:color="auto"/>
        <w:right w:val="none" w:sz="0" w:space="0" w:color="auto"/>
      </w:divBdr>
    </w:div>
    <w:div w:id="1231840969">
      <w:bodyDiv w:val="1"/>
      <w:marLeft w:val="0"/>
      <w:marRight w:val="0"/>
      <w:marTop w:val="0"/>
      <w:marBottom w:val="0"/>
      <w:divBdr>
        <w:top w:val="none" w:sz="0" w:space="0" w:color="auto"/>
        <w:left w:val="none" w:sz="0" w:space="0" w:color="auto"/>
        <w:bottom w:val="none" w:sz="0" w:space="0" w:color="auto"/>
        <w:right w:val="none" w:sz="0" w:space="0" w:color="auto"/>
      </w:divBdr>
      <w:divsChild>
        <w:div w:id="486634546">
          <w:marLeft w:val="547"/>
          <w:marRight w:val="0"/>
          <w:marTop w:val="0"/>
          <w:marBottom w:val="0"/>
          <w:divBdr>
            <w:top w:val="none" w:sz="0" w:space="0" w:color="auto"/>
            <w:left w:val="none" w:sz="0" w:space="0" w:color="auto"/>
            <w:bottom w:val="none" w:sz="0" w:space="0" w:color="auto"/>
            <w:right w:val="none" w:sz="0" w:space="0" w:color="auto"/>
          </w:divBdr>
        </w:div>
      </w:divsChild>
    </w:div>
    <w:div w:id="1238438012">
      <w:bodyDiv w:val="1"/>
      <w:marLeft w:val="0"/>
      <w:marRight w:val="0"/>
      <w:marTop w:val="0"/>
      <w:marBottom w:val="0"/>
      <w:divBdr>
        <w:top w:val="none" w:sz="0" w:space="0" w:color="auto"/>
        <w:left w:val="none" w:sz="0" w:space="0" w:color="auto"/>
        <w:bottom w:val="none" w:sz="0" w:space="0" w:color="auto"/>
        <w:right w:val="none" w:sz="0" w:space="0" w:color="auto"/>
      </w:divBdr>
      <w:divsChild>
        <w:div w:id="1803421832">
          <w:marLeft w:val="547"/>
          <w:marRight w:val="0"/>
          <w:marTop w:val="0"/>
          <w:marBottom w:val="0"/>
          <w:divBdr>
            <w:top w:val="none" w:sz="0" w:space="0" w:color="auto"/>
            <w:left w:val="none" w:sz="0" w:space="0" w:color="auto"/>
            <w:bottom w:val="none" w:sz="0" w:space="0" w:color="auto"/>
            <w:right w:val="none" w:sz="0" w:space="0" w:color="auto"/>
          </w:divBdr>
        </w:div>
      </w:divsChild>
    </w:div>
    <w:div w:id="1255475606">
      <w:bodyDiv w:val="1"/>
      <w:marLeft w:val="0"/>
      <w:marRight w:val="0"/>
      <w:marTop w:val="0"/>
      <w:marBottom w:val="0"/>
      <w:divBdr>
        <w:top w:val="none" w:sz="0" w:space="0" w:color="auto"/>
        <w:left w:val="none" w:sz="0" w:space="0" w:color="auto"/>
        <w:bottom w:val="none" w:sz="0" w:space="0" w:color="auto"/>
        <w:right w:val="none" w:sz="0" w:space="0" w:color="auto"/>
      </w:divBdr>
    </w:div>
    <w:div w:id="1255742380">
      <w:bodyDiv w:val="1"/>
      <w:marLeft w:val="0"/>
      <w:marRight w:val="0"/>
      <w:marTop w:val="0"/>
      <w:marBottom w:val="0"/>
      <w:divBdr>
        <w:top w:val="none" w:sz="0" w:space="0" w:color="auto"/>
        <w:left w:val="none" w:sz="0" w:space="0" w:color="auto"/>
        <w:bottom w:val="none" w:sz="0" w:space="0" w:color="auto"/>
        <w:right w:val="none" w:sz="0" w:space="0" w:color="auto"/>
      </w:divBdr>
    </w:div>
    <w:div w:id="1260412890">
      <w:bodyDiv w:val="1"/>
      <w:marLeft w:val="0"/>
      <w:marRight w:val="0"/>
      <w:marTop w:val="0"/>
      <w:marBottom w:val="0"/>
      <w:divBdr>
        <w:top w:val="none" w:sz="0" w:space="0" w:color="auto"/>
        <w:left w:val="none" w:sz="0" w:space="0" w:color="auto"/>
        <w:bottom w:val="none" w:sz="0" w:space="0" w:color="auto"/>
        <w:right w:val="none" w:sz="0" w:space="0" w:color="auto"/>
      </w:divBdr>
    </w:div>
    <w:div w:id="1295060157">
      <w:bodyDiv w:val="1"/>
      <w:marLeft w:val="0"/>
      <w:marRight w:val="0"/>
      <w:marTop w:val="0"/>
      <w:marBottom w:val="0"/>
      <w:divBdr>
        <w:top w:val="none" w:sz="0" w:space="0" w:color="auto"/>
        <w:left w:val="none" w:sz="0" w:space="0" w:color="auto"/>
        <w:bottom w:val="none" w:sz="0" w:space="0" w:color="auto"/>
        <w:right w:val="none" w:sz="0" w:space="0" w:color="auto"/>
      </w:divBdr>
    </w:div>
    <w:div w:id="1302151769">
      <w:bodyDiv w:val="1"/>
      <w:marLeft w:val="0"/>
      <w:marRight w:val="0"/>
      <w:marTop w:val="0"/>
      <w:marBottom w:val="0"/>
      <w:divBdr>
        <w:top w:val="none" w:sz="0" w:space="0" w:color="auto"/>
        <w:left w:val="none" w:sz="0" w:space="0" w:color="auto"/>
        <w:bottom w:val="none" w:sz="0" w:space="0" w:color="auto"/>
        <w:right w:val="none" w:sz="0" w:space="0" w:color="auto"/>
      </w:divBdr>
    </w:div>
    <w:div w:id="1387946061">
      <w:bodyDiv w:val="1"/>
      <w:marLeft w:val="0"/>
      <w:marRight w:val="0"/>
      <w:marTop w:val="0"/>
      <w:marBottom w:val="0"/>
      <w:divBdr>
        <w:top w:val="none" w:sz="0" w:space="0" w:color="auto"/>
        <w:left w:val="none" w:sz="0" w:space="0" w:color="auto"/>
        <w:bottom w:val="none" w:sz="0" w:space="0" w:color="auto"/>
        <w:right w:val="none" w:sz="0" w:space="0" w:color="auto"/>
      </w:divBdr>
    </w:div>
    <w:div w:id="1415057004">
      <w:bodyDiv w:val="1"/>
      <w:marLeft w:val="0"/>
      <w:marRight w:val="0"/>
      <w:marTop w:val="0"/>
      <w:marBottom w:val="0"/>
      <w:divBdr>
        <w:top w:val="none" w:sz="0" w:space="0" w:color="auto"/>
        <w:left w:val="none" w:sz="0" w:space="0" w:color="auto"/>
        <w:bottom w:val="none" w:sz="0" w:space="0" w:color="auto"/>
        <w:right w:val="none" w:sz="0" w:space="0" w:color="auto"/>
      </w:divBdr>
    </w:div>
    <w:div w:id="1422292887">
      <w:bodyDiv w:val="1"/>
      <w:marLeft w:val="0"/>
      <w:marRight w:val="0"/>
      <w:marTop w:val="0"/>
      <w:marBottom w:val="0"/>
      <w:divBdr>
        <w:top w:val="none" w:sz="0" w:space="0" w:color="auto"/>
        <w:left w:val="none" w:sz="0" w:space="0" w:color="auto"/>
        <w:bottom w:val="none" w:sz="0" w:space="0" w:color="auto"/>
        <w:right w:val="none" w:sz="0" w:space="0" w:color="auto"/>
      </w:divBdr>
    </w:div>
    <w:div w:id="1425540493">
      <w:bodyDiv w:val="1"/>
      <w:marLeft w:val="0"/>
      <w:marRight w:val="0"/>
      <w:marTop w:val="0"/>
      <w:marBottom w:val="0"/>
      <w:divBdr>
        <w:top w:val="none" w:sz="0" w:space="0" w:color="auto"/>
        <w:left w:val="none" w:sz="0" w:space="0" w:color="auto"/>
        <w:bottom w:val="none" w:sz="0" w:space="0" w:color="auto"/>
        <w:right w:val="none" w:sz="0" w:space="0" w:color="auto"/>
      </w:divBdr>
      <w:divsChild>
        <w:div w:id="60324818">
          <w:marLeft w:val="547"/>
          <w:marRight w:val="0"/>
          <w:marTop w:val="0"/>
          <w:marBottom w:val="0"/>
          <w:divBdr>
            <w:top w:val="none" w:sz="0" w:space="0" w:color="auto"/>
            <w:left w:val="none" w:sz="0" w:space="0" w:color="auto"/>
            <w:bottom w:val="none" w:sz="0" w:space="0" w:color="auto"/>
            <w:right w:val="none" w:sz="0" w:space="0" w:color="auto"/>
          </w:divBdr>
        </w:div>
      </w:divsChild>
    </w:div>
    <w:div w:id="1500388777">
      <w:bodyDiv w:val="1"/>
      <w:marLeft w:val="0"/>
      <w:marRight w:val="0"/>
      <w:marTop w:val="0"/>
      <w:marBottom w:val="0"/>
      <w:divBdr>
        <w:top w:val="none" w:sz="0" w:space="0" w:color="auto"/>
        <w:left w:val="none" w:sz="0" w:space="0" w:color="auto"/>
        <w:bottom w:val="none" w:sz="0" w:space="0" w:color="auto"/>
        <w:right w:val="none" w:sz="0" w:space="0" w:color="auto"/>
      </w:divBdr>
    </w:div>
    <w:div w:id="1512183055">
      <w:bodyDiv w:val="1"/>
      <w:marLeft w:val="0"/>
      <w:marRight w:val="0"/>
      <w:marTop w:val="0"/>
      <w:marBottom w:val="0"/>
      <w:divBdr>
        <w:top w:val="none" w:sz="0" w:space="0" w:color="auto"/>
        <w:left w:val="none" w:sz="0" w:space="0" w:color="auto"/>
        <w:bottom w:val="none" w:sz="0" w:space="0" w:color="auto"/>
        <w:right w:val="none" w:sz="0" w:space="0" w:color="auto"/>
      </w:divBdr>
    </w:div>
    <w:div w:id="1523283505">
      <w:bodyDiv w:val="1"/>
      <w:marLeft w:val="0"/>
      <w:marRight w:val="0"/>
      <w:marTop w:val="0"/>
      <w:marBottom w:val="0"/>
      <w:divBdr>
        <w:top w:val="none" w:sz="0" w:space="0" w:color="auto"/>
        <w:left w:val="none" w:sz="0" w:space="0" w:color="auto"/>
        <w:bottom w:val="none" w:sz="0" w:space="0" w:color="auto"/>
        <w:right w:val="none" w:sz="0" w:space="0" w:color="auto"/>
      </w:divBdr>
    </w:div>
    <w:div w:id="1610775953">
      <w:bodyDiv w:val="1"/>
      <w:marLeft w:val="0"/>
      <w:marRight w:val="0"/>
      <w:marTop w:val="0"/>
      <w:marBottom w:val="0"/>
      <w:divBdr>
        <w:top w:val="none" w:sz="0" w:space="0" w:color="auto"/>
        <w:left w:val="none" w:sz="0" w:space="0" w:color="auto"/>
        <w:bottom w:val="none" w:sz="0" w:space="0" w:color="auto"/>
        <w:right w:val="none" w:sz="0" w:space="0" w:color="auto"/>
      </w:divBdr>
    </w:div>
    <w:div w:id="1673529902">
      <w:bodyDiv w:val="1"/>
      <w:marLeft w:val="0"/>
      <w:marRight w:val="0"/>
      <w:marTop w:val="0"/>
      <w:marBottom w:val="0"/>
      <w:divBdr>
        <w:top w:val="none" w:sz="0" w:space="0" w:color="auto"/>
        <w:left w:val="none" w:sz="0" w:space="0" w:color="auto"/>
        <w:bottom w:val="none" w:sz="0" w:space="0" w:color="auto"/>
        <w:right w:val="none" w:sz="0" w:space="0" w:color="auto"/>
      </w:divBdr>
    </w:div>
    <w:div w:id="1707368255">
      <w:bodyDiv w:val="1"/>
      <w:marLeft w:val="0"/>
      <w:marRight w:val="0"/>
      <w:marTop w:val="0"/>
      <w:marBottom w:val="0"/>
      <w:divBdr>
        <w:top w:val="none" w:sz="0" w:space="0" w:color="auto"/>
        <w:left w:val="none" w:sz="0" w:space="0" w:color="auto"/>
        <w:bottom w:val="none" w:sz="0" w:space="0" w:color="auto"/>
        <w:right w:val="none" w:sz="0" w:space="0" w:color="auto"/>
      </w:divBdr>
    </w:div>
    <w:div w:id="1712340137">
      <w:bodyDiv w:val="1"/>
      <w:marLeft w:val="0"/>
      <w:marRight w:val="0"/>
      <w:marTop w:val="0"/>
      <w:marBottom w:val="0"/>
      <w:divBdr>
        <w:top w:val="none" w:sz="0" w:space="0" w:color="auto"/>
        <w:left w:val="none" w:sz="0" w:space="0" w:color="auto"/>
        <w:bottom w:val="none" w:sz="0" w:space="0" w:color="auto"/>
        <w:right w:val="none" w:sz="0" w:space="0" w:color="auto"/>
      </w:divBdr>
    </w:div>
    <w:div w:id="1796748094">
      <w:bodyDiv w:val="1"/>
      <w:marLeft w:val="0"/>
      <w:marRight w:val="0"/>
      <w:marTop w:val="0"/>
      <w:marBottom w:val="0"/>
      <w:divBdr>
        <w:top w:val="none" w:sz="0" w:space="0" w:color="auto"/>
        <w:left w:val="none" w:sz="0" w:space="0" w:color="auto"/>
        <w:bottom w:val="none" w:sz="0" w:space="0" w:color="auto"/>
        <w:right w:val="none" w:sz="0" w:space="0" w:color="auto"/>
      </w:divBdr>
    </w:div>
    <w:div w:id="1832214694">
      <w:bodyDiv w:val="1"/>
      <w:marLeft w:val="0"/>
      <w:marRight w:val="0"/>
      <w:marTop w:val="0"/>
      <w:marBottom w:val="0"/>
      <w:divBdr>
        <w:top w:val="none" w:sz="0" w:space="0" w:color="auto"/>
        <w:left w:val="none" w:sz="0" w:space="0" w:color="auto"/>
        <w:bottom w:val="none" w:sz="0" w:space="0" w:color="auto"/>
        <w:right w:val="none" w:sz="0" w:space="0" w:color="auto"/>
      </w:divBdr>
    </w:div>
    <w:div w:id="1887521708">
      <w:bodyDiv w:val="1"/>
      <w:marLeft w:val="0"/>
      <w:marRight w:val="0"/>
      <w:marTop w:val="0"/>
      <w:marBottom w:val="0"/>
      <w:divBdr>
        <w:top w:val="none" w:sz="0" w:space="0" w:color="auto"/>
        <w:left w:val="none" w:sz="0" w:space="0" w:color="auto"/>
        <w:bottom w:val="none" w:sz="0" w:space="0" w:color="auto"/>
        <w:right w:val="none" w:sz="0" w:space="0" w:color="auto"/>
      </w:divBdr>
    </w:div>
    <w:div w:id="1890609809">
      <w:bodyDiv w:val="1"/>
      <w:marLeft w:val="0"/>
      <w:marRight w:val="0"/>
      <w:marTop w:val="0"/>
      <w:marBottom w:val="0"/>
      <w:divBdr>
        <w:top w:val="none" w:sz="0" w:space="0" w:color="auto"/>
        <w:left w:val="none" w:sz="0" w:space="0" w:color="auto"/>
        <w:bottom w:val="none" w:sz="0" w:space="0" w:color="auto"/>
        <w:right w:val="none" w:sz="0" w:space="0" w:color="auto"/>
      </w:divBdr>
    </w:div>
    <w:div w:id="1977761246">
      <w:bodyDiv w:val="1"/>
      <w:marLeft w:val="0"/>
      <w:marRight w:val="0"/>
      <w:marTop w:val="0"/>
      <w:marBottom w:val="0"/>
      <w:divBdr>
        <w:top w:val="none" w:sz="0" w:space="0" w:color="auto"/>
        <w:left w:val="none" w:sz="0" w:space="0" w:color="auto"/>
        <w:bottom w:val="none" w:sz="0" w:space="0" w:color="auto"/>
        <w:right w:val="none" w:sz="0" w:space="0" w:color="auto"/>
      </w:divBdr>
    </w:div>
    <w:div w:id="2088259417">
      <w:bodyDiv w:val="1"/>
      <w:marLeft w:val="0"/>
      <w:marRight w:val="0"/>
      <w:marTop w:val="0"/>
      <w:marBottom w:val="0"/>
      <w:divBdr>
        <w:top w:val="none" w:sz="0" w:space="0" w:color="auto"/>
        <w:left w:val="none" w:sz="0" w:space="0" w:color="auto"/>
        <w:bottom w:val="none" w:sz="0" w:space="0" w:color="auto"/>
        <w:right w:val="none" w:sz="0" w:space="0" w:color="auto"/>
      </w:divBdr>
      <w:divsChild>
        <w:div w:id="2004820607">
          <w:marLeft w:val="547"/>
          <w:marRight w:val="0"/>
          <w:marTop w:val="0"/>
          <w:marBottom w:val="0"/>
          <w:divBdr>
            <w:top w:val="none" w:sz="0" w:space="0" w:color="auto"/>
            <w:left w:val="none" w:sz="0" w:space="0" w:color="auto"/>
            <w:bottom w:val="none" w:sz="0" w:space="0" w:color="auto"/>
            <w:right w:val="none" w:sz="0" w:space="0" w:color="auto"/>
          </w:divBdr>
        </w:div>
      </w:divsChild>
    </w:div>
    <w:div w:id="2127045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diagramData" Target="diagrams/data1.xml"/><Relationship Id="rId26" Type="http://schemas.openxmlformats.org/officeDocument/2006/relationships/diagramColors" Target="diagrams/colors2.xml"/><Relationship Id="rId39" Type="http://schemas.openxmlformats.org/officeDocument/2006/relationships/chart" Target="charts/chart1.xml"/><Relationship Id="rId21" Type="http://schemas.openxmlformats.org/officeDocument/2006/relationships/diagramColors" Target="diagrams/colors1.xml"/><Relationship Id="rId34" Type="http://schemas.openxmlformats.org/officeDocument/2006/relationships/diagramLayout" Target="diagrams/layout4.xml"/><Relationship Id="rId42" Type="http://schemas.openxmlformats.org/officeDocument/2006/relationships/header" Target="header3.xml"/><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diagramLayout" Target="diagrams/layout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diagramLayout" Target="diagrams/layout2.xml"/><Relationship Id="rId32" Type="http://schemas.microsoft.com/office/2007/relationships/diagramDrawing" Target="diagrams/drawing3.xml"/><Relationship Id="rId37" Type="http://schemas.microsoft.com/office/2007/relationships/diagramDrawing" Target="diagrams/drawing4.xml"/><Relationship Id="rId40" Type="http://schemas.openxmlformats.org/officeDocument/2006/relationships/chart" Target="charts/chart2.xml"/><Relationship Id="rId45" Type="http://schemas.openxmlformats.org/officeDocument/2006/relationships/chart" Target="charts/chart4.xml"/><Relationship Id="rId5" Type="http://schemas.openxmlformats.org/officeDocument/2006/relationships/settings" Target="settings.xml"/><Relationship Id="rId15" Type="http://schemas.openxmlformats.org/officeDocument/2006/relationships/hyperlink" Target="mailto:pfmdijalog@mfin.gov.rs" TargetMode="External"/><Relationship Id="rId23" Type="http://schemas.openxmlformats.org/officeDocument/2006/relationships/diagramData" Target="diagrams/data2.xml"/><Relationship Id="rId28" Type="http://schemas.openxmlformats.org/officeDocument/2006/relationships/diagramData" Target="diagrams/data3.xml"/><Relationship Id="rId36" Type="http://schemas.openxmlformats.org/officeDocument/2006/relationships/diagramColors" Target="diagrams/colors4.xml"/><Relationship Id="rId10" Type="http://schemas.openxmlformats.org/officeDocument/2006/relationships/image" Target="media/image20.jpeg"/><Relationship Id="rId19" Type="http://schemas.openxmlformats.org/officeDocument/2006/relationships/diagramLayout" Target="diagrams/layout1.xml"/><Relationship Id="rId31" Type="http://schemas.openxmlformats.org/officeDocument/2006/relationships/diagramColors" Target="diagrams/colors3.xml"/><Relationship Id="rId44" Type="http://schemas.openxmlformats.org/officeDocument/2006/relationships/chart" Target="charts/chart3.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footer" Target="footer2.xml"/><Relationship Id="rId22" Type="http://schemas.microsoft.com/office/2007/relationships/diagramDrawing" Target="diagrams/drawing1.xml"/><Relationship Id="rId27" Type="http://schemas.microsoft.com/office/2007/relationships/diagramDrawing" Target="diagrams/drawing2.xml"/><Relationship Id="rId30" Type="http://schemas.openxmlformats.org/officeDocument/2006/relationships/diagramQuickStyle" Target="diagrams/quickStyle3.xml"/><Relationship Id="rId35" Type="http://schemas.openxmlformats.org/officeDocument/2006/relationships/diagramQuickStyle" Target="diagrams/quickStyle4.xml"/><Relationship Id="rId43" Type="http://schemas.openxmlformats.org/officeDocument/2006/relationships/footer" Target="footer3.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cid:image001.png@01D75BB0.B24A1450" TargetMode="External"/><Relationship Id="rId25" Type="http://schemas.openxmlformats.org/officeDocument/2006/relationships/diagramQuickStyle" Target="diagrams/quickStyle2.xml"/><Relationship Id="rId33" Type="http://schemas.openxmlformats.org/officeDocument/2006/relationships/diagramData" Target="diagrams/data4.xml"/><Relationship Id="rId38" Type="http://schemas.openxmlformats.org/officeDocument/2006/relationships/image" Target="media/image4.png"/><Relationship Id="rId46" Type="http://schemas.openxmlformats.org/officeDocument/2006/relationships/fontTable" Target="fontTable.xml"/><Relationship Id="rId20" Type="http://schemas.openxmlformats.org/officeDocument/2006/relationships/diagramQuickStyle" Target="diagrams/quickStyle1.xml"/><Relationship Id="rId41" Type="http://schemas.openxmlformats.org/officeDocument/2006/relationships/hyperlink" Target="mailto:pfmdijalog@mfin.gov.rs"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www.mod.gov.rs/multimedia/file/staticki_sadrzaj/dokumenta/Srednjorocni%20plan%20Ministarstva%20odbrane%20za%20period%20od%202020_%20do%202022_%20godine.pdf" TargetMode="External"/><Relationship Id="rId18" Type="http://schemas.openxmlformats.org/officeDocument/2006/relationships/hyperlink" Target="https://www.mfin.gov.rs/dokumenti/program-reforme-upravljanja-javnim-finansijama-pfm/" TargetMode="External"/><Relationship Id="rId26" Type="http://schemas.openxmlformats.org/officeDocument/2006/relationships/hyperlink" Target="https://www.mfin.gov.rs/wp-content/uploads/2019/10/FUK-prirucnik-Compressed.pdf" TargetMode="External"/><Relationship Id="rId3" Type="http://schemas.openxmlformats.org/officeDocument/2006/relationships/hyperlink" Target="https://www.dri.rs/revizije/poslerevizioni-izvestaji/2019-za-rev-2018.442.html" TargetMode="External"/><Relationship Id="rId21" Type="http://schemas.openxmlformats.org/officeDocument/2006/relationships/hyperlink" Target="https://jnportal.ujn.gov.rs/" TargetMode="External"/><Relationship Id="rId7" Type="http://schemas.openxmlformats.org/officeDocument/2006/relationships/hyperlink" Target="https://www.napa.gov.rs/tekst/49/godisnji-programi-obuka-naju.php" TargetMode="External"/><Relationship Id="rId12" Type="http://schemas.openxmlformats.org/officeDocument/2006/relationships/hyperlink" Target="http://mduls.gov.rs/wp-content/uploads/SP-MDULS-2020-2022-final.pdf" TargetMode="External"/><Relationship Id="rId17" Type="http://schemas.openxmlformats.org/officeDocument/2006/relationships/hyperlink" Target="https://www.mfin.gov.rs/dokumenti/program-reforme-upravljanja-javnim-finansijama-pfm/" TargetMode="External"/><Relationship Id="rId25" Type="http://schemas.openxmlformats.org/officeDocument/2006/relationships/hyperlink" Target="https://www.mfin.gov.rs/UserFiles/File/afcos/Metodolosko%20uputstvo.pdf" TargetMode="External"/><Relationship Id="rId33" Type="http://schemas.openxmlformats.org/officeDocument/2006/relationships/hyperlink" Target="https://www.dri.rs/revizije/rezime-izvestaja-o-reviziji/arhiva-2019.460.html" TargetMode="External"/><Relationship Id="rId2" Type="http://schemas.openxmlformats.org/officeDocument/2006/relationships/hyperlink" Target="https://www.dri.rs/&#1084;&#1077;&#1076;&#1080;&#1112;&#1080;/&#1054;&#1073;&#1072;&#1074;&#1077;&#1096;&#1090;&#1077;&#1114;&#1077;-&#1079;&#1072;-&#1089;&#1091;&#1073;&#1112;&#1077;&#1082;&#1090;&#1077;-&#1088;&#1077;&#1074;&#1080;&#1079;&#1080;&#1112;&#1077;.n-339.7.html" TargetMode="External"/><Relationship Id="rId16" Type="http://schemas.openxmlformats.org/officeDocument/2006/relationships/hyperlink" Target="https://www.mfin.gov.rs/dokumenti/pravilnik-o-nacinu-iskazivanja-i-izvestavanja-o-procenjenim-finansijskim-efektima-zakona-drugog-propisa-ili-drugog-akta-na-budzet-odnosno-finansijske-planove-organizacija-za-obavezno-socijalno-osigu/" TargetMode="External"/><Relationship Id="rId20" Type="http://schemas.openxmlformats.org/officeDocument/2006/relationships/hyperlink" Target="http://www.ujd.gov.rs/upload/Bilteni/2019%20Mesecni/Decembar%20final/Mesecni%20izvestaj%20Uprave%20za%20javni%20dug%20-%20CIR%20Decembar%202019%20-%20finalni%20podaci.pdf" TargetMode="External"/><Relationship Id="rId29" Type="http://schemas.openxmlformats.org/officeDocument/2006/relationships/hyperlink" Target="http://documents.worldbank.org/curated/en/637021520634430574/Serbia-Public-sector-accounting-review-report-on-the-enhancement-of-public-sector-financial-reporting" TargetMode="External"/><Relationship Id="rId1" Type="http://schemas.openxmlformats.org/officeDocument/2006/relationships/hyperlink" Target="https://www.mfin.gov.rs/dokumenti/program-reforme-upravljanja-javnim-finansijama-pfm/" TargetMode="External"/><Relationship Id="rId6" Type="http://schemas.openxmlformats.org/officeDocument/2006/relationships/hyperlink" Target="https://www.mfin.gov.rs/wp-content/uploads/2019/11/Uputstvo-za-pripremu-programskog-budzeta-30.-septembar-2020.pdf" TargetMode="External"/><Relationship Id="rId11" Type="http://schemas.openxmlformats.org/officeDocument/2006/relationships/hyperlink" Target="https://rsjp.gov.rs/cir/srednjorocni-plan/" TargetMode="External"/><Relationship Id="rId24" Type="http://schemas.openxmlformats.org/officeDocument/2006/relationships/hyperlink" Target="https://www.mfin.gov.rs/kontrola-javnih-sredstava/prijave-nepravilnosti/" TargetMode="External"/><Relationship Id="rId32" Type="http://schemas.openxmlformats.org/officeDocument/2006/relationships/hyperlink" Target="https://www.dri.rs/revizije/poslerevizioni-izvestaji/2019-za-rev-2018.442.html" TargetMode="External"/><Relationship Id="rId5" Type="http://schemas.openxmlformats.org/officeDocument/2006/relationships/hyperlink" Target="https://www.mfin.gov.rs/kontrola-javnih-sredstava/prijave-nepravilnosti/" TargetMode="External"/><Relationship Id="rId15" Type="http://schemas.openxmlformats.org/officeDocument/2006/relationships/hyperlink" Target="https://ec.europa.eu/neighbourhood-enlargement/sites/near/files/serbia_report_2020.pdf" TargetMode="External"/><Relationship Id="rId23" Type="http://schemas.openxmlformats.org/officeDocument/2006/relationships/hyperlink" Target="https://ec.europa.eu/neighbourhood-enlargement/sites/near/files/serbia_report_2020.pdf" TargetMode="External"/><Relationship Id="rId28" Type="http://schemas.openxmlformats.org/officeDocument/2006/relationships/hyperlink" Target="http://www.sigmaweb.org/publications/Principles_of_Public_Administration_2017_edition_SER.pdf" TargetMode="External"/><Relationship Id="rId10" Type="http://schemas.openxmlformats.org/officeDocument/2006/relationships/hyperlink" Target="https://rsjp.gov.rs/wp-content/uploads/Priruc%CC%8Cnik-za-izradu-srednjoroc%CC%8Cnih-planova-09032020.pdf" TargetMode="External"/><Relationship Id="rId19" Type="http://schemas.openxmlformats.org/officeDocument/2006/relationships/hyperlink" Target="https://ec.europa.eu/neighbourhood-enlargement/sites/near/files/serbia_report_2020.pdf" TargetMode="External"/><Relationship Id="rId31" Type="http://schemas.openxmlformats.org/officeDocument/2006/relationships/hyperlink" Target="https://www.dri.rs/&#1084;&#1077;&#1076;&#1080;&#1112;&#1080;/&#1054;&#1073;&#1072;&#1074;&#1077;&#1096;&#1090;&#1077;&#1114;&#1077;-&#1079;&#1072;-&#1089;&#1091;&#1073;&#1112;&#1077;&#1082;&#1090;&#1077;-&#1088;&#1077;&#1074;&#1080;&#1079;&#1080;&#1112;&#1077;.n-339.7.html" TargetMode="External"/><Relationship Id="rId4" Type="http://schemas.openxmlformats.org/officeDocument/2006/relationships/hyperlink" Target="https://www.dri.rs/revizije/rezime-izvestaja-o-reviziji/arhiva-2019.460.html" TargetMode="External"/><Relationship Id="rId9" Type="http://schemas.openxmlformats.org/officeDocument/2006/relationships/hyperlink" Target="https://www.mfin.gov.rs/dokumenti/plan-uvodjenja-rodno-odgovornog-budzetiranja-u-postupak-pripreme-i-donosenja-budzeta-republike-srbije-za-2020-godinu/" TargetMode="External"/><Relationship Id="rId14" Type="http://schemas.openxmlformats.org/officeDocument/2006/relationships/hyperlink" Target="https://rsjp.gov.rs/cir/dokumenti-kategorija-cir/prirucnici-cir/" TargetMode="External"/><Relationship Id="rId22" Type="http://schemas.openxmlformats.org/officeDocument/2006/relationships/hyperlink" Target="https://ec.europa.eu/neighbourhood-enlargement/sites/near/files/serbia_report_2020.pdf" TargetMode="External"/><Relationship Id="rId27" Type="http://schemas.openxmlformats.org/officeDocument/2006/relationships/hyperlink" Target="http://www.sigmaweb.org/publications/Managerial-accountability-in-the-Western-Balkans-SIGMA-Paper-58-November-2018.pdf" TargetMode="External"/><Relationship Id="rId30" Type="http://schemas.openxmlformats.org/officeDocument/2006/relationships/hyperlink" Target="http://www.epsas.eu" TargetMode="External"/><Relationship Id="rId8" Type="http://schemas.openxmlformats.org/officeDocument/2006/relationships/hyperlink" Target="https://www.mfin.gov.rs/tip-dokumenta/gradjanski-budzet/"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manualLayout>
          <c:layoutTarget val="inner"/>
          <c:xMode val="edge"/>
          <c:yMode val="edge"/>
          <c:x val="6.2959952687082613E-2"/>
          <c:y val="0.18539682539682542"/>
          <c:w val="0.64455073787346928"/>
          <c:h val="0.69124659417572798"/>
        </c:manualLayout>
      </c:layout>
      <c:barChart>
        <c:barDir val="col"/>
        <c:grouping val="clustered"/>
        <c:varyColors val="0"/>
        <c:ser>
          <c:idx val="1"/>
          <c:order val="1"/>
          <c:tx>
            <c:strRef>
              <c:f>Sheet1!$C$1</c:f>
              <c:strCache>
                <c:ptCount val="1"/>
                <c:pt idx="0">
                  <c:v>број субјеката ревизије</c:v>
                </c:pt>
              </c:strCache>
            </c:strRef>
          </c:tx>
          <c:spPr>
            <a:solidFill>
              <a:srgbClr val="002060"/>
            </a:solidFill>
            <a:ln>
              <a:solidFill>
                <a:srgbClr val="002060"/>
              </a:solidFill>
            </a:ln>
          </c:spPr>
          <c:invertIfNegative val="0"/>
          <c:dLbls>
            <c:dLbl>
              <c:idx val="1"/>
              <c:tx>
                <c:rich>
                  <a:bodyPr/>
                  <a:lstStyle/>
                  <a:p>
                    <a:r>
                      <a:rPr lang="en-US"/>
                      <a:t>229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58F0-46D4-B2B5-69C84E50BB5E}"/>
                </c:ext>
              </c:extLst>
            </c:dLbl>
            <c:dLbl>
              <c:idx val="2"/>
              <c:layout>
                <c:manualLayout>
                  <c:x val="-4.5077751530732209E-17"/>
                  <c:y val="0"/>
                </c:manualLayout>
              </c:layout>
              <c:tx>
                <c:rich>
                  <a:bodyPr/>
                  <a:lstStyle/>
                  <a:p>
                    <a:r>
                      <a:rPr lang="en-US"/>
                      <a:t>281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8F0-46D4-B2B5-69C84E50BB5E}"/>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Sheet1!$A$2:$A$5</c:f>
              <c:numCache>
                <c:formatCode>General</c:formatCode>
                <c:ptCount val="4"/>
                <c:pt idx="0">
                  <c:v>2017</c:v>
                </c:pt>
                <c:pt idx="1">
                  <c:v>2018</c:v>
                </c:pt>
                <c:pt idx="2">
                  <c:v>2019</c:v>
                </c:pt>
                <c:pt idx="3">
                  <c:v>2020</c:v>
                </c:pt>
              </c:numCache>
            </c:numRef>
          </c:cat>
          <c:val>
            <c:numRef>
              <c:f>Sheet1!$C$2:$C$5</c:f>
              <c:numCache>
                <c:formatCode>General</c:formatCode>
                <c:ptCount val="4"/>
                <c:pt idx="0">
                  <c:v>229</c:v>
                </c:pt>
                <c:pt idx="1">
                  <c:v>229</c:v>
                </c:pt>
                <c:pt idx="2">
                  <c:v>281</c:v>
                </c:pt>
                <c:pt idx="3">
                  <c:v>287</c:v>
                </c:pt>
              </c:numCache>
            </c:numRef>
          </c:val>
          <c:extLst xmlns:c16r2="http://schemas.microsoft.com/office/drawing/2015/06/chart">
            <c:ext xmlns:c16="http://schemas.microsoft.com/office/drawing/2014/chart" uri="{C3380CC4-5D6E-409C-BE32-E72D297353CC}">
              <c16:uniqueId val="{00000002-58F0-46D4-B2B5-69C84E50BB5E}"/>
            </c:ext>
          </c:extLst>
        </c:ser>
        <c:ser>
          <c:idx val="2"/>
          <c:order val="2"/>
          <c:tx>
            <c:strRef>
              <c:f>Sheet1!$D$1</c:f>
              <c:strCache>
                <c:ptCount val="1"/>
                <c:pt idx="0">
                  <c:v>број ревизорских извештаја</c:v>
                </c:pt>
              </c:strCache>
            </c:strRef>
          </c:tx>
          <c:invertIfNegative val="0"/>
          <c:dLbls>
            <c:dLbl>
              <c:idx val="0"/>
              <c:layout>
                <c:manualLayout>
                  <c:x val="1.1990407673860911E-2"/>
                  <c:y val="-3.150020884458555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58F0-46D4-B2B5-69C84E50BB5E}"/>
                </c:ext>
              </c:extLst>
            </c:dLbl>
            <c:dLbl>
              <c:idx val="1"/>
              <c:layout>
                <c:manualLayout>
                  <c:x val="1.1990407673860868E-2"/>
                  <c:y val="0"/>
                </c:manualLayout>
              </c:layout>
              <c:tx>
                <c:rich>
                  <a:bodyPr/>
                  <a:lstStyle/>
                  <a:p>
                    <a:r>
                      <a:rPr lang="en-US"/>
                      <a:t>221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58F0-46D4-B2B5-69C84E50BB5E}"/>
                </c:ext>
              </c:extLst>
            </c:dLbl>
            <c:dLbl>
              <c:idx val="2"/>
              <c:layout>
                <c:manualLayout>
                  <c:x val="9.5923261390887284E-3"/>
                  <c:y val="0"/>
                </c:manualLayout>
              </c:layout>
              <c:tx>
                <c:rich>
                  <a:bodyPr/>
                  <a:lstStyle/>
                  <a:p>
                    <a:r>
                      <a:rPr lang="en-US"/>
                      <a:t>240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58F0-46D4-B2B5-69C84E50BB5E}"/>
                </c:ext>
              </c:extLst>
            </c:dLbl>
            <c:dLbl>
              <c:idx val="3"/>
              <c:layout>
                <c:manualLayout>
                  <c:x val="9.5923261390887284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58F0-46D4-B2B5-69C84E50BB5E}"/>
                </c:ext>
              </c:extLst>
            </c:dLbl>
            <c:spPr>
              <a:ln>
                <a:solidFill>
                  <a:schemeClr val="tx1"/>
                </a:solidFill>
              </a:ln>
            </c:spPr>
            <c:txPr>
              <a:bodyPr/>
              <a:lstStyle/>
              <a:p>
                <a:pPr>
                  <a:defRPr>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Sheet1!$A$2:$A$5</c:f>
              <c:numCache>
                <c:formatCode>General</c:formatCode>
                <c:ptCount val="4"/>
                <c:pt idx="0">
                  <c:v>2017</c:v>
                </c:pt>
                <c:pt idx="1">
                  <c:v>2018</c:v>
                </c:pt>
                <c:pt idx="2">
                  <c:v>2019</c:v>
                </c:pt>
                <c:pt idx="3">
                  <c:v>2020</c:v>
                </c:pt>
              </c:numCache>
            </c:numRef>
          </c:cat>
          <c:val>
            <c:numRef>
              <c:f>Sheet1!$D$2:$D$5</c:f>
              <c:numCache>
                <c:formatCode>General</c:formatCode>
                <c:ptCount val="4"/>
                <c:pt idx="0">
                  <c:v>220</c:v>
                </c:pt>
                <c:pt idx="1">
                  <c:v>221</c:v>
                </c:pt>
                <c:pt idx="2">
                  <c:v>240</c:v>
                </c:pt>
                <c:pt idx="3">
                  <c:v>254</c:v>
                </c:pt>
              </c:numCache>
            </c:numRef>
          </c:val>
          <c:extLst xmlns:c16r2="http://schemas.microsoft.com/office/drawing/2015/06/chart">
            <c:ext xmlns:c16="http://schemas.microsoft.com/office/drawing/2014/chart" uri="{C3380CC4-5D6E-409C-BE32-E72D297353CC}">
              <c16:uniqueId val="{00000007-58F0-46D4-B2B5-69C84E50BB5E}"/>
            </c:ext>
          </c:extLst>
        </c:ser>
        <c:ser>
          <c:idx val="0"/>
          <c:order val="0"/>
          <c:tx>
            <c:strRef>
              <c:f>Sheet1!$B$1</c:f>
              <c:strCache>
                <c:ptCount val="1"/>
                <c:pt idx="0">
                  <c:v>број ревизорских тимова</c:v>
                </c:pt>
              </c:strCache>
            </c:strRef>
          </c:tx>
          <c:invertIfNegative val="0"/>
          <c:dLbls>
            <c:spPr>
              <a:ln>
                <a:solidFill>
                  <a:schemeClr val="accent1"/>
                </a:solidFill>
              </a:ln>
            </c:spPr>
            <c:txPr>
              <a:bodyPr/>
              <a:lstStyle/>
              <a:p>
                <a:pPr>
                  <a:defRPr>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Sheet1!$A$2:$A$5</c:f>
              <c:numCache>
                <c:formatCode>General</c:formatCode>
                <c:ptCount val="4"/>
                <c:pt idx="0">
                  <c:v>2017</c:v>
                </c:pt>
                <c:pt idx="1">
                  <c:v>2018</c:v>
                </c:pt>
                <c:pt idx="2">
                  <c:v>2019</c:v>
                </c:pt>
                <c:pt idx="3">
                  <c:v>2020</c:v>
                </c:pt>
              </c:numCache>
            </c:numRef>
          </c:cat>
          <c:val>
            <c:numRef>
              <c:f>Sheet1!$B$2:$B$5</c:f>
              <c:numCache>
                <c:formatCode>General</c:formatCode>
                <c:ptCount val="4"/>
                <c:pt idx="0">
                  <c:v>53</c:v>
                </c:pt>
                <c:pt idx="1">
                  <c:v>54</c:v>
                </c:pt>
                <c:pt idx="2">
                  <c:v>55</c:v>
                </c:pt>
                <c:pt idx="3">
                  <c:v>66</c:v>
                </c:pt>
              </c:numCache>
            </c:numRef>
          </c:val>
          <c:extLst xmlns:c16r2="http://schemas.microsoft.com/office/drawing/2015/06/chart">
            <c:ext xmlns:c16="http://schemas.microsoft.com/office/drawing/2014/chart" uri="{C3380CC4-5D6E-409C-BE32-E72D297353CC}">
              <c16:uniqueId val="{00000008-58F0-46D4-B2B5-69C84E50BB5E}"/>
            </c:ext>
          </c:extLst>
        </c:ser>
        <c:dLbls>
          <c:showLegendKey val="0"/>
          <c:showVal val="0"/>
          <c:showCatName val="0"/>
          <c:showSerName val="0"/>
          <c:showPercent val="0"/>
          <c:showBubbleSize val="0"/>
        </c:dLbls>
        <c:gapWidth val="150"/>
        <c:axId val="604511744"/>
        <c:axId val="84051072"/>
      </c:barChart>
      <c:catAx>
        <c:axId val="604511744"/>
        <c:scaling>
          <c:orientation val="minMax"/>
        </c:scaling>
        <c:delete val="0"/>
        <c:axPos val="b"/>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en-US"/>
          </a:p>
        </c:txPr>
        <c:crossAx val="84051072"/>
        <c:crosses val="autoZero"/>
        <c:auto val="1"/>
        <c:lblAlgn val="ctr"/>
        <c:lblOffset val="100"/>
        <c:noMultiLvlLbl val="0"/>
      </c:catAx>
      <c:valAx>
        <c:axId val="84051072"/>
        <c:scaling>
          <c:orientation val="minMax"/>
        </c:scaling>
        <c:delete val="0"/>
        <c:axPos val="l"/>
        <c:majorGridlines>
          <c:spPr>
            <a:ln>
              <a:noFill/>
            </a:ln>
          </c:spPr>
        </c:majorGridlines>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en-US"/>
          </a:p>
        </c:txPr>
        <c:crossAx val="604511744"/>
        <c:crosses val="autoZero"/>
        <c:crossBetween val="between"/>
      </c:valAx>
      <c:spPr>
        <a:noFill/>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en-US"/>
        </a:p>
      </c:txPr>
    </c:legend>
    <c:plotVisOnly val="1"/>
    <c:dispBlanksAs val="zero"/>
    <c:showDLblsOverMax val="0"/>
  </c:chart>
  <c:spPr>
    <a:ln>
      <a:solidFill>
        <a:schemeClr val="tx1"/>
      </a:solid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Cyrl-RS" sz="1400">
                <a:latin typeface="Times New Roman" panose="02020603050405020304" pitchFamily="18" charset="0"/>
                <a:cs typeface="Times New Roman" panose="02020603050405020304" pitchFamily="18" charset="0"/>
              </a:rPr>
              <a:t>Процена трошкова за реализацију мера у Акционом плану Програма реформе управљања јавним финансијама 2021-2025</a:t>
            </a:r>
          </a:p>
          <a:p>
            <a:pPr>
              <a:defRPr sz="1800" b="1" i="0" u="none" strike="noStrike" kern="1200" baseline="0">
                <a:solidFill>
                  <a:schemeClr val="dk1">
                    <a:lumMod val="75000"/>
                    <a:lumOff val="25000"/>
                  </a:schemeClr>
                </a:solidFill>
                <a:latin typeface="+mn-lt"/>
                <a:ea typeface="+mn-ea"/>
                <a:cs typeface="+mn-cs"/>
              </a:defRPr>
            </a:pPr>
            <a:r>
              <a:rPr lang="sr-Cyrl-RS" sz="1400">
                <a:latin typeface="Times New Roman" panose="02020603050405020304" pitchFamily="18" charset="0"/>
                <a:cs typeface="Times New Roman" panose="02020603050405020304" pitchFamily="18" charset="0"/>
              </a:rPr>
              <a:t>Укупно: 7,</a:t>
            </a:r>
            <a:r>
              <a:rPr lang="sr-Latn-RS" sz="1400">
                <a:latin typeface="Times New Roman" panose="02020603050405020304" pitchFamily="18" charset="0"/>
                <a:cs typeface="Times New Roman" panose="02020603050405020304" pitchFamily="18" charset="0"/>
              </a:rPr>
              <a:t>8</a:t>
            </a:r>
            <a:r>
              <a:rPr lang="en-US" sz="1400">
                <a:latin typeface="Times New Roman" panose="02020603050405020304" pitchFamily="18" charset="0"/>
                <a:cs typeface="Times New Roman" panose="02020603050405020304" pitchFamily="18" charset="0"/>
              </a:rPr>
              <a:t>22</a:t>
            </a:r>
            <a:r>
              <a:rPr lang="sr-Cyrl-RS" sz="1400">
                <a:latin typeface="Times New Roman" panose="02020603050405020304" pitchFamily="18" charset="0"/>
                <a:cs typeface="Times New Roman" panose="02020603050405020304" pitchFamily="18" charset="0"/>
              </a:rPr>
              <a:t>,</a:t>
            </a:r>
            <a:r>
              <a:rPr lang="en-US" sz="1400">
                <a:latin typeface="Times New Roman" panose="02020603050405020304" pitchFamily="18" charset="0"/>
                <a:cs typeface="Times New Roman" panose="02020603050405020304" pitchFamily="18" charset="0"/>
              </a:rPr>
              <a:t>84</a:t>
            </a:r>
            <a:r>
              <a:rPr lang="sr-Latn-RS" sz="1400">
                <a:latin typeface="Times New Roman" panose="02020603050405020304" pitchFamily="18" charset="0"/>
                <a:cs typeface="Times New Roman" panose="02020603050405020304" pitchFamily="18" charset="0"/>
              </a:rPr>
              <a:t>9</a:t>
            </a:r>
            <a:r>
              <a:rPr lang="sr-Cyrl-RS" sz="1400">
                <a:latin typeface="Times New Roman" panose="02020603050405020304" pitchFamily="18" charset="0"/>
                <a:cs typeface="Times New Roman" panose="02020603050405020304" pitchFamily="18" charset="0"/>
              </a:rPr>
              <a:t>,</a:t>
            </a:r>
            <a:r>
              <a:rPr lang="sr-Latn-RS" sz="1400">
                <a:latin typeface="Times New Roman" panose="02020603050405020304" pitchFamily="18" charset="0"/>
                <a:cs typeface="Times New Roman" panose="02020603050405020304" pitchFamily="18" charset="0"/>
              </a:rPr>
              <a:t>0</a:t>
            </a:r>
            <a:r>
              <a:rPr lang="sr-Cyrl-RS" sz="1400">
                <a:latin typeface="Times New Roman" panose="02020603050405020304" pitchFamily="18" charset="0"/>
                <a:cs typeface="Times New Roman" panose="02020603050405020304" pitchFamily="18" charset="0"/>
              </a:rPr>
              <a:t>00 РСД</a:t>
            </a:r>
          </a:p>
        </c:rich>
      </c:tx>
      <c:layout>
        <c:manualLayout>
          <c:xMode val="edge"/>
          <c:yMode val="edge"/>
          <c:x val="0.10261574074074074"/>
          <c:y val="2.7777777777777776E-2"/>
        </c:manualLayout>
      </c:layout>
      <c:overlay val="0"/>
      <c:spPr>
        <a:noFill/>
        <a:ln>
          <a:noFill/>
        </a:ln>
        <a:effectLst/>
      </c:spPr>
    </c:title>
    <c:autoTitleDeleted val="0"/>
    <c:view3D>
      <c:rotX val="5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Sheet1!$B$1</c:f>
              <c:strCache>
                <c:ptCount val="1"/>
                <c:pt idx="0">
                  <c:v>Процена трошкова за реализацију мера у Акционом плану Програма реформе управљања јавним финансијама 2021-2025</c:v>
                </c:pt>
              </c:strCache>
            </c:strRef>
          </c:tx>
          <c:dPt>
            <c:idx val="0"/>
            <c:bubble3D val="0"/>
            <c:spPr>
              <a:solidFill>
                <a:schemeClr val="accent6"/>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5841-4D2F-AA81-AFA62204BF0D}"/>
              </c:ext>
            </c:extLst>
          </c:dPt>
          <c:dPt>
            <c:idx val="1"/>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5841-4D2F-AA81-AFA62204BF0D}"/>
              </c:ext>
            </c:extLst>
          </c:dPt>
          <c:dPt>
            <c:idx val="2"/>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5841-4D2F-AA81-AFA62204BF0D}"/>
              </c:ext>
            </c:extLst>
          </c:dPt>
          <c:dPt>
            <c:idx val="3"/>
            <c:bubble3D val="0"/>
            <c:spPr>
              <a:solidFill>
                <a:schemeClr val="accent6">
                  <a:lumMod val="6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7-5841-4D2F-AA81-AFA62204BF0D}"/>
              </c:ext>
            </c:extLst>
          </c:dPt>
          <c:dLbls>
            <c:dLbl>
              <c:idx val="0"/>
              <c:layout>
                <c:manualLayout>
                  <c:x val="0.25883737444408184"/>
                  <c:y val="7.7412305272021378E-2"/>
                </c:manualLayout>
              </c:layout>
              <c:dLblPos val="bestFit"/>
              <c:showLegendKey val="0"/>
              <c:showVal val="1"/>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841-4D2F-AA81-AFA62204BF0D}"/>
                </c:ext>
              </c:extLst>
            </c:dLbl>
            <c:dLbl>
              <c:idx val="1"/>
              <c:layout>
                <c:manualLayout>
                  <c:x val="4.427245176227556E-2"/>
                  <c:y val="1.4896755332604001E-2"/>
                </c:manualLayout>
              </c:layout>
              <c:tx>
                <c:rich>
                  <a:bodyPr/>
                  <a:lstStyle/>
                  <a:p>
                    <a:r>
                      <a:rPr lang="sr-Cyrl-RS"/>
                      <a:t>Средства развојне помоћи</a:t>
                    </a:r>
                    <a:r>
                      <a:rPr lang="sr-Cyrl-RS" baseline="0"/>
                      <a:t> </a:t>
                    </a:r>
                    <a:fld id="{38E9DF8A-596D-4F19-8D9B-1E13988BD01D}" type="VALUE">
                      <a:rPr lang="en-US" baseline="0"/>
                      <a:pPr/>
                      <a:t>[VALUE]</a:t>
                    </a:fld>
                    <a:r>
                      <a:rPr lang="en-US" baseline="0"/>
                      <a:t>, </a:t>
                    </a:r>
                    <a:fld id="{DB2FAF25-0345-43F7-9A15-96FCA1F71309}" type="PERCENTAGE">
                      <a:rPr lang="en-US" baseline="0"/>
                      <a:pPr/>
                      <a:t>[PERCENTAGE]</a:t>
                    </a:fld>
                    <a:endParaRPr lang="en-US" baseline="0"/>
                  </a:p>
                </c:rich>
              </c:tx>
              <c:dLblPos val="bestFit"/>
              <c:showLegendKey val="0"/>
              <c:showVal val="1"/>
              <c:showCatName val="1"/>
              <c:showSerName val="0"/>
              <c:showPercent val="1"/>
              <c:showBubbleSize val="0"/>
              <c:extLst xmlns:c16r2="http://schemas.microsoft.com/office/drawing/2015/06/chart">
                <c:ext xmlns:c15="http://schemas.microsoft.com/office/drawing/2012/chart" uri="{CE6537A1-D6FC-4f65-9D91-7224C49458BB}">
                  <c15:dlblFieldTable/>
                  <c15:showDataLabelsRange val="0"/>
                </c:ext>
                <c:ext xmlns:c16="http://schemas.microsoft.com/office/drawing/2014/chart" uri="{C3380CC4-5D6E-409C-BE32-E72D297353CC}">
                  <c16:uniqueId val="{00000003-5841-4D2F-AA81-AFA62204BF0D}"/>
                </c:ext>
              </c:extLst>
            </c:dLbl>
            <c:dLbl>
              <c:idx val="2"/>
              <c:layout>
                <c:manualLayout>
                  <c:x val="1.4995524739553798E-2"/>
                  <c:y val="-0.10672023045674374"/>
                </c:manualLayout>
              </c:layout>
              <c:tx>
                <c:rich>
                  <a:bodyPr/>
                  <a:lstStyle/>
                  <a:p>
                    <a:fld id="{FFB86505-2957-4017-ADBA-6EE9CCBBF782}" type="CATEGORYNAME">
                      <a:rPr lang="sr-Cyrl-RS"/>
                      <a:pPr/>
                      <a:t>[CATEGORY NAME]</a:t>
                    </a:fld>
                    <a:r>
                      <a:rPr lang="sr-Cyrl-RS" baseline="0"/>
                      <a:t>, 2,866,160,500</a:t>
                    </a:r>
                  </a:p>
                  <a:p>
                    <a:r>
                      <a:rPr lang="sr-Cyrl-RS" baseline="0"/>
                      <a:t> </a:t>
                    </a:r>
                    <a:fld id="{9D9B1131-81A5-481B-A520-523F73A833E2}" type="PERCENTAGE">
                      <a:rPr lang="sr-Cyrl-RS" baseline="0"/>
                      <a:pPr/>
                      <a:t>[PERCENTAGE]</a:t>
                    </a:fld>
                    <a:endParaRPr lang="sr-Cyrl-RS" baseline="0"/>
                  </a:p>
                </c:rich>
              </c:tx>
              <c:dLblPos val="bestFit"/>
              <c:showLegendKey val="0"/>
              <c:showVal val="1"/>
              <c:showCatName val="1"/>
              <c:showSerName val="0"/>
              <c:showPercent val="1"/>
              <c:showBubbleSize val="0"/>
              <c:extLst xmlns:c16r2="http://schemas.microsoft.com/office/drawing/2015/06/chart">
                <c:ext xmlns:c15="http://schemas.microsoft.com/office/drawing/2012/chart" uri="{CE6537A1-D6FC-4f65-9D91-7224C49458BB}">
                  <c15:dlblFieldTable/>
                  <c15:showDataLabelsRange val="0"/>
                </c:ext>
                <c:ext xmlns:c16="http://schemas.microsoft.com/office/drawing/2014/chart" uri="{C3380CC4-5D6E-409C-BE32-E72D297353CC}">
                  <c16:uniqueId val="{00000005-5841-4D2F-AA81-AFA62204BF0D}"/>
                </c:ext>
              </c:extLst>
            </c:dLbl>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1"/>
            <c:showCatName val="1"/>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Sheet1!$A$2:$A$5</c:f>
              <c:strCache>
                <c:ptCount val="3"/>
                <c:pt idx="0">
                  <c:v>Буџетска средства</c:v>
                </c:pt>
                <c:pt idx="1">
                  <c:v> Средства развојне помоћи</c:v>
                </c:pt>
                <c:pt idx="2">
                  <c:v>Недостајућа средства</c:v>
                </c:pt>
              </c:strCache>
            </c:strRef>
          </c:cat>
          <c:val>
            <c:numRef>
              <c:f>Sheet1!$B$2:$B$5</c:f>
              <c:numCache>
                <c:formatCode>#,##0</c:formatCode>
                <c:ptCount val="4"/>
                <c:pt idx="0">
                  <c:v>1602812900</c:v>
                </c:pt>
                <c:pt idx="1">
                  <c:v>3351076600</c:v>
                </c:pt>
                <c:pt idx="2">
                  <c:v>2868959500</c:v>
                </c:pt>
              </c:numCache>
            </c:numRef>
          </c:val>
          <c:extLst xmlns:c16r2="http://schemas.microsoft.com/office/drawing/2015/06/chart">
            <c:ext xmlns:c16="http://schemas.microsoft.com/office/drawing/2014/chart" uri="{C3380CC4-5D6E-409C-BE32-E72D297353CC}">
              <c16:uniqueId val="{00000008-5841-4D2F-AA81-AFA62204BF0D}"/>
            </c:ext>
          </c:extLst>
        </c:ser>
        <c:dLbls>
          <c:dLblPos val="ctr"/>
          <c:showLegendKey val="0"/>
          <c:showVal val="1"/>
          <c:showCatName val="0"/>
          <c:showSerName val="0"/>
          <c:showPercent val="0"/>
          <c:showBubbleSize val="0"/>
          <c:showLeaderLines val="1"/>
        </c:dLbls>
      </c:pie3DChart>
      <c:spPr>
        <a:noFill/>
        <a:ln>
          <a:noFill/>
        </a:ln>
        <a:effectLst/>
      </c:spPr>
    </c:plotArea>
    <c:legend>
      <c:legendPos val="r"/>
      <c:legendEntry>
        <c:idx val="3"/>
        <c:delete val="1"/>
      </c:legendEntry>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Cyrl-RS" sz="1400">
                <a:latin typeface="Times New Roman" panose="02020603050405020304" pitchFamily="18" charset="0"/>
                <a:cs typeface="Times New Roman" panose="02020603050405020304" pitchFamily="18" charset="0"/>
              </a:rPr>
              <a:t>Процена трошкова за реализацију мера у Акционом плану Програма реформе управљања јавним финансијама 2021-2025</a:t>
            </a:r>
          </a:p>
          <a:p>
            <a:pPr>
              <a:defRPr sz="1800" b="1" i="0" u="none" strike="noStrike" kern="1200" baseline="0">
                <a:solidFill>
                  <a:schemeClr val="dk1">
                    <a:lumMod val="75000"/>
                    <a:lumOff val="25000"/>
                  </a:schemeClr>
                </a:solidFill>
                <a:latin typeface="+mn-lt"/>
                <a:ea typeface="+mn-ea"/>
                <a:cs typeface="+mn-cs"/>
              </a:defRPr>
            </a:pPr>
            <a:r>
              <a:rPr lang="sr-Cyrl-RS" sz="1400">
                <a:latin typeface="Times New Roman" panose="02020603050405020304" pitchFamily="18" charset="0"/>
                <a:cs typeface="Times New Roman" panose="02020603050405020304" pitchFamily="18" charset="0"/>
              </a:rPr>
              <a:t>Укупно: 7,</a:t>
            </a:r>
            <a:r>
              <a:rPr lang="sr-Latn-RS" sz="1400">
                <a:latin typeface="Times New Roman" panose="02020603050405020304" pitchFamily="18" charset="0"/>
                <a:cs typeface="Times New Roman" panose="02020603050405020304" pitchFamily="18" charset="0"/>
              </a:rPr>
              <a:t>8</a:t>
            </a:r>
            <a:r>
              <a:rPr lang="en-US" sz="1400">
                <a:latin typeface="Times New Roman" panose="02020603050405020304" pitchFamily="18" charset="0"/>
                <a:cs typeface="Times New Roman" panose="02020603050405020304" pitchFamily="18" charset="0"/>
              </a:rPr>
              <a:t>22</a:t>
            </a:r>
            <a:r>
              <a:rPr lang="sr-Cyrl-RS" sz="1400">
                <a:latin typeface="Times New Roman" panose="02020603050405020304" pitchFamily="18" charset="0"/>
                <a:cs typeface="Times New Roman" panose="02020603050405020304" pitchFamily="18" charset="0"/>
              </a:rPr>
              <a:t>,</a:t>
            </a:r>
            <a:r>
              <a:rPr lang="en-US" sz="1400">
                <a:latin typeface="Times New Roman" panose="02020603050405020304" pitchFamily="18" charset="0"/>
                <a:cs typeface="Times New Roman" panose="02020603050405020304" pitchFamily="18" charset="0"/>
              </a:rPr>
              <a:t>84</a:t>
            </a:r>
            <a:r>
              <a:rPr lang="sr-Latn-RS" sz="1400">
                <a:latin typeface="Times New Roman" panose="02020603050405020304" pitchFamily="18" charset="0"/>
                <a:cs typeface="Times New Roman" panose="02020603050405020304" pitchFamily="18" charset="0"/>
              </a:rPr>
              <a:t>9</a:t>
            </a:r>
            <a:r>
              <a:rPr lang="sr-Cyrl-RS" sz="1400">
                <a:latin typeface="Times New Roman" panose="02020603050405020304" pitchFamily="18" charset="0"/>
                <a:cs typeface="Times New Roman" panose="02020603050405020304" pitchFamily="18" charset="0"/>
              </a:rPr>
              <a:t>,</a:t>
            </a:r>
            <a:r>
              <a:rPr lang="sr-Latn-RS" sz="1400">
                <a:latin typeface="Times New Roman" panose="02020603050405020304" pitchFamily="18" charset="0"/>
                <a:cs typeface="Times New Roman" panose="02020603050405020304" pitchFamily="18" charset="0"/>
              </a:rPr>
              <a:t>0</a:t>
            </a:r>
            <a:r>
              <a:rPr lang="sr-Cyrl-RS" sz="1400">
                <a:latin typeface="Times New Roman" panose="02020603050405020304" pitchFamily="18" charset="0"/>
                <a:cs typeface="Times New Roman" panose="02020603050405020304" pitchFamily="18" charset="0"/>
              </a:rPr>
              <a:t>00 РСД</a:t>
            </a:r>
          </a:p>
        </c:rich>
      </c:tx>
      <c:layout>
        <c:manualLayout>
          <c:xMode val="edge"/>
          <c:yMode val="edge"/>
          <c:x val="0.10261574074074074"/>
          <c:y val="2.7777777777777776E-2"/>
        </c:manualLayout>
      </c:layout>
      <c:overlay val="0"/>
      <c:spPr>
        <a:noFill/>
        <a:ln>
          <a:noFill/>
        </a:ln>
        <a:effectLst/>
      </c:spPr>
    </c:title>
    <c:autoTitleDeleted val="0"/>
    <c:view3D>
      <c:rotX val="5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Sheet1!$B$1</c:f>
              <c:strCache>
                <c:ptCount val="1"/>
                <c:pt idx="0">
                  <c:v>Процена трошкова за реализацију мера у Акционом плану Програма реформе управљања јавним финансијама 2021-2025</c:v>
                </c:pt>
              </c:strCache>
            </c:strRef>
          </c:tx>
          <c:dPt>
            <c:idx val="0"/>
            <c:bubble3D val="0"/>
            <c:spPr>
              <a:solidFill>
                <a:schemeClr val="accent6"/>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5C7F-4705-BCC2-727884902055}"/>
              </c:ext>
            </c:extLst>
          </c:dPt>
          <c:dPt>
            <c:idx val="1"/>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5C7F-4705-BCC2-727884902055}"/>
              </c:ext>
            </c:extLst>
          </c:dPt>
          <c:dPt>
            <c:idx val="2"/>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5C7F-4705-BCC2-727884902055}"/>
              </c:ext>
            </c:extLst>
          </c:dPt>
          <c:dPt>
            <c:idx val="3"/>
            <c:bubble3D val="0"/>
            <c:spPr>
              <a:solidFill>
                <a:schemeClr val="accent6">
                  <a:lumMod val="60000"/>
                </a:schemeClr>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7-5C7F-4705-BCC2-727884902055}"/>
              </c:ext>
            </c:extLst>
          </c:dPt>
          <c:dLbls>
            <c:dLbl>
              <c:idx val="0"/>
              <c:layout>
                <c:manualLayout>
                  <c:x val="0.25883737444408184"/>
                  <c:y val="7.7412305272021378E-2"/>
                </c:manualLayout>
              </c:layout>
              <c:dLblPos val="bestFit"/>
              <c:showLegendKey val="0"/>
              <c:showVal val="1"/>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C7F-4705-BCC2-727884902055}"/>
                </c:ext>
              </c:extLst>
            </c:dLbl>
            <c:dLbl>
              <c:idx val="1"/>
              <c:layout>
                <c:manualLayout>
                  <c:x val="4.427245176227556E-2"/>
                  <c:y val="1.4896755332604001E-2"/>
                </c:manualLayout>
              </c:layout>
              <c:tx>
                <c:rich>
                  <a:bodyPr/>
                  <a:lstStyle/>
                  <a:p>
                    <a:r>
                      <a:rPr lang="sr-Cyrl-RS"/>
                      <a:t>Средства развојне помоћи</a:t>
                    </a:r>
                    <a:r>
                      <a:rPr lang="sr-Cyrl-RS" baseline="0"/>
                      <a:t> </a:t>
                    </a:r>
                    <a:fld id="{38E9DF8A-596D-4F19-8D9B-1E13988BD01D}" type="VALUE">
                      <a:rPr lang="en-US" baseline="0"/>
                      <a:pPr/>
                      <a:t>[VALUE]</a:t>
                    </a:fld>
                    <a:r>
                      <a:rPr lang="en-US" baseline="0"/>
                      <a:t>, </a:t>
                    </a:r>
                    <a:fld id="{DB2FAF25-0345-43F7-9A15-96FCA1F71309}" type="PERCENTAGE">
                      <a:rPr lang="en-US" baseline="0"/>
                      <a:pPr/>
                      <a:t>[PERCENTAGE]</a:t>
                    </a:fld>
                    <a:endParaRPr lang="en-US" baseline="0"/>
                  </a:p>
                </c:rich>
              </c:tx>
              <c:dLblPos val="bestFit"/>
              <c:showLegendKey val="0"/>
              <c:showVal val="1"/>
              <c:showCatName val="1"/>
              <c:showSerName val="0"/>
              <c:showPercent val="1"/>
              <c:showBubbleSize val="0"/>
              <c:extLst xmlns:c16r2="http://schemas.microsoft.com/office/drawing/2015/06/chart">
                <c:ext xmlns:c15="http://schemas.microsoft.com/office/drawing/2012/chart" uri="{CE6537A1-D6FC-4f65-9D91-7224C49458BB}">
                  <c15:dlblFieldTable/>
                  <c15:showDataLabelsRange val="0"/>
                </c:ext>
                <c:ext xmlns:c16="http://schemas.microsoft.com/office/drawing/2014/chart" uri="{C3380CC4-5D6E-409C-BE32-E72D297353CC}">
                  <c16:uniqueId val="{00000003-5C7F-4705-BCC2-727884902055}"/>
                </c:ext>
              </c:extLst>
            </c:dLbl>
            <c:dLbl>
              <c:idx val="2"/>
              <c:layout>
                <c:manualLayout>
                  <c:x val="1.4995524739553798E-2"/>
                  <c:y val="-0.10672023045674374"/>
                </c:manualLayout>
              </c:layout>
              <c:tx>
                <c:rich>
                  <a:bodyPr/>
                  <a:lstStyle/>
                  <a:p>
                    <a:fld id="{FFB86505-2957-4017-ADBA-6EE9CCBBF782}" type="CATEGORYNAME">
                      <a:rPr lang="sr-Cyrl-RS"/>
                      <a:pPr/>
                      <a:t>[CATEGORY NAME]</a:t>
                    </a:fld>
                    <a:r>
                      <a:rPr lang="sr-Cyrl-RS" baseline="0"/>
                      <a:t>, 2,868,959,500</a:t>
                    </a:r>
                  </a:p>
                  <a:p>
                    <a:r>
                      <a:rPr lang="sr-Cyrl-RS" baseline="0"/>
                      <a:t> </a:t>
                    </a:r>
                    <a:fld id="{9D9B1131-81A5-481B-A520-523F73A833E2}" type="PERCENTAGE">
                      <a:rPr lang="sr-Cyrl-RS" baseline="0"/>
                      <a:pPr/>
                      <a:t>[PERCENTAGE]</a:t>
                    </a:fld>
                    <a:endParaRPr lang="sr-Cyrl-RS" baseline="0"/>
                  </a:p>
                </c:rich>
              </c:tx>
              <c:dLblPos val="bestFit"/>
              <c:showLegendKey val="0"/>
              <c:showVal val="1"/>
              <c:showCatName val="1"/>
              <c:showSerName val="0"/>
              <c:showPercent val="1"/>
              <c:showBubbleSize val="0"/>
              <c:extLst xmlns:c16r2="http://schemas.microsoft.com/office/drawing/2015/06/chart">
                <c:ext xmlns:c15="http://schemas.microsoft.com/office/drawing/2012/chart" uri="{CE6537A1-D6FC-4f65-9D91-7224C49458BB}">
                  <c15:dlblFieldTable/>
                  <c15:showDataLabelsRange val="0"/>
                </c:ext>
                <c:ext xmlns:c16="http://schemas.microsoft.com/office/drawing/2014/chart" uri="{C3380CC4-5D6E-409C-BE32-E72D297353CC}">
                  <c16:uniqueId val="{00000005-5C7F-4705-BCC2-727884902055}"/>
                </c:ext>
              </c:extLst>
            </c:dLbl>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1"/>
            <c:showCatName val="1"/>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Sheet1!$A$2:$A$5</c:f>
              <c:strCache>
                <c:ptCount val="3"/>
                <c:pt idx="0">
                  <c:v>Буџетска средства</c:v>
                </c:pt>
                <c:pt idx="1">
                  <c:v> Средства развојне помоћи</c:v>
                </c:pt>
                <c:pt idx="2">
                  <c:v>Недостајућа средства</c:v>
                </c:pt>
              </c:strCache>
            </c:strRef>
          </c:cat>
          <c:val>
            <c:numRef>
              <c:f>Sheet1!$B$2:$B$5</c:f>
              <c:numCache>
                <c:formatCode>#,##0</c:formatCode>
                <c:ptCount val="4"/>
                <c:pt idx="0">
                  <c:v>1602812900</c:v>
                </c:pt>
                <c:pt idx="1">
                  <c:v>3351076600</c:v>
                </c:pt>
                <c:pt idx="2">
                  <c:v>2868959500</c:v>
                </c:pt>
              </c:numCache>
            </c:numRef>
          </c:val>
          <c:extLst xmlns:c16r2="http://schemas.microsoft.com/office/drawing/2015/06/chart">
            <c:ext xmlns:c16="http://schemas.microsoft.com/office/drawing/2014/chart" uri="{C3380CC4-5D6E-409C-BE32-E72D297353CC}">
              <c16:uniqueId val="{00000008-5C7F-4705-BCC2-727884902055}"/>
            </c:ext>
          </c:extLst>
        </c:ser>
        <c:dLbls>
          <c:dLblPos val="ctr"/>
          <c:showLegendKey val="0"/>
          <c:showVal val="1"/>
          <c:showCatName val="0"/>
          <c:showSerName val="0"/>
          <c:showPercent val="0"/>
          <c:showBubbleSize val="0"/>
          <c:showLeaderLines val="1"/>
        </c:dLbls>
      </c:pie3DChart>
      <c:spPr>
        <a:noFill/>
        <a:ln>
          <a:noFill/>
        </a:ln>
        <a:effectLst/>
      </c:spPr>
    </c:plotArea>
    <c:legend>
      <c:legendPos val="r"/>
      <c:legendEntry>
        <c:idx val="3"/>
        <c:delete val="1"/>
      </c:legendEntry>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Sheet1!$B$2</c:f>
              <c:strCache>
                <c:ptCount val="1"/>
                <c:pt idx="0">
                  <c:v>Буџетска средства</c:v>
                </c:pt>
              </c:strCache>
            </c:strRef>
          </c:tx>
          <c:spPr>
            <a:solidFill>
              <a:schemeClr val="accent1"/>
            </a:solidFill>
            <a:ln>
              <a:noFill/>
            </a:ln>
            <a:effectLst/>
          </c:spPr>
          <c:invertIfNegative val="0"/>
          <c:cat>
            <c:strRef>
              <c:f>Sheet1!$A$3:$A$8</c:f>
              <c:strCache>
                <c:ptCount val="6"/>
                <c:pt idx="0">
                  <c:v>Посебни циљ 1</c:v>
                </c:pt>
                <c:pt idx="1">
                  <c:v>Посебни циљ 2</c:v>
                </c:pt>
                <c:pt idx="2">
                  <c:v>Посебни циљ 3</c:v>
                </c:pt>
                <c:pt idx="3">
                  <c:v>Посебни циљ 4</c:v>
                </c:pt>
                <c:pt idx="4">
                  <c:v>Посебни циљ 5</c:v>
                </c:pt>
                <c:pt idx="5">
                  <c:v>Посебни циљ 6</c:v>
                </c:pt>
              </c:strCache>
            </c:strRef>
          </c:cat>
          <c:val>
            <c:numRef>
              <c:f>Sheet1!$B$3:$B$8</c:f>
              <c:numCache>
                <c:formatCode>#,##0</c:formatCode>
                <c:ptCount val="6"/>
                <c:pt idx="0">
                  <c:v>47</c:v>
                </c:pt>
                <c:pt idx="1">
                  <c:v>19</c:v>
                </c:pt>
                <c:pt idx="2">
                  <c:v>22</c:v>
                </c:pt>
                <c:pt idx="3" formatCode="General">
                  <c:v>3</c:v>
                </c:pt>
                <c:pt idx="4" formatCode="General">
                  <c:v>51</c:v>
                </c:pt>
                <c:pt idx="5" formatCode="General">
                  <c:v>0</c:v>
                </c:pt>
              </c:numCache>
            </c:numRef>
          </c:val>
          <c:extLst xmlns:c16r2="http://schemas.microsoft.com/office/drawing/2015/06/chart">
            <c:ext xmlns:c16="http://schemas.microsoft.com/office/drawing/2014/chart" uri="{C3380CC4-5D6E-409C-BE32-E72D297353CC}">
              <c16:uniqueId val="{00000000-8D2D-44CA-936B-6B4A03029661}"/>
            </c:ext>
          </c:extLst>
        </c:ser>
        <c:ser>
          <c:idx val="1"/>
          <c:order val="1"/>
          <c:tx>
            <c:strRef>
              <c:f>Sheet1!$C$2</c:f>
              <c:strCache>
                <c:ptCount val="1"/>
                <c:pt idx="0">
                  <c:v> Средства развојне помоћи</c:v>
                </c:pt>
              </c:strCache>
            </c:strRef>
          </c:tx>
          <c:spPr>
            <a:solidFill>
              <a:schemeClr val="accent2"/>
            </a:solidFill>
            <a:ln>
              <a:noFill/>
            </a:ln>
            <a:effectLst/>
          </c:spPr>
          <c:invertIfNegative val="0"/>
          <c:cat>
            <c:strRef>
              <c:f>Sheet1!$A$3:$A$8</c:f>
              <c:strCache>
                <c:ptCount val="6"/>
                <c:pt idx="0">
                  <c:v>Посебни циљ 1</c:v>
                </c:pt>
                <c:pt idx="1">
                  <c:v>Посебни циљ 2</c:v>
                </c:pt>
                <c:pt idx="2">
                  <c:v>Посебни циљ 3</c:v>
                </c:pt>
                <c:pt idx="3">
                  <c:v>Посебни циљ 4</c:v>
                </c:pt>
                <c:pt idx="4">
                  <c:v>Посебни циљ 5</c:v>
                </c:pt>
                <c:pt idx="5">
                  <c:v>Посебни циљ 6</c:v>
                </c:pt>
              </c:strCache>
            </c:strRef>
          </c:cat>
          <c:val>
            <c:numRef>
              <c:f>Sheet1!$C$3:$C$8</c:f>
              <c:numCache>
                <c:formatCode>General</c:formatCode>
                <c:ptCount val="6"/>
                <c:pt idx="0">
                  <c:v>15</c:v>
                </c:pt>
                <c:pt idx="1">
                  <c:v>49</c:v>
                </c:pt>
                <c:pt idx="2">
                  <c:v>14</c:v>
                </c:pt>
                <c:pt idx="3">
                  <c:v>11</c:v>
                </c:pt>
                <c:pt idx="4">
                  <c:v>1</c:v>
                </c:pt>
                <c:pt idx="5">
                  <c:v>0</c:v>
                </c:pt>
              </c:numCache>
            </c:numRef>
          </c:val>
          <c:extLst xmlns:c16r2="http://schemas.microsoft.com/office/drawing/2015/06/chart">
            <c:ext xmlns:c16="http://schemas.microsoft.com/office/drawing/2014/chart" uri="{C3380CC4-5D6E-409C-BE32-E72D297353CC}">
              <c16:uniqueId val="{00000001-8D2D-44CA-936B-6B4A03029661}"/>
            </c:ext>
          </c:extLst>
        </c:ser>
        <c:ser>
          <c:idx val="2"/>
          <c:order val="2"/>
          <c:tx>
            <c:strRef>
              <c:f>Sheet1!$D$2</c:f>
              <c:strCache>
                <c:ptCount val="1"/>
                <c:pt idx="0">
                  <c:v>Недостајућа средства</c:v>
                </c:pt>
              </c:strCache>
            </c:strRef>
          </c:tx>
          <c:spPr>
            <a:solidFill>
              <a:schemeClr val="accent3"/>
            </a:solidFill>
            <a:ln>
              <a:noFill/>
            </a:ln>
            <a:effectLst/>
          </c:spPr>
          <c:invertIfNegative val="0"/>
          <c:cat>
            <c:strRef>
              <c:f>Sheet1!$A$3:$A$8</c:f>
              <c:strCache>
                <c:ptCount val="6"/>
                <c:pt idx="0">
                  <c:v>Посебни циљ 1</c:v>
                </c:pt>
                <c:pt idx="1">
                  <c:v>Посебни циљ 2</c:v>
                </c:pt>
                <c:pt idx="2">
                  <c:v>Посебни циљ 3</c:v>
                </c:pt>
                <c:pt idx="3">
                  <c:v>Посебни циљ 4</c:v>
                </c:pt>
                <c:pt idx="4">
                  <c:v>Посебни циљ 5</c:v>
                </c:pt>
                <c:pt idx="5">
                  <c:v>Посебни циљ 6</c:v>
                </c:pt>
              </c:strCache>
            </c:strRef>
          </c:cat>
          <c:val>
            <c:numRef>
              <c:f>Sheet1!$D$3:$D$8</c:f>
              <c:numCache>
                <c:formatCode>General</c:formatCode>
                <c:ptCount val="6"/>
                <c:pt idx="0">
                  <c:v>38</c:v>
                </c:pt>
                <c:pt idx="1">
                  <c:v>32</c:v>
                </c:pt>
                <c:pt idx="2">
                  <c:v>64</c:v>
                </c:pt>
                <c:pt idx="3">
                  <c:v>86</c:v>
                </c:pt>
                <c:pt idx="4">
                  <c:v>48</c:v>
                </c:pt>
                <c:pt idx="5">
                  <c:v>100</c:v>
                </c:pt>
              </c:numCache>
            </c:numRef>
          </c:val>
          <c:extLst xmlns:c16r2="http://schemas.microsoft.com/office/drawing/2015/06/chart">
            <c:ext xmlns:c16="http://schemas.microsoft.com/office/drawing/2014/chart" uri="{C3380CC4-5D6E-409C-BE32-E72D297353CC}">
              <c16:uniqueId val="{00000002-8D2D-44CA-936B-6B4A03029661}"/>
            </c:ext>
          </c:extLst>
        </c:ser>
        <c:dLbls>
          <c:showLegendKey val="0"/>
          <c:showVal val="0"/>
          <c:showCatName val="0"/>
          <c:showSerName val="0"/>
          <c:showPercent val="0"/>
          <c:showBubbleSize val="0"/>
        </c:dLbls>
        <c:gapWidth val="150"/>
        <c:overlap val="100"/>
        <c:axId val="604510720"/>
        <c:axId val="84049920"/>
      </c:barChart>
      <c:valAx>
        <c:axId val="8404992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510720"/>
        <c:crosses val="autoZero"/>
        <c:crossBetween val="between"/>
      </c:valAx>
      <c:catAx>
        <c:axId val="6045107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404992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326E02E-7633-4D74-A6EA-2A727C3C0CCF}" type="doc">
      <dgm:prSet loTypeId="urn:microsoft.com/office/officeart/2005/8/layout/target3" loCatId="list" qsTypeId="urn:microsoft.com/office/officeart/2005/8/quickstyle/simple1" qsCatId="simple" csTypeId="urn:microsoft.com/office/officeart/2005/8/colors/accent1_2" csCatId="accent1" phldr="1"/>
      <dgm:spPr/>
    </dgm:pt>
    <dgm:pt modelId="{04B7BEEB-6841-4EEB-BA0D-A299E6047D8E}">
      <dgm:prSet phldrT="[Text]" custT="1"/>
      <dgm:spPr/>
      <dgm:t>
        <a:bodyPr/>
        <a:lstStyle/>
        <a:p>
          <a:pPr algn="just"/>
          <a:r>
            <a:rPr lang="sr-Cyrl-RS" sz="1200">
              <a:latin typeface="Times New Roman" panose="02020603050405020304" pitchFamily="18" charset="0"/>
              <a:cs typeface="Times New Roman" panose="02020603050405020304" pitchFamily="18" charset="0"/>
            </a:rPr>
            <a:t>2020. година: 41 од 47 корисника буџета увело је елементе РОБ који су примењени у 66 програма, 83 програмске активности и 21 пројекту, а исказани кроз 86 циљева и 232 родно осетљива индикатора.</a:t>
          </a:r>
          <a:endParaRPr lang="sr-Latn-RS" sz="1200"/>
        </a:p>
      </dgm:t>
    </dgm:pt>
    <dgm:pt modelId="{DE2C6437-8433-4108-BA81-B586F5431A15}" type="parTrans" cxnId="{39FBC191-14FA-4F6A-9F68-722D2889529D}">
      <dgm:prSet/>
      <dgm:spPr/>
      <dgm:t>
        <a:bodyPr/>
        <a:lstStyle/>
        <a:p>
          <a:pPr algn="just"/>
          <a:endParaRPr lang="sr-Latn-RS"/>
        </a:p>
      </dgm:t>
    </dgm:pt>
    <dgm:pt modelId="{272F18F2-31B3-48FE-94B1-DD3CB78D7B12}" type="sibTrans" cxnId="{39FBC191-14FA-4F6A-9F68-722D2889529D}">
      <dgm:prSet/>
      <dgm:spPr/>
      <dgm:t>
        <a:bodyPr/>
        <a:lstStyle/>
        <a:p>
          <a:pPr algn="just"/>
          <a:endParaRPr lang="sr-Latn-RS"/>
        </a:p>
      </dgm:t>
    </dgm:pt>
    <dgm:pt modelId="{AC271A15-A8C1-4E7E-9DCF-88ED984E4C75}">
      <dgm:prSet phldrT="[Text]" custT="1"/>
      <dgm:spPr/>
      <dgm:t>
        <a:bodyPr/>
        <a:lstStyle/>
        <a:p>
          <a:pPr algn="just"/>
          <a:r>
            <a:rPr lang="sr-Cyrl-RS" sz="1200">
              <a:latin typeface="Times New Roman" panose="02020603050405020304" pitchFamily="18" charset="0"/>
              <a:cs typeface="Times New Roman" panose="02020603050405020304" pitchFamily="18" charset="0"/>
            </a:rPr>
            <a:t>2019. година: 33 од 40 корисника буџета увело је елементе РОБ који су примењени у 43 програма, а исказани кроз 57 циљева и 282 родно осетљива индикатора.</a:t>
          </a:r>
          <a:endParaRPr lang="sr-Latn-RS" sz="1200"/>
        </a:p>
      </dgm:t>
    </dgm:pt>
    <dgm:pt modelId="{0E81B759-55AC-4926-B046-02D20A4E74B7}" type="parTrans" cxnId="{04C79894-497A-4C84-83C1-E868D1CAFE1D}">
      <dgm:prSet/>
      <dgm:spPr/>
      <dgm:t>
        <a:bodyPr/>
        <a:lstStyle/>
        <a:p>
          <a:pPr algn="just"/>
          <a:endParaRPr lang="sr-Latn-RS"/>
        </a:p>
      </dgm:t>
    </dgm:pt>
    <dgm:pt modelId="{BE7F3C4B-8745-4260-9EFB-8E204E357FEC}" type="sibTrans" cxnId="{04C79894-497A-4C84-83C1-E868D1CAFE1D}">
      <dgm:prSet/>
      <dgm:spPr/>
      <dgm:t>
        <a:bodyPr/>
        <a:lstStyle/>
        <a:p>
          <a:pPr algn="just"/>
          <a:endParaRPr lang="sr-Latn-RS"/>
        </a:p>
      </dgm:t>
    </dgm:pt>
    <dgm:pt modelId="{9C630C0C-8842-4669-A111-49097705EF63}">
      <dgm:prSet phldrT="[Text]" custT="1"/>
      <dgm:spPr/>
      <dgm:t>
        <a:bodyPr/>
        <a:lstStyle/>
        <a:p>
          <a:pPr algn="just"/>
          <a:r>
            <a:rPr lang="sr-Cyrl-RS" sz="1200">
              <a:latin typeface="Times New Roman" panose="02020603050405020304" pitchFamily="18" charset="0"/>
              <a:cs typeface="Times New Roman" panose="02020603050405020304" pitchFamily="18" charset="0"/>
            </a:rPr>
            <a:t>2018. година: У складу са планом, 35 корисника буџета увело је елементе родно одговорног буџетирања у своје финансијске планове.</a:t>
          </a:r>
          <a:endParaRPr lang="sr-Latn-RS" sz="1200">
            <a:latin typeface="Times New Roman" panose="02020603050405020304" pitchFamily="18" charset="0"/>
            <a:cs typeface="Times New Roman" panose="02020603050405020304" pitchFamily="18" charset="0"/>
          </a:endParaRPr>
        </a:p>
      </dgm:t>
    </dgm:pt>
    <dgm:pt modelId="{745AA8C0-3BC4-4258-BA5E-BDE03E311B5C}" type="parTrans" cxnId="{2B55CBE8-29DD-4527-AA84-C03CAAD352EE}">
      <dgm:prSet/>
      <dgm:spPr/>
      <dgm:t>
        <a:bodyPr/>
        <a:lstStyle/>
        <a:p>
          <a:pPr algn="just"/>
          <a:endParaRPr lang="sr-Latn-RS"/>
        </a:p>
      </dgm:t>
    </dgm:pt>
    <dgm:pt modelId="{764EC665-62BF-4F9F-A7B2-7418B9430F93}" type="sibTrans" cxnId="{2B55CBE8-29DD-4527-AA84-C03CAAD352EE}">
      <dgm:prSet/>
      <dgm:spPr/>
      <dgm:t>
        <a:bodyPr/>
        <a:lstStyle/>
        <a:p>
          <a:pPr algn="just"/>
          <a:endParaRPr lang="sr-Latn-RS"/>
        </a:p>
      </dgm:t>
    </dgm:pt>
    <dgm:pt modelId="{F4E52F6C-9C14-4DE1-8B1A-8F6F4C276B5F}" type="pres">
      <dgm:prSet presAssocID="{7326E02E-7633-4D74-A6EA-2A727C3C0CCF}" presName="Name0" presStyleCnt="0">
        <dgm:presLayoutVars>
          <dgm:chMax val="7"/>
          <dgm:dir/>
          <dgm:animLvl val="lvl"/>
          <dgm:resizeHandles val="exact"/>
        </dgm:presLayoutVars>
      </dgm:prSet>
      <dgm:spPr/>
    </dgm:pt>
    <dgm:pt modelId="{C4DD3EF9-F24B-4AE5-9A5E-B1E889F0391B}" type="pres">
      <dgm:prSet presAssocID="{04B7BEEB-6841-4EEB-BA0D-A299E6047D8E}" presName="circle1" presStyleLbl="node1" presStyleIdx="0" presStyleCnt="3"/>
      <dgm:spPr/>
    </dgm:pt>
    <dgm:pt modelId="{5842239E-5D48-4BC2-AB23-BC1FA1CA22AF}" type="pres">
      <dgm:prSet presAssocID="{04B7BEEB-6841-4EEB-BA0D-A299E6047D8E}" presName="space" presStyleCnt="0"/>
      <dgm:spPr/>
    </dgm:pt>
    <dgm:pt modelId="{DAFD8E49-2520-433B-A91B-6C5AF29CF8BB}" type="pres">
      <dgm:prSet presAssocID="{04B7BEEB-6841-4EEB-BA0D-A299E6047D8E}" presName="rect1" presStyleLbl="alignAcc1" presStyleIdx="0" presStyleCnt="3"/>
      <dgm:spPr/>
      <dgm:t>
        <a:bodyPr/>
        <a:lstStyle/>
        <a:p>
          <a:endParaRPr lang="en-US"/>
        </a:p>
      </dgm:t>
    </dgm:pt>
    <dgm:pt modelId="{4C35A2F7-7254-44B1-9825-6CF35518FF1D}" type="pres">
      <dgm:prSet presAssocID="{AC271A15-A8C1-4E7E-9DCF-88ED984E4C75}" presName="vertSpace2" presStyleLbl="node1" presStyleIdx="0" presStyleCnt="3"/>
      <dgm:spPr/>
    </dgm:pt>
    <dgm:pt modelId="{C6B9C4E6-385D-482E-ABE0-9ECF308D3C50}" type="pres">
      <dgm:prSet presAssocID="{AC271A15-A8C1-4E7E-9DCF-88ED984E4C75}" presName="circle2" presStyleLbl="node1" presStyleIdx="1" presStyleCnt="3"/>
      <dgm:spPr/>
    </dgm:pt>
    <dgm:pt modelId="{D2942F98-0A34-47FC-9DCB-82026ABDA375}" type="pres">
      <dgm:prSet presAssocID="{AC271A15-A8C1-4E7E-9DCF-88ED984E4C75}" presName="rect2" presStyleLbl="alignAcc1" presStyleIdx="1" presStyleCnt="3"/>
      <dgm:spPr/>
      <dgm:t>
        <a:bodyPr/>
        <a:lstStyle/>
        <a:p>
          <a:endParaRPr lang="en-US"/>
        </a:p>
      </dgm:t>
    </dgm:pt>
    <dgm:pt modelId="{C76AE1F3-3E07-47FD-BCF9-93C986448924}" type="pres">
      <dgm:prSet presAssocID="{9C630C0C-8842-4669-A111-49097705EF63}" presName="vertSpace3" presStyleLbl="node1" presStyleIdx="1" presStyleCnt="3"/>
      <dgm:spPr/>
    </dgm:pt>
    <dgm:pt modelId="{4389D732-D0CF-4ECD-861E-8916A412E541}" type="pres">
      <dgm:prSet presAssocID="{9C630C0C-8842-4669-A111-49097705EF63}" presName="circle3" presStyleLbl="node1" presStyleIdx="2" presStyleCnt="3"/>
      <dgm:spPr/>
    </dgm:pt>
    <dgm:pt modelId="{253EDBDE-35E8-47B2-8CEA-1CC80E54F4F1}" type="pres">
      <dgm:prSet presAssocID="{9C630C0C-8842-4669-A111-49097705EF63}" presName="rect3" presStyleLbl="alignAcc1" presStyleIdx="2" presStyleCnt="3"/>
      <dgm:spPr/>
      <dgm:t>
        <a:bodyPr/>
        <a:lstStyle/>
        <a:p>
          <a:endParaRPr lang="en-US"/>
        </a:p>
      </dgm:t>
    </dgm:pt>
    <dgm:pt modelId="{FC7BC792-CDF3-4322-9BDE-8935F0E34916}" type="pres">
      <dgm:prSet presAssocID="{04B7BEEB-6841-4EEB-BA0D-A299E6047D8E}" presName="rect1ParTxNoCh" presStyleLbl="alignAcc1" presStyleIdx="2" presStyleCnt="3">
        <dgm:presLayoutVars>
          <dgm:chMax val="1"/>
          <dgm:bulletEnabled val="1"/>
        </dgm:presLayoutVars>
      </dgm:prSet>
      <dgm:spPr/>
      <dgm:t>
        <a:bodyPr/>
        <a:lstStyle/>
        <a:p>
          <a:endParaRPr lang="en-US"/>
        </a:p>
      </dgm:t>
    </dgm:pt>
    <dgm:pt modelId="{19F5D3F5-BDC6-4FED-AE29-526C9E54D024}" type="pres">
      <dgm:prSet presAssocID="{AC271A15-A8C1-4E7E-9DCF-88ED984E4C75}" presName="rect2ParTxNoCh" presStyleLbl="alignAcc1" presStyleIdx="2" presStyleCnt="3">
        <dgm:presLayoutVars>
          <dgm:chMax val="1"/>
          <dgm:bulletEnabled val="1"/>
        </dgm:presLayoutVars>
      </dgm:prSet>
      <dgm:spPr/>
      <dgm:t>
        <a:bodyPr/>
        <a:lstStyle/>
        <a:p>
          <a:endParaRPr lang="en-US"/>
        </a:p>
      </dgm:t>
    </dgm:pt>
    <dgm:pt modelId="{53968CC0-DBB8-4B6D-A589-36B05FD1053A}" type="pres">
      <dgm:prSet presAssocID="{9C630C0C-8842-4669-A111-49097705EF63}" presName="rect3ParTxNoCh" presStyleLbl="alignAcc1" presStyleIdx="2" presStyleCnt="3">
        <dgm:presLayoutVars>
          <dgm:chMax val="1"/>
          <dgm:bulletEnabled val="1"/>
        </dgm:presLayoutVars>
      </dgm:prSet>
      <dgm:spPr/>
      <dgm:t>
        <a:bodyPr/>
        <a:lstStyle/>
        <a:p>
          <a:endParaRPr lang="en-US"/>
        </a:p>
      </dgm:t>
    </dgm:pt>
  </dgm:ptLst>
  <dgm:cxnLst>
    <dgm:cxn modelId="{631B65CA-8C9A-49FF-9908-C901F93945B3}" type="presOf" srcId="{04B7BEEB-6841-4EEB-BA0D-A299E6047D8E}" destId="{DAFD8E49-2520-433B-A91B-6C5AF29CF8BB}" srcOrd="0" destOrd="0" presId="urn:microsoft.com/office/officeart/2005/8/layout/target3"/>
    <dgm:cxn modelId="{04C79894-497A-4C84-83C1-E868D1CAFE1D}" srcId="{7326E02E-7633-4D74-A6EA-2A727C3C0CCF}" destId="{AC271A15-A8C1-4E7E-9DCF-88ED984E4C75}" srcOrd="1" destOrd="0" parTransId="{0E81B759-55AC-4926-B046-02D20A4E74B7}" sibTransId="{BE7F3C4B-8745-4260-9EFB-8E204E357FEC}"/>
    <dgm:cxn modelId="{39FBC191-14FA-4F6A-9F68-722D2889529D}" srcId="{7326E02E-7633-4D74-A6EA-2A727C3C0CCF}" destId="{04B7BEEB-6841-4EEB-BA0D-A299E6047D8E}" srcOrd="0" destOrd="0" parTransId="{DE2C6437-8433-4108-BA81-B586F5431A15}" sibTransId="{272F18F2-31B3-48FE-94B1-DD3CB78D7B12}"/>
    <dgm:cxn modelId="{55D74B70-830C-423D-9E96-8D3C7C829230}" type="presOf" srcId="{9C630C0C-8842-4669-A111-49097705EF63}" destId="{253EDBDE-35E8-47B2-8CEA-1CC80E54F4F1}" srcOrd="0" destOrd="0" presId="urn:microsoft.com/office/officeart/2005/8/layout/target3"/>
    <dgm:cxn modelId="{27CF60CF-1DF9-42AF-9407-8EB497A5FCC1}" type="presOf" srcId="{9C630C0C-8842-4669-A111-49097705EF63}" destId="{53968CC0-DBB8-4B6D-A589-36B05FD1053A}" srcOrd="1" destOrd="0" presId="urn:microsoft.com/office/officeart/2005/8/layout/target3"/>
    <dgm:cxn modelId="{EAC367C3-5BD0-4377-8D17-B30AE8428AC6}" type="presOf" srcId="{AC271A15-A8C1-4E7E-9DCF-88ED984E4C75}" destId="{19F5D3F5-BDC6-4FED-AE29-526C9E54D024}" srcOrd="1" destOrd="0" presId="urn:microsoft.com/office/officeart/2005/8/layout/target3"/>
    <dgm:cxn modelId="{39CFD21C-8159-4026-AE9F-FE3039D621F6}" type="presOf" srcId="{AC271A15-A8C1-4E7E-9DCF-88ED984E4C75}" destId="{D2942F98-0A34-47FC-9DCB-82026ABDA375}" srcOrd="0" destOrd="0" presId="urn:microsoft.com/office/officeart/2005/8/layout/target3"/>
    <dgm:cxn modelId="{E5437596-A566-4279-901A-4ED0BF1DD46E}" type="presOf" srcId="{04B7BEEB-6841-4EEB-BA0D-A299E6047D8E}" destId="{FC7BC792-CDF3-4322-9BDE-8935F0E34916}" srcOrd="1" destOrd="0" presId="urn:microsoft.com/office/officeart/2005/8/layout/target3"/>
    <dgm:cxn modelId="{71C4D3BF-818D-4B35-88EB-C1358A4FA1F1}" type="presOf" srcId="{7326E02E-7633-4D74-A6EA-2A727C3C0CCF}" destId="{F4E52F6C-9C14-4DE1-8B1A-8F6F4C276B5F}" srcOrd="0" destOrd="0" presId="urn:microsoft.com/office/officeart/2005/8/layout/target3"/>
    <dgm:cxn modelId="{2B55CBE8-29DD-4527-AA84-C03CAAD352EE}" srcId="{7326E02E-7633-4D74-A6EA-2A727C3C0CCF}" destId="{9C630C0C-8842-4669-A111-49097705EF63}" srcOrd="2" destOrd="0" parTransId="{745AA8C0-3BC4-4258-BA5E-BDE03E311B5C}" sibTransId="{764EC665-62BF-4F9F-A7B2-7418B9430F93}"/>
    <dgm:cxn modelId="{D5E8AA78-E095-48AF-AD5E-40E68FDA9E79}" type="presParOf" srcId="{F4E52F6C-9C14-4DE1-8B1A-8F6F4C276B5F}" destId="{C4DD3EF9-F24B-4AE5-9A5E-B1E889F0391B}" srcOrd="0" destOrd="0" presId="urn:microsoft.com/office/officeart/2005/8/layout/target3"/>
    <dgm:cxn modelId="{996C039F-2BDA-4859-9334-AAE1D6348EA1}" type="presParOf" srcId="{F4E52F6C-9C14-4DE1-8B1A-8F6F4C276B5F}" destId="{5842239E-5D48-4BC2-AB23-BC1FA1CA22AF}" srcOrd="1" destOrd="0" presId="urn:microsoft.com/office/officeart/2005/8/layout/target3"/>
    <dgm:cxn modelId="{9900544C-AFF4-4939-9F35-8BF72AA501DD}" type="presParOf" srcId="{F4E52F6C-9C14-4DE1-8B1A-8F6F4C276B5F}" destId="{DAFD8E49-2520-433B-A91B-6C5AF29CF8BB}" srcOrd="2" destOrd="0" presId="urn:microsoft.com/office/officeart/2005/8/layout/target3"/>
    <dgm:cxn modelId="{C96ED96F-8407-4B42-BD3B-1AD3EDA88C91}" type="presParOf" srcId="{F4E52F6C-9C14-4DE1-8B1A-8F6F4C276B5F}" destId="{4C35A2F7-7254-44B1-9825-6CF35518FF1D}" srcOrd="3" destOrd="0" presId="urn:microsoft.com/office/officeart/2005/8/layout/target3"/>
    <dgm:cxn modelId="{DEE1C0F2-E6C8-4612-9BAD-74E242A0BEA4}" type="presParOf" srcId="{F4E52F6C-9C14-4DE1-8B1A-8F6F4C276B5F}" destId="{C6B9C4E6-385D-482E-ABE0-9ECF308D3C50}" srcOrd="4" destOrd="0" presId="urn:microsoft.com/office/officeart/2005/8/layout/target3"/>
    <dgm:cxn modelId="{E333F66C-35B9-49FB-B325-B144ABAF3B89}" type="presParOf" srcId="{F4E52F6C-9C14-4DE1-8B1A-8F6F4C276B5F}" destId="{D2942F98-0A34-47FC-9DCB-82026ABDA375}" srcOrd="5" destOrd="0" presId="urn:microsoft.com/office/officeart/2005/8/layout/target3"/>
    <dgm:cxn modelId="{64BD2405-2D3F-4102-8DDB-CB88A0BC9996}" type="presParOf" srcId="{F4E52F6C-9C14-4DE1-8B1A-8F6F4C276B5F}" destId="{C76AE1F3-3E07-47FD-BCF9-93C986448924}" srcOrd="6" destOrd="0" presId="urn:microsoft.com/office/officeart/2005/8/layout/target3"/>
    <dgm:cxn modelId="{7AE47E6A-7F46-430B-BDBC-4D3E6F3DA6F8}" type="presParOf" srcId="{F4E52F6C-9C14-4DE1-8B1A-8F6F4C276B5F}" destId="{4389D732-D0CF-4ECD-861E-8916A412E541}" srcOrd="7" destOrd="0" presId="urn:microsoft.com/office/officeart/2005/8/layout/target3"/>
    <dgm:cxn modelId="{0A93B664-A14D-4800-8DEF-3D1B582CCCB5}" type="presParOf" srcId="{F4E52F6C-9C14-4DE1-8B1A-8F6F4C276B5F}" destId="{253EDBDE-35E8-47B2-8CEA-1CC80E54F4F1}" srcOrd="8" destOrd="0" presId="urn:microsoft.com/office/officeart/2005/8/layout/target3"/>
    <dgm:cxn modelId="{827FE035-3DEC-47A2-A1FB-9C203C293589}" type="presParOf" srcId="{F4E52F6C-9C14-4DE1-8B1A-8F6F4C276B5F}" destId="{FC7BC792-CDF3-4322-9BDE-8935F0E34916}" srcOrd="9" destOrd="0" presId="urn:microsoft.com/office/officeart/2005/8/layout/target3"/>
    <dgm:cxn modelId="{FF2F12C5-F5A9-4702-ACB7-DA6DEE785ABC}" type="presParOf" srcId="{F4E52F6C-9C14-4DE1-8B1A-8F6F4C276B5F}" destId="{19F5D3F5-BDC6-4FED-AE29-526C9E54D024}" srcOrd="10" destOrd="0" presId="urn:microsoft.com/office/officeart/2005/8/layout/target3"/>
    <dgm:cxn modelId="{B7BD2063-A7E7-4261-902C-D23965A66269}" type="presParOf" srcId="{F4E52F6C-9C14-4DE1-8B1A-8F6F4C276B5F}" destId="{53968CC0-DBB8-4B6D-A589-36B05FD1053A}" srcOrd="11" destOrd="0" presId="urn:microsoft.com/office/officeart/2005/8/layout/target3"/>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C3A29F7-6F98-44FB-BCB6-F4A7D1924F3A}" type="doc">
      <dgm:prSet loTypeId="urn:microsoft.com/office/officeart/2005/8/layout/default" loCatId="list" qsTypeId="urn:microsoft.com/office/officeart/2005/8/quickstyle/3d9" qsCatId="3D" csTypeId="urn:microsoft.com/office/officeart/2005/8/colors/accent1_2" csCatId="accent1" phldr="1"/>
      <dgm:spPr/>
      <dgm:t>
        <a:bodyPr/>
        <a:lstStyle/>
        <a:p>
          <a:endParaRPr lang="en-US"/>
        </a:p>
      </dgm:t>
    </dgm:pt>
    <dgm:pt modelId="{CB257189-85D8-4955-BA59-C2AA08631BF3}">
      <dgm:prSet phldrT="[Text]"/>
      <dgm:spPr/>
      <dgm:t>
        <a:bodyPr/>
        <a:lstStyle/>
        <a:p>
          <a:r>
            <a:rPr lang="sr-Cyrl-RS" dirty="0"/>
            <a:t>Пореска управа </a:t>
          </a:r>
          <a:endParaRPr lang="en-US" dirty="0"/>
        </a:p>
      </dgm:t>
    </dgm:pt>
    <dgm:pt modelId="{29A5DA21-B580-449D-9B97-3602C7D0E631}" type="parTrans" cxnId="{14123731-19A5-4CC4-8065-76E39ECE5937}">
      <dgm:prSet/>
      <dgm:spPr/>
      <dgm:t>
        <a:bodyPr/>
        <a:lstStyle/>
        <a:p>
          <a:endParaRPr lang="en-US"/>
        </a:p>
      </dgm:t>
    </dgm:pt>
    <dgm:pt modelId="{7AFE860C-E445-4907-8092-A663BB9B9AA6}" type="sibTrans" cxnId="{14123731-19A5-4CC4-8065-76E39ECE5937}">
      <dgm:prSet/>
      <dgm:spPr/>
      <dgm:t>
        <a:bodyPr/>
        <a:lstStyle/>
        <a:p>
          <a:endParaRPr lang="en-US"/>
        </a:p>
      </dgm:t>
    </dgm:pt>
    <dgm:pt modelId="{C630ED9C-178D-4CA1-A884-37EEE0C1259D}">
      <dgm:prSet phldrT="[Text]"/>
      <dgm:spPr/>
      <dgm:t>
        <a:bodyPr/>
        <a:lstStyle/>
        <a:p>
          <a:r>
            <a:rPr lang="sr-Cyrl-RS" dirty="0"/>
            <a:t>Управа царина</a:t>
          </a:r>
          <a:endParaRPr lang="en-US" dirty="0"/>
        </a:p>
      </dgm:t>
    </dgm:pt>
    <dgm:pt modelId="{CB3ECB47-F2A1-4CD2-99FF-69EB16156802}" type="parTrans" cxnId="{F83F3B9A-CA09-4CA7-B82B-F81F75565193}">
      <dgm:prSet/>
      <dgm:spPr/>
      <dgm:t>
        <a:bodyPr/>
        <a:lstStyle/>
        <a:p>
          <a:endParaRPr lang="en-US"/>
        </a:p>
      </dgm:t>
    </dgm:pt>
    <dgm:pt modelId="{76A1F5B2-715B-47E7-8A6B-F8B176E9407A}" type="sibTrans" cxnId="{F83F3B9A-CA09-4CA7-B82B-F81F75565193}">
      <dgm:prSet/>
      <dgm:spPr/>
      <dgm:t>
        <a:bodyPr/>
        <a:lstStyle/>
        <a:p>
          <a:endParaRPr lang="en-US"/>
        </a:p>
      </dgm:t>
    </dgm:pt>
    <dgm:pt modelId="{5659B882-0A23-4D7B-A9B2-B056EC8B0D3C}">
      <dgm:prSet phldrT="[Text]"/>
      <dgm:spPr/>
      <dgm:t>
        <a:bodyPr/>
        <a:lstStyle/>
        <a:p>
          <a:r>
            <a:rPr lang="sr-Cyrl-RS" dirty="0"/>
            <a:t>Управа за дуван</a:t>
          </a:r>
          <a:endParaRPr lang="en-US" dirty="0"/>
        </a:p>
      </dgm:t>
    </dgm:pt>
    <dgm:pt modelId="{BCC671FC-D36A-4F88-BBB7-AE801E864577}" type="parTrans" cxnId="{16E29816-DFD6-4AD4-B9F0-A7FD85D16CDA}">
      <dgm:prSet/>
      <dgm:spPr/>
      <dgm:t>
        <a:bodyPr/>
        <a:lstStyle/>
        <a:p>
          <a:endParaRPr lang="en-US"/>
        </a:p>
      </dgm:t>
    </dgm:pt>
    <dgm:pt modelId="{58574332-5893-482F-9436-52C536DABAAC}" type="sibTrans" cxnId="{16E29816-DFD6-4AD4-B9F0-A7FD85D16CDA}">
      <dgm:prSet/>
      <dgm:spPr/>
      <dgm:t>
        <a:bodyPr/>
        <a:lstStyle/>
        <a:p>
          <a:endParaRPr lang="en-US"/>
        </a:p>
      </dgm:t>
    </dgm:pt>
    <dgm:pt modelId="{5B400327-B117-4224-BA88-51E13122E7E1}">
      <dgm:prSet phldrT="[Text]"/>
      <dgm:spPr/>
      <dgm:t>
        <a:bodyPr/>
        <a:lstStyle/>
        <a:p>
          <a:r>
            <a:rPr lang="sr-Cyrl-RS" dirty="0"/>
            <a:t>Управа за јавни дуг</a:t>
          </a:r>
          <a:endParaRPr lang="en-US" dirty="0"/>
        </a:p>
      </dgm:t>
    </dgm:pt>
    <dgm:pt modelId="{E9BC3D61-1AC2-412B-A7D9-C0977D8ED2A1}" type="parTrans" cxnId="{0DEBE204-F85A-46CF-891D-19B5F9E82517}">
      <dgm:prSet/>
      <dgm:spPr/>
      <dgm:t>
        <a:bodyPr/>
        <a:lstStyle/>
        <a:p>
          <a:endParaRPr lang="en-US"/>
        </a:p>
      </dgm:t>
    </dgm:pt>
    <dgm:pt modelId="{F6CAE27C-C208-4E31-B9CB-2B1927869235}" type="sibTrans" cxnId="{0DEBE204-F85A-46CF-891D-19B5F9E82517}">
      <dgm:prSet/>
      <dgm:spPr/>
      <dgm:t>
        <a:bodyPr/>
        <a:lstStyle/>
        <a:p>
          <a:endParaRPr lang="en-US"/>
        </a:p>
      </dgm:t>
    </dgm:pt>
    <dgm:pt modelId="{82F8E1A5-3394-406B-840A-6CBAF2F18B63}">
      <dgm:prSet phldrT="[Text]"/>
      <dgm:spPr/>
      <dgm:t>
        <a:bodyPr/>
        <a:lstStyle/>
        <a:p>
          <a:r>
            <a:rPr lang="sr-Cyrl-RS" dirty="0"/>
            <a:t>Канцеларија за јавне набавке</a:t>
          </a:r>
          <a:endParaRPr lang="en-US" dirty="0"/>
        </a:p>
      </dgm:t>
    </dgm:pt>
    <dgm:pt modelId="{63B334A1-9121-49B5-9104-3FB12E1393DB}" type="parTrans" cxnId="{9455F63E-66A0-4ACB-8965-990E34FF8B28}">
      <dgm:prSet/>
      <dgm:spPr/>
      <dgm:t>
        <a:bodyPr/>
        <a:lstStyle/>
        <a:p>
          <a:endParaRPr lang="en-US"/>
        </a:p>
      </dgm:t>
    </dgm:pt>
    <dgm:pt modelId="{AC35E3AD-FFB5-4461-8412-584D0440DE0A}" type="sibTrans" cxnId="{9455F63E-66A0-4ACB-8965-990E34FF8B28}">
      <dgm:prSet/>
      <dgm:spPr/>
      <dgm:t>
        <a:bodyPr/>
        <a:lstStyle/>
        <a:p>
          <a:endParaRPr lang="en-US"/>
        </a:p>
      </dgm:t>
    </dgm:pt>
    <dgm:pt modelId="{3EAE9D87-D0B0-49DA-B513-36EA3AD7C76D}" type="pres">
      <dgm:prSet presAssocID="{2C3A29F7-6F98-44FB-BCB6-F4A7D1924F3A}" presName="diagram" presStyleCnt="0">
        <dgm:presLayoutVars>
          <dgm:dir/>
          <dgm:resizeHandles val="exact"/>
        </dgm:presLayoutVars>
      </dgm:prSet>
      <dgm:spPr/>
      <dgm:t>
        <a:bodyPr/>
        <a:lstStyle/>
        <a:p>
          <a:endParaRPr lang="en-US"/>
        </a:p>
      </dgm:t>
    </dgm:pt>
    <dgm:pt modelId="{2273B7AC-61AB-47C4-9283-F39A537C8A8C}" type="pres">
      <dgm:prSet presAssocID="{CB257189-85D8-4955-BA59-C2AA08631BF3}" presName="node" presStyleLbl="node1" presStyleIdx="0" presStyleCnt="5" custLinFactNeighborX="-45159" custLinFactNeighborY="2298">
        <dgm:presLayoutVars>
          <dgm:bulletEnabled val="1"/>
        </dgm:presLayoutVars>
      </dgm:prSet>
      <dgm:spPr/>
      <dgm:t>
        <a:bodyPr/>
        <a:lstStyle/>
        <a:p>
          <a:endParaRPr lang="en-US"/>
        </a:p>
      </dgm:t>
    </dgm:pt>
    <dgm:pt modelId="{73CBE4AA-D73B-4C5B-AFCB-0B42BBE32145}" type="pres">
      <dgm:prSet presAssocID="{7AFE860C-E445-4907-8092-A663BB9B9AA6}" presName="sibTrans" presStyleCnt="0"/>
      <dgm:spPr/>
    </dgm:pt>
    <dgm:pt modelId="{192C3F02-810F-4190-B6AA-4EC76A665B19}" type="pres">
      <dgm:prSet presAssocID="{C630ED9C-178D-4CA1-A884-37EEE0C1259D}" presName="node" presStyleLbl="node1" presStyleIdx="1" presStyleCnt="5" custLinFactNeighborX="-173" custLinFactNeighborY="-1857">
        <dgm:presLayoutVars>
          <dgm:bulletEnabled val="1"/>
        </dgm:presLayoutVars>
      </dgm:prSet>
      <dgm:spPr/>
      <dgm:t>
        <a:bodyPr/>
        <a:lstStyle/>
        <a:p>
          <a:endParaRPr lang="en-US"/>
        </a:p>
      </dgm:t>
    </dgm:pt>
    <dgm:pt modelId="{D6FC56A0-EBCC-4450-A9F2-A778011322B5}" type="pres">
      <dgm:prSet presAssocID="{76A1F5B2-715B-47E7-8A6B-F8B176E9407A}" presName="sibTrans" presStyleCnt="0"/>
      <dgm:spPr/>
    </dgm:pt>
    <dgm:pt modelId="{B961A3E1-EA6B-4321-9B7A-75DEA511A950}" type="pres">
      <dgm:prSet presAssocID="{5659B882-0A23-4D7B-A9B2-B056EC8B0D3C}" presName="node" presStyleLbl="node1" presStyleIdx="2" presStyleCnt="5" custLinFactNeighborX="-45159" custLinFactNeighborY="-5171">
        <dgm:presLayoutVars>
          <dgm:bulletEnabled val="1"/>
        </dgm:presLayoutVars>
      </dgm:prSet>
      <dgm:spPr/>
      <dgm:t>
        <a:bodyPr/>
        <a:lstStyle/>
        <a:p>
          <a:endParaRPr lang="en-US"/>
        </a:p>
      </dgm:t>
    </dgm:pt>
    <dgm:pt modelId="{8101463A-006E-401C-B4CE-94FE5409513E}" type="pres">
      <dgm:prSet presAssocID="{58574332-5893-482F-9436-52C536DABAAC}" presName="sibTrans" presStyleCnt="0"/>
      <dgm:spPr/>
    </dgm:pt>
    <dgm:pt modelId="{EF645E29-BFF9-4F66-B190-3EBF81820DB5}" type="pres">
      <dgm:prSet presAssocID="{5B400327-B117-4224-BA88-51E13122E7E1}" presName="node" presStyleLbl="node1" presStyleIdx="3" presStyleCnt="5" custLinFactNeighborX="-1379" custLinFactNeighborY="-12065">
        <dgm:presLayoutVars>
          <dgm:bulletEnabled val="1"/>
        </dgm:presLayoutVars>
      </dgm:prSet>
      <dgm:spPr/>
      <dgm:t>
        <a:bodyPr/>
        <a:lstStyle/>
        <a:p>
          <a:endParaRPr lang="en-US"/>
        </a:p>
      </dgm:t>
    </dgm:pt>
    <dgm:pt modelId="{86F7B418-0B2E-497A-B2A3-6153E0501B08}" type="pres">
      <dgm:prSet presAssocID="{F6CAE27C-C208-4E31-B9CB-2B1927869235}" presName="sibTrans" presStyleCnt="0"/>
      <dgm:spPr/>
    </dgm:pt>
    <dgm:pt modelId="{C98646B2-A3CE-48AA-86D8-7F1C783BC5A2}" type="pres">
      <dgm:prSet presAssocID="{82F8E1A5-3394-406B-840A-6CBAF2F18B63}" presName="node" presStyleLbl="node1" presStyleIdx="4" presStyleCnt="5" custLinFactNeighborX="-1553" custLinFactNeighborY="-22245">
        <dgm:presLayoutVars>
          <dgm:bulletEnabled val="1"/>
        </dgm:presLayoutVars>
      </dgm:prSet>
      <dgm:spPr/>
      <dgm:t>
        <a:bodyPr/>
        <a:lstStyle/>
        <a:p>
          <a:endParaRPr lang="en-US"/>
        </a:p>
      </dgm:t>
    </dgm:pt>
  </dgm:ptLst>
  <dgm:cxnLst>
    <dgm:cxn modelId="{0DEBE204-F85A-46CF-891D-19B5F9E82517}" srcId="{2C3A29F7-6F98-44FB-BCB6-F4A7D1924F3A}" destId="{5B400327-B117-4224-BA88-51E13122E7E1}" srcOrd="3" destOrd="0" parTransId="{E9BC3D61-1AC2-412B-A7D9-C0977D8ED2A1}" sibTransId="{F6CAE27C-C208-4E31-B9CB-2B1927869235}"/>
    <dgm:cxn modelId="{F72A1A8E-3358-4C14-8469-A5535B08D493}" type="presOf" srcId="{C630ED9C-178D-4CA1-A884-37EEE0C1259D}" destId="{192C3F02-810F-4190-B6AA-4EC76A665B19}" srcOrd="0" destOrd="0" presId="urn:microsoft.com/office/officeart/2005/8/layout/default"/>
    <dgm:cxn modelId="{12F5857D-DC61-4AEF-9734-895C587686D8}" type="presOf" srcId="{CB257189-85D8-4955-BA59-C2AA08631BF3}" destId="{2273B7AC-61AB-47C4-9283-F39A537C8A8C}" srcOrd="0" destOrd="0" presId="urn:microsoft.com/office/officeart/2005/8/layout/default"/>
    <dgm:cxn modelId="{7E33832B-B930-4847-BA15-45EE2360C561}" type="presOf" srcId="{82F8E1A5-3394-406B-840A-6CBAF2F18B63}" destId="{C98646B2-A3CE-48AA-86D8-7F1C783BC5A2}" srcOrd="0" destOrd="0" presId="urn:microsoft.com/office/officeart/2005/8/layout/default"/>
    <dgm:cxn modelId="{06BFB500-D7F6-4EE6-B7BF-40DB52BCEADD}" type="presOf" srcId="{2C3A29F7-6F98-44FB-BCB6-F4A7D1924F3A}" destId="{3EAE9D87-D0B0-49DA-B513-36EA3AD7C76D}" srcOrd="0" destOrd="0" presId="urn:microsoft.com/office/officeart/2005/8/layout/default"/>
    <dgm:cxn modelId="{9455F63E-66A0-4ACB-8965-990E34FF8B28}" srcId="{2C3A29F7-6F98-44FB-BCB6-F4A7D1924F3A}" destId="{82F8E1A5-3394-406B-840A-6CBAF2F18B63}" srcOrd="4" destOrd="0" parTransId="{63B334A1-9121-49B5-9104-3FB12E1393DB}" sibTransId="{AC35E3AD-FFB5-4461-8412-584D0440DE0A}"/>
    <dgm:cxn modelId="{16E29816-DFD6-4AD4-B9F0-A7FD85D16CDA}" srcId="{2C3A29F7-6F98-44FB-BCB6-F4A7D1924F3A}" destId="{5659B882-0A23-4D7B-A9B2-B056EC8B0D3C}" srcOrd="2" destOrd="0" parTransId="{BCC671FC-D36A-4F88-BBB7-AE801E864577}" sibTransId="{58574332-5893-482F-9436-52C536DABAAC}"/>
    <dgm:cxn modelId="{4E2291C1-474C-436D-841E-14D4EC70D411}" type="presOf" srcId="{5B400327-B117-4224-BA88-51E13122E7E1}" destId="{EF645E29-BFF9-4F66-B190-3EBF81820DB5}" srcOrd="0" destOrd="0" presId="urn:microsoft.com/office/officeart/2005/8/layout/default"/>
    <dgm:cxn modelId="{14123731-19A5-4CC4-8065-76E39ECE5937}" srcId="{2C3A29F7-6F98-44FB-BCB6-F4A7D1924F3A}" destId="{CB257189-85D8-4955-BA59-C2AA08631BF3}" srcOrd="0" destOrd="0" parTransId="{29A5DA21-B580-449D-9B97-3602C7D0E631}" sibTransId="{7AFE860C-E445-4907-8092-A663BB9B9AA6}"/>
    <dgm:cxn modelId="{F83F3B9A-CA09-4CA7-B82B-F81F75565193}" srcId="{2C3A29F7-6F98-44FB-BCB6-F4A7D1924F3A}" destId="{C630ED9C-178D-4CA1-A884-37EEE0C1259D}" srcOrd="1" destOrd="0" parTransId="{CB3ECB47-F2A1-4CD2-99FF-69EB16156802}" sibTransId="{76A1F5B2-715B-47E7-8A6B-F8B176E9407A}"/>
    <dgm:cxn modelId="{8F9F5CCA-B3A4-454C-B94A-1C528018D2E7}" type="presOf" srcId="{5659B882-0A23-4D7B-A9B2-B056EC8B0D3C}" destId="{B961A3E1-EA6B-4321-9B7A-75DEA511A950}" srcOrd="0" destOrd="0" presId="urn:microsoft.com/office/officeart/2005/8/layout/default"/>
    <dgm:cxn modelId="{BE0A4083-3C0E-41CE-A4B5-33ED0D250915}" type="presParOf" srcId="{3EAE9D87-D0B0-49DA-B513-36EA3AD7C76D}" destId="{2273B7AC-61AB-47C4-9283-F39A537C8A8C}" srcOrd="0" destOrd="0" presId="urn:microsoft.com/office/officeart/2005/8/layout/default"/>
    <dgm:cxn modelId="{C6CB2DF1-7907-4F0D-9B97-70FAF85D1FA6}" type="presParOf" srcId="{3EAE9D87-D0B0-49DA-B513-36EA3AD7C76D}" destId="{73CBE4AA-D73B-4C5B-AFCB-0B42BBE32145}" srcOrd="1" destOrd="0" presId="urn:microsoft.com/office/officeart/2005/8/layout/default"/>
    <dgm:cxn modelId="{1893BC5A-AB6F-463F-91D4-881D959C731C}" type="presParOf" srcId="{3EAE9D87-D0B0-49DA-B513-36EA3AD7C76D}" destId="{192C3F02-810F-4190-B6AA-4EC76A665B19}" srcOrd="2" destOrd="0" presId="urn:microsoft.com/office/officeart/2005/8/layout/default"/>
    <dgm:cxn modelId="{EB242D30-EE90-4D2B-BB4F-2B9B165DD610}" type="presParOf" srcId="{3EAE9D87-D0B0-49DA-B513-36EA3AD7C76D}" destId="{D6FC56A0-EBCC-4450-A9F2-A778011322B5}" srcOrd="3" destOrd="0" presId="urn:microsoft.com/office/officeart/2005/8/layout/default"/>
    <dgm:cxn modelId="{E96AEAB8-E082-4E31-B82B-B588390AA4C8}" type="presParOf" srcId="{3EAE9D87-D0B0-49DA-B513-36EA3AD7C76D}" destId="{B961A3E1-EA6B-4321-9B7A-75DEA511A950}" srcOrd="4" destOrd="0" presId="urn:microsoft.com/office/officeart/2005/8/layout/default"/>
    <dgm:cxn modelId="{2E72EF18-2324-4DC6-969F-68D075945B1F}" type="presParOf" srcId="{3EAE9D87-D0B0-49DA-B513-36EA3AD7C76D}" destId="{8101463A-006E-401C-B4CE-94FE5409513E}" srcOrd="5" destOrd="0" presId="urn:microsoft.com/office/officeart/2005/8/layout/default"/>
    <dgm:cxn modelId="{06DF866E-923A-4398-8DA7-9BF3D3459E10}" type="presParOf" srcId="{3EAE9D87-D0B0-49DA-B513-36EA3AD7C76D}" destId="{EF645E29-BFF9-4F66-B190-3EBF81820DB5}" srcOrd="6" destOrd="0" presId="urn:microsoft.com/office/officeart/2005/8/layout/default"/>
    <dgm:cxn modelId="{9B897822-2DA6-4B77-9197-964D6A5E0464}" type="presParOf" srcId="{3EAE9D87-D0B0-49DA-B513-36EA3AD7C76D}" destId="{86F7B418-0B2E-497A-B2A3-6153E0501B08}" srcOrd="7" destOrd="0" presId="urn:microsoft.com/office/officeart/2005/8/layout/default"/>
    <dgm:cxn modelId="{8DDE985F-25A0-4D54-90F8-26DBFB05ECD9}" type="presParOf" srcId="{3EAE9D87-D0B0-49DA-B513-36EA3AD7C76D}" destId="{C98646B2-A3CE-48AA-86D8-7F1C783BC5A2}" srcOrd="8" destOrd="0" presId="urn:microsoft.com/office/officeart/2005/8/layout/default"/>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1F261D1E-4322-47DB-9F79-49F5A5280B89}" type="doc">
      <dgm:prSet loTypeId="urn:microsoft.com/office/officeart/2005/8/layout/chart3" loCatId="cycle" qsTypeId="urn:microsoft.com/office/officeart/2005/8/quickstyle/simple1" qsCatId="simple" csTypeId="urn:microsoft.com/office/officeart/2005/8/colors/accent1_2" csCatId="accent1" phldr="1"/>
      <dgm:spPr/>
      <dgm:t>
        <a:bodyPr/>
        <a:lstStyle/>
        <a:p>
          <a:endParaRPr lang="en-US"/>
        </a:p>
      </dgm:t>
    </dgm:pt>
    <dgm:pt modelId="{3BBD0639-955A-4868-BC60-3E27A023E5CC}">
      <dgm:prSet phldrT="[Text]" custT="1"/>
      <dgm:spPr>
        <a:xfrm>
          <a:off x="361725" y="500233"/>
          <a:ext cx="2989173" cy="2989173"/>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sr-Cyrl-RS" sz="1100">
              <a:solidFill>
                <a:sysClr val="window" lastClr="FFFFFF"/>
              </a:solidFill>
              <a:latin typeface="Times New Roman" panose="02020603050405020304" pitchFamily="18" charset="0"/>
              <a:ea typeface="+mn-ea"/>
              <a:cs typeface="Times New Roman" panose="02020603050405020304" pitchFamily="18" charset="0"/>
            </a:rPr>
            <a:t>Пословна мрежа основних активности ПУРС (</a:t>
          </a:r>
          <a:r>
            <a:rPr lang="sr-Cyrl-RS" sz="1100">
              <a:solidFill>
                <a:srgbClr val="C00000"/>
              </a:solidFill>
              <a:latin typeface="Times New Roman" panose="02020603050405020304" pitchFamily="18" charset="0"/>
              <a:ea typeface="+mn-ea"/>
              <a:cs typeface="Times New Roman" panose="02020603050405020304" pitchFamily="18" charset="0"/>
            </a:rPr>
            <a:t>37</a:t>
          </a:r>
          <a:r>
            <a:rPr lang="sr-Cyrl-RS" sz="1100">
              <a:solidFill>
                <a:sysClr val="window" lastClr="FFFFFF"/>
              </a:solidFill>
              <a:latin typeface="Times New Roman" panose="02020603050405020304" pitchFamily="18" charset="0"/>
              <a:ea typeface="+mn-ea"/>
              <a:cs typeface="Times New Roman" panose="02020603050405020304" pitchFamily="18" charset="0"/>
            </a:rPr>
            <a:t> филијала на </a:t>
          </a:r>
          <a:r>
            <a:rPr lang="sr-Cyrl-RS" sz="1100">
              <a:solidFill>
                <a:srgbClr val="C00000"/>
              </a:solidFill>
              <a:latin typeface="Times New Roman" panose="02020603050405020304" pitchFamily="18" charset="0"/>
              <a:ea typeface="+mn-ea"/>
              <a:cs typeface="Times New Roman" panose="02020603050405020304" pitchFamily="18" charset="0"/>
            </a:rPr>
            <a:t>37</a:t>
          </a:r>
          <a:r>
            <a:rPr lang="sr-Cyrl-RS" sz="1100">
              <a:solidFill>
                <a:sysClr val="window" lastClr="FFFFFF"/>
              </a:solidFill>
              <a:latin typeface="Times New Roman" panose="02020603050405020304" pitchFamily="18" charset="0"/>
              <a:ea typeface="+mn-ea"/>
              <a:cs typeface="Times New Roman" panose="02020603050405020304" pitchFamily="18" charset="0"/>
            </a:rPr>
            <a:t> локација)</a:t>
          </a:r>
          <a:endParaRPr lang="en-US" sz="1100">
            <a:solidFill>
              <a:sysClr val="window" lastClr="FFFFFF"/>
            </a:solidFill>
            <a:latin typeface="Times New Roman" panose="02020603050405020304" pitchFamily="18" charset="0"/>
            <a:ea typeface="+mn-ea"/>
            <a:cs typeface="Times New Roman" panose="02020603050405020304" pitchFamily="18" charset="0"/>
          </a:endParaRPr>
        </a:p>
      </dgm:t>
    </dgm:pt>
    <dgm:pt modelId="{6D7F20F7-25F3-4596-BDED-23E004919723}" type="parTrans" cxnId="{09779FDE-ADB1-44F3-93AE-7B56EF091B63}">
      <dgm:prSet/>
      <dgm:spPr/>
      <dgm:t>
        <a:bodyPr/>
        <a:lstStyle/>
        <a:p>
          <a:endParaRPr lang="en-US"/>
        </a:p>
      </dgm:t>
    </dgm:pt>
    <dgm:pt modelId="{5D4D2507-861E-4905-B0BF-91DF54F3839F}" type="sibTrans" cxnId="{09779FDE-ADB1-44F3-93AE-7B56EF091B63}">
      <dgm:prSet/>
      <dgm:spPr/>
      <dgm:t>
        <a:bodyPr/>
        <a:lstStyle/>
        <a:p>
          <a:endParaRPr lang="en-US"/>
        </a:p>
      </dgm:t>
    </dgm:pt>
    <dgm:pt modelId="{776C756E-4D16-48FA-9E50-B98B81C0DEB2}">
      <dgm:prSet phldrT="[Text]" custT="1"/>
      <dgm:spPr>
        <a:xfrm>
          <a:off x="207640" y="589197"/>
          <a:ext cx="2989173" cy="2989173"/>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sr-Cyrl-RS" sz="1100">
              <a:solidFill>
                <a:sysClr val="window" lastClr="FFFFFF"/>
              </a:solidFill>
              <a:latin typeface="Times New Roman" panose="02020603050405020304" pitchFamily="18" charset="0"/>
              <a:ea typeface="+mn-ea"/>
              <a:cs typeface="Times New Roman" panose="02020603050405020304" pitchFamily="18" charset="0"/>
            </a:rPr>
            <a:t>Пословна мрежа издвојених активности ПУРС (</a:t>
          </a:r>
          <a:r>
            <a:rPr lang="sr-Cyrl-RS" sz="1100">
              <a:solidFill>
                <a:srgbClr val="C00000"/>
              </a:solidFill>
              <a:latin typeface="Times New Roman" panose="02020603050405020304" pitchFamily="18" charset="0"/>
              <a:ea typeface="+mn-ea"/>
              <a:cs typeface="Times New Roman" panose="02020603050405020304" pitchFamily="18" charset="0"/>
            </a:rPr>
            <a:t>81 </a:t>
          </a:r>
          <a:r>
            <a:rPr lang="sr-Cyrl-RS" sz="1100">
              <a:solidFill>
                <a:sysClr val="window" lastClr="FFFFFF"/>
              </a:solidFill>
              <a:latin typeface="Times New Roman" panose="02020603050405020304" pitchFamily="18" charset="0"/>
              <a:ea typeface="+mn-ea"/>
              <a:cs typeface="Times New Roman" panose="02020603050405020304" pitchFamily="18" charset="0"/>
            </a:rPr>
            <a:t>организациона јединица на </a:t>
          </a:r>
          <a:r>
            <a:rPr lang="sr-Cyrl-RS" sz="1100">
              <a:solidFill>
                <a:srgbClr val="C00000"/>
              </a:solidFill>
              <a:latin typeface="Times New Roman" panose="02020603050405020304" pitchFamily="18" charset="0"/>
              <a:ea typeface="+mn-ea"/>
              <a:cs typeface="Times New Roman" panose="02020603050405020304" pitchFamily="18" charset="0"/>
            </a:rPr>
            <a:t>75</a:t>
          </a:r>
          <a:r>
            <a:rPr lang="sr-Cyrl-RS" sz="1100">
              <a:solidFill>
                <a:sysClr val="window" lastClr="FFFFFF"/>
              </a:solidFill>
              <a:latin typeface="Times New Roman" panose="02020603050405020304" pitchFamily="18" charset="0"/>
              <a:ea typeface="+mn-ea"/>
              <a:cs typeface="Times New Roman" panose="02020603050405020304" pitchFamily="18" charset="0"/>
            </a:rPr>
            <a:t> локација)</a:t>
          </a:r>
          <a:endParaRPr lang="en-US" sz="1100">
            <a:solidFill>
              <a:sysClr val="window" lastClr="FFFFFF"/>
            </a:solidFill>
            <a:latin typeface="Times New Roman" panose="02020603050405020304" pitchFamily="18" charset="0"/>
            <a:ea typeface="+mn-ea"/>
            <a:cs typeface="Times New Roman" panose="02020603050405020304" pitchFamily="18" charset="0"/>
          </a:endParaRPr>
        </a:p>
      </dgm:t>
    </dgm:pt>
    <dgm:pt modelId="{C7F2E1DB-5574-4AC9-BF89-FB33AD06B5F6}" type="parTrans" cxnId="{F70FBFB1-A5BD-414B-ADB4-EF6D122B07B1}">
      <dgm:prSet/>
      <dgm:spPr/>
      <dgm:t>
        <a:bodyPr/>
        <a:lstStyle/>
        <a:p>
          <a:endParaRPr lang="en-US"/>
        </a:p>
      </dgm:t>
    </dgm:pt>
    <dgm:pt modelId="{3D98459A-BFB9-4B6F-9247-D887B88AAABA}" type="sibTrans" cxnId="{F70FBFB1-A5BD-414B-ADB4-EF6D122B07B1}">
      <dgm:prSet/>
      <dgm:spPr/>
      <dgm:t>
        <a:bodyPr/>
        <a:lstStyle/>
        <a:p>
          <a:endParaRPr lang="en-US"/>
        </a:p>
      </dgm:t>
    </dgm:pt>
    <dgm:pt modelId="{E0505AF3-E617-4EE5-874C-7C17CAB06155}">
      <dgm:prSet phldrT="[Text]" custT="1"/>
      <dgm:spPr>
        <a:xfrm>
          <a:off x="207640" y="589197"/>
          <a:ext cx="2989173" cy="2989173"/>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sr-Cyrl-RS" sz="1100">
              <a:solidFill>
                <a:sysClr val="window" lastClr="FFFFFF"/>
              </a:solidFill>
              <a:latin typeface="Times New Roman" panose="02020603050405020304" pitchFamily="18" charset="0"/>
              <a:ea typeface="+mn-ea"/>
              <a:cs typeface="Times New Roman" panose="02020603050405020304" pitchFamily="18" charset="0"/>
            </a:rPr>
            <a:t>Центар за велике пореске обвезнике (ЦВПО)</a:t>
          </a:r>
          <a:endParaRPr lang="en-US" sz="1100">
            <a:solidFill>
              <a:sysClr val="window" lastClr="FFFFFF"/>
            </a:solidFill>
            <a:latin typeface="Times New Roman" panose="02020603050405020304" pitchFamily="18" charset="0"/>
            <a:ea typeface="+mn-ea"/>
            <a:cs typeface="Times New Roman" panose="02020603050405020304" pitchFamily="18" charset="0"/>
          </a:endParaRPr>
        </a:p>
      </dgm:t>
    </dgm:pt>
    <dgm:pt modelId="{E78DE922-AAE0-4AEF-BD5C-B72E0FF6E18A}" type="parTrans" cxnId="{1CBBF627-B157-4D99-B290-6AEB0D3049C6}">
      <dgm:prSet/>
      <dgm:spPr/>
      <dgm:t>
        <a:bodyPr/>
        <a:lstStyle/>
        <a:p>
          <a:endParaRPr lang="en-US"/>
        </a:p>
      </dgm:t>
    </dgm:pt>
    <dgm:pt modelId="{7699AEA7-A3FF-4119-A6F2-86F151691D1F}" type="sibTrans" cxnId="{1CBBF627-B157-4D99-B290-6AEB0D3049C6}">
      <dgm:prSet/>
      <dgm:spPr/>
      <dgm:t>
        <a:bodyPr/>
        <a:lstStyle/>
        <a:p>
          <a:endParaRPr lang="en-US"/>
        </a:p>
      </dgm:t>
    </dgm:pt>
    <dgm:pt modelId="{4CEFA736-D6BD-4703-813D-E9C1430E779C}" type="pres">
      <dgm:prSet presAssocID="{1F261D1E-4322-47DB-9F79-49F5A5280B89}" presName="compositeShape" presStyleCnt="0">
        <dgm:presLayoutVars>
          <dgm:chMax val="7"/>
          <dgm:dir/>
          <dgm:resizeHandles val="exact"/>
        </dgm:presLayoutVars>
      </dgm:prSet>
      <dgm:spPr/>
      <dgm:t>
        <a:bodyPr/>
        <a:lstStyle/>
        <a:p>
          <a:endParaRPr lang="en-US"/>
        </a:p>
      </dgm:t>
    </dgm:pt>
    <dgm:pt modelId="{CD9A6050-B7B6-4C26-8CD1-7D3AA920EB34}" type="pres">
      <dgm:prSet presAssocID="{1F261D1E-4322-47DB-9F79-49F5A5280B89}" presName="wedge1" presStyleLbl="node1" presStyleIdx="0" presStyleCnt="3"/>
      <dgm:spPr>
        <a:prstGeom prst="pie">
          <a:avLst>
            <a:gd name="adj1" fmla="val 16200000"/>
            <a:gd name="adj2" fmla="val 1800000"/>
          </a:avLst>
        </a:prstGeom>
      </dgm:spPr>
      <dgm:t>
        <a:bodyPr/>
        <a:lstStyle/>
        <a:p>
          <a:endParaRPr lang="en-US"/>
        </a:p>
      </dgm:t>
    </dgm:pt>
    <dgm:pt modelId="{8EAEC9E3-42E5-4C94-B58F-6847ACCEB2AE}" type="pres">
      <dgm:prSet presAssocID="{1F261D1E-4322-47DB-9F79-49F5A5280B89}" presName="wedge1Tx" presStyleLbl="node1" presStyleIdx="0" presStyleCnt="3">
        <dgm:presLayoutVars>
          <dgm:chMax val="0"/>
          <dgm:chPref val="0"/>
          <dgm:bulletEnabled val="1"/>
        </dgm:presLayoutVars>
      </dgm:prSet>
      <dgm:spPr/>
      <dgm:t>
        <a:bodyPr/>
        <a:lstStyle/>
        <a:p>
          <a:endParaRPr lang="en-US"/>
        </a:p>
      </dgm:t>
    </dgm:pt>
    <dgm:pt modelId="{8571E710-C42C-4BBB-9B43-0CF4ADBA398C}" type="pres">
      <dgm:prSet presAssocID="{1F261D1E-4322-47DB-9F79-49F5A5280B89}" presName="wedge2" presStyleLbl="node1" presStyleIdx="1" presStyleCnt="3"/>
      <dgm:spPr>
        <a:prstGeom prst="pie">
          <a:avLst>
            <a:gd name="adj1" fmla="val 1800000"/>
            <a:gd name="adj2" fmla="val 9000000"/>
          </a:avLst>
        </a:prstGeom>
      </dgm:spPr>
      <dgm:t>
        <a:bodyPr/>
        <a:lstStyle/>
        <a:p>
          <a:endParaRPr lang="en-US"/>
        </a:p>
      </dgm:t>
    </dgm:pt>
    <dgm:pt modelId="{E9314E96-8251-4678-8EC3-DE8158571AE9}" type="pres">
      <dgm:prSet presAssocID="{1F261D1E-4322-47DB-9F79-49F5A5280B89}" presName="wedge2Tx" presStyleLbl="node1" presStyleIdx="1" presStyleCnt="3">
        <dgm:presLayoutVars>
          <dgm:chMax val="0"/>
          <dgm:chPref val="0"/>
          <dgm:bulletEnabled val="1"/>
        </dgm:presLayoutVars>
      </dgm:prSet>
      <dgm:spPr/>
      <dgm:t>
        <a:bodyPr/>
        <a:lstStyle/>
        <a:p>
          <a:endParaRPr lang="en-US"/>
        </a:p>
      </dgm:t>
    </dgm:pt>
    <dgm:pt modelId="{1AC69D2B-CD47-4072-9487-CF5B4865DE80}" type="pres">
      <dgm:prSet presAssocID="{1F261D1E-4322-47DB-9F79-49F5A5280B89}" presName="wedge3" presStyleLbl="node1" presStyleIdx="2" presStyleCnt="3"/>
      <dgm:spPr>
        <a:prstGeom prst="pie">
          <a:avLst>
            <a:gd name="adj1" fmla="val 9000000"/>
            <a:gd name="adj2" fmla="val 16200000"/>
          </a:avLst>
        </a:prstGeom>
      </dgm:spPr>
      <dgm:t>
        <a:bodyPr/>
        <a:lstStyle/>
        <a:p>
          <a:endParaRPr lang="en-US"/>
        </a:p>
      </dgm:t>
    </dgm:pt>
    <dgm:pt modelId="{D4C41B57-A6CB-4D90-BAD3-484AEC34EFF6}" type="pres">
      <dgm:prSet presAssocID="{1F261D1E-4322-47DB-9F79-49F5A5280B89}" presName="wedge3Tx" presStyleLbl="node1" presStyleIdx="2" presStyleCnt="3">
        <dgm:presLayoutVars>
          <dgm:chMax val="0"/>
          <dgm:chPref val="0"/>
          <dgm:bulletEnabled val="1"/>
        </dgm:presLayoutVars>
      </dgm:prSet>
      <dgm:spPr/>
      <dgm:t>
        <a:bodyPr/>
        <a:lstStyle/>
        <a:p>
          <a:endParaRPr lang="en-US"/>
        </a:p>
      </dgm:t>
    </dgm:pt>
  </dgm:ptLst>
  <dgm:cxnLst>
    <dgm:cxn modelId="{09779FDE-ADB1-44F3-93AE-7B56EF091B63}" srcId="{1F261D1E-4322-47DB-9F79-49F5A5280B89}" destId="{3BBD0639-955A-4868-BC60-3E27A023E5CC}" srcOrd="0" destOrd="0" parTransId="{6D7F20F7-25F3-4596-BDED-23E004919723}" sibTransId="{5D4D2507-861E-4905-B0BF-91DF54F3839F}"/>
    <dgm:cxn modelId="{547DE436-8333-49D7-841E-3061F24799EE}" type="presOf" srcId="{3BBD0639-955A-4868-BC60-3E27A023E5CC}" destId="{8EAEC9E3-42E5-4C94-B58F-6847ACCEB2AE}" srcOrd="1" destOrd="0" presId="urn:microsoft.com/office/officeart/2005/8/layout/chart3"/>
    <dgm:cxn modelId="{68028EB6-A44F-42F2-B2E8-F1CD0D55B809}" type="presOf" srcId="{1F261D1E-4322-47DB-9F79-49F5A5280B89}" destId="{4CEFA736-D6BD-4703-813D-E9C1430E779C}" srcOrd="0" destOrd="0" presId="urn:microsoft.com/office/officeart/2005/8/layout/chart3"/>
    <dgm:cxn modelId="{BFC089A5-518B-4D01-B397-EAEF2E045FFE}" type="presOf" srcId="{E0505AF3-E617-4EE5-874C-7C17CAB06155}" destId="{1AC69D2B-CD47-4072-9487-CF5B4865DE80}" srcOrd="0" destOrd="0" presId="urn:microsoft.com/office/officeart/2005/8/layout/chart3"/>
    <dgm:cxn modelId="{F70FBFB1-A5BD-414B-ADB4-EF6D122B07B1}" srcId="{1F261D1E-4322-47DB-9F79-49F5A5280B89}" destId="{776C756E-4D16-48FA-9E50-B98B81C0DEB2}" srcOrd="1" destOrd="0" parTransId="{C7F2E1DB-5574-4AC9-BF89-FB33AD06B5F6}" sibTransId="{3D98459A-BFB9-4B6F-9247-D887B88AAABA}"/>
    <dgm:cxn modelId="{1CBBF627-B157-4D99-B290-6AEB0D3049C6}" srcId="{1F261D1E-4322-47DB-9F79-49F5A5280B89}" destId="{E0505AF3-E617-4EE5-874C-7C17CAB06155}" srcOrd="2" destOrd="0" parTransId="{E78DE922-AAE0-4AEF-BD5C-B72E0FF6E18A}" sibTransId="{7699AEA7-A3FF-4119-A6F2-86F151691D1F}"/>
    <dgm:cxn modelId="{35D00879-EC59-4FDA-BAA4-0A1330D8E3EB}" type="presOf" srcId="{3BBD0639-955A-4868-BC60-3E27A023E5CC}" destId="{CD9A6050-B7B6-4C26-8CD1-7D3AA920EB34}" srcOrd="0" destOrd="0" presId="urn:microsoft.com/office/officeart/2005/8/layout/chart3"/>
    <dgm:cxn modelId="{22E26B36-B782-4404-A9D9-8101AC80AD84}" type="presOf" srcId="{776C756E-4D16-48FA-9E50-B98B81C0DEB2}" destId="{E9314E96-8251-4678-8EC3-DE8158571AE9}" srcOrd="1" destOrd="0" presId="urn:microsoft.com/office/officeart/2005/8/layout/chart3"/>
    <dgm:cxn modelId="{DCC7EA8D-F42B-44A7-8724-43FE0A7F26BB}" type="presOf" srcId="{776C756E-4D16-48FA-9E50-B98B81C0DEB2}" destId="{8571E710-C42C-4BBB-9B43-0CF4ADBA398C}" srcOrd="0" destOrd="0" presId="urn:microsoft.com/office/officeart/2005/8/layout/chart3"/>
    <dgm:cxn modelId="{D15975B2-12A9-49ED-81DF-2856750CBE6C}" type="presOf" srcId="{E0505AF3-E617-4EE5-874C-7C17CAB06155}" destId="{D4C41B57-A6CB-4D90-BAD3-484AEC34EFF6}" srcOrd="1" destOrd="0" presId="urn:microsoft.com/office/officeart/2005/8/layout/chart3"/>
    <dgm:cxn modelId="{E2F14EDC-0688-4C03-886E-B008B0332F30}" type="presParOf" srcId="{4CEFA736-D6BD-4703-813D-E9C1430E779C}" destId="{CD9A6050-B7B6-4C26-8CD1-7D3AA920EB34}" srcOrd="0" destOrd="0" presId="urn:microsoft.com/office/officeart/2005/8/layout/chart3"/>
    <dgm:cxn modelId="{1E4BCEF8-FAD2-4D54-A3E4-23619C92639D}" type="presParOf" srcId="{4CEFA736-D6BD-4703-813D-E9C1430E779C}" destId="{8EAEC9E3-42E5-4C94-B58F-6847ACCEB2AE}" srcOrd="1" destOrd="0" presId="urn:microsoft.com/office/officeart/2005/8/layout/chart3"/>
    <dgm:cxn modelId="{65C3D638-A838-483F-A10D-3C10E37B1A71}" type="presParOf" srcId="{4CEFA736-D6BD-4703-813D-E9C1430E779C}" destId="{8571E710-C42C-4BBB-9B43-0CF4ADBA398C}" srcOrd="2" destOrd="0" presId="urn:microsoft.com/office/officeart/2005/8/layout/chart3"/>
    <dgm:cxn modelId="{5AC16E5E-F822-4D57-B9EC-09B7625B8F9E}" type="presParOf" srcId="{4CEFA736-D6BD-4703-813D-E9C1430E779C}" destId="{E9314E96-8251-4678-8EC3-DE8158571AE9}" srcOrd="3" destOrd="0" presId="urn:microsoft.com/office/officeart/2005/8/layout/chart3"/>
    <dgm:cxn modelId="{643BEF5A-C984-4C06-9D2D-512A74765E97}" type="presParOf" srcId="{4CEFA736-D6BD-4703-813D-E9C1430E779C}" destId="{1AC69D2B-CD47-4072-9487-CF5B4865DE80}" srcOrd="4" destOrd="0" presId="urn:microsoft.com/office/officeart/2005/8/layout/chart3"/>
    <dgm:cxn modelId="{F618E46E-769A-45B5-A8FC-22DC75F8D365}" type="presParOf" srcId="{4CEFA736-D6BD-4703-813D-E9C1430E779C}" destId="{D4C41B57-A6CB-4D90-BAD3-484AEC34EFF6}" srcOrd="5" destOrd="0" presId="urn:microsoft.com/office/officeart/2005/8/layout/chart3"/>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C3C11398-5EFC-4180-BA72-D25D7BB35089}" type="doc">
      <dgm:prSet loTypeId="urn:microsoft.com/office/officeart/2005/8/layout/arrow4" loCatId="process" qsTypeId="urn:microsoft.com/office/officeart/2005/8/quickstyle/simple3" qsCatId="simple" csTypeId="urn:microsoft.com/office/officeart/2005/8/colors/accent1_2" csCatId="accent1" phldr="1"/>
      <dgm:spPr/>
      <dgm:t>
        <a:bodyPr/>
        <a:lstStyle/>
        <a:p>
          <a:endParaRPr lang="en-US"/>
        </a:p>
      </dgm:t>
    </dgm:pt>
    <dgm:pt modelId="{9064F4F6-C61E-43A7-834D-C7018775DF97}">
      <dgm:prSet phldrT="[Text]" custT="1"/>
      <dgm:spPr/>
      <dgm:t>
        <a:bodyPr/>
        <a:lstStyle/>
        <a:p>
          <a:pPr algn="ctr"/>
          <a:r>
            <a:rPr lang="sr-Cyrl-RS" sz="1200">
              <a:latin typeface="Times New Roman" panose="02020603050405020304" pitchFamily="18" charset="0"/>
              <a:cs typeface="Times New Roman" panose="02020603050405020304" pitchFamily="18" charset="0"/>
            </a:rPr>
            <a:t>Удео јавног дуга у домаћој валути </a:t>
          </a:r>
        </a:p>
        <a:p>
          <a:pPr algn="ctr"/>
          <a:r>
            <a:rPr lang="sr-Cyrl-RS" sz="1200">
              <a:latin typeface="Times New Roman" panose="02020603050405020304" pitchFamily="18" charset="0"/>
              <a:cs typeface="Times New Roman" panose="02020603050405020304" pitchFamily="18" charset="0"/>
            </a:rPr>
            <a:t>крај 2008. године - 2,</a:t>
          </a:r>
          <a:r>
            <a:rPr lang="en-US" sz="1200">
              <a:latin typeface="Times New Roman" panose="02020603050405020304" pitchFamily="18" charset="0"/>
              <a:cs typeface="Times New Roman" panose="02020603050405020304" pitchFamily="18" charset="0"/>
            </a:rPr>
            <a:t>6</a:t>
          </a:r>
          <a:r>
            <a:rPr lang="sr-Cyrl-RS" sz="1200">
              <a:latin typeface="Times New Roman" panose="02020603050405020304" pitchFamily="18" charset="0"/>
              <a:cs typeface="Times New Roman" panose="02020603050405020304" pitchFamily="18" charset="0"/>
            </a:rPr>
            <a:t>%</a:t>
          </a:r>
        </a:p>
        <a:p>
          <a:pPr algn="ctr"/>
          <a:r>
            <a:rPr lang="sr-Cyrl-RS" sz="1200">
              <a:latin typeface="Times New Roman" panose="02020603050405020304" pitchFamily="18" charset="0"/>
              <a:cs typeface="Times New Roman" panose="02020603050405020304" pitchFamily="18" charset="0"/>
            </a:rPr>
            <a:t>  крај 20</a:t>
          </a:r>
          <a:r>
            <a:rPr lang="en-US" sz="1200">
              <a:latin typeface="Times New Roman" panose="02020603050405020304" pitchFamily="18" charset="0"/>
              <a:cs typeface="Times New Roman" panose="02020603050405020304" pitchFamily="18" charset="0"/>
            </a:rPr>
            <a:t>20</a:t>
          </a:r>
          <a:r>
            <a:rPr lang="sr-Cyrl-RS" sz="1200">
              <a:latin typeface="Times New Roman" panose="02020603050405020304" pitchFamily="18" charset="0"/>
              <a:cs typeface="Times New Roman" panose="02020603050405020304" pitchFamily="18" charset="0"/>
            </a:rPr>
            <a:t>. године - </a:t>
          </a:r>
          <a:r>
            <a:rPr lang="en-US" sz="1200">
              <a:latin typeface="Times New Roman" panose="02020603050405020304" pitchFamily="18" charset="0"/>
              <a:cs typeface="Times New Roman" panose="02020603050405020304" pitchFamily="18" charset="0"/>
            </a:rPr>
            <a:t>30</a:t>
          </a:r>
          <a:r>
            <a:rPr lang="sr-Cyrl-RS" sz="1200">
              <a:latin typeface="Times New Roman" panose="02020603050405020304" pitchFamily="18" charset="0"/>
              <a:cs typeface="Times New Roman" panose="02020603050405020304" pitchFamily="18" charset="0"/>
            </a:rPr>
            <a:t>,</a:t>
          </a:r>
          <a:r>
            <a:rPr lang="en-US" sz="1200">
              <a:latin typeface="Times New Roman" panose="02020603050405020304" pitchFamily="18" charset="0"/>
              <a:cs typeface="Times New Roman" panose="02020603050405020304" pitchFamily="18" charset="0"/>
            </a:rPr>
            <a:t>5</a:t>
          </a:r>
          <a:r>
            <a:rPr lang="sr-Cyrl-RS" sz="1200">
              <a:latin typeface="Times New Roman" panose="02020603050405020304" pitchFamily="18" charset="0"/>
              <a:cs typeface="Times New Roman" panose="02020603050405020304" pitchFamily="18" charset="0"/>
            </a:rPr>
            <a:t>%</a:t>
          </a:r>
          <a:endParaRPr lang="en-US" sz="1200">
            <a:latin typeface="Times New Roman" panose="02020603050405020304" pitchFamily="18" charset="0"/>
            <a:cs typeface="Times New Roman" panose="02020603050405020304" pitchFamily="18" charset="0"/>
          </a:endParaRPr>
        </a:p>
      </dgm:t>
    </dgm:pt>
    <dgm:pt modelId="{771A278B-9A9E-4E4E-AD00-993286EAD3B6}" type="parTrans" cxnId="{BA995302-367D-45A4-80B9-DC4F9ECEDE8E}">
      <dgm:prSet/>
      <dgm:spPr/>
      <dgm:t>
        <a:bodyPr/>
        <a:lstStyle/>
        <a:p>
          <a:pPr algn="ctr"/>
          <a:endParaRPr lang="en-US"/>
        </a:p>
      </dgm:t>
    </dgm:pt>
    <dgm:pt modelId="{9B209123-ED9E-4CCE-9C10-FCA6AFC42B26}" type="sibTrans" cxnId="{BA995302-367D-45A4-80B9-DC4F9ECEDE8E}">
      <dgm:prSet/>
      <dgm:spPr/>
      <dgm:t>
        <a:bodyPr/>
        <a:lstStyle/>
        <a:p>
          <a:pPr algn="ctr"/>
          <a:endParaRPr lang="en-US"/>
        </a:p>
      </dgm:t>
    </dgm:pt>
    <dgm:pt modelId="{3FB465A3-9B95-4CB6-B5B9-4EA8E134D31C}">
      <dgm:prSet phldrT="[Text]" custT="1"/>
      <dgm:spPr/>
      <dgm:t>
        <a:bodyPr/>
        <a:lstStyle/>
        <a:p>
          <a:pPr algn="ctr"/>
          <a:r>
            <a:rPr lang="sr-Cyrl-RS" sz="1200" b="0" i="0">
              <a:latin typeface="Times New Roman" panose="02020603050405020304" pitchFamily="18" charset="0"/>
              <a:cs typeface="Times New Roman" panose="02020603050405020304" pitchFamily="18" charset="0"/>
            </a:rPr>
            <a:t>Удео јавног дуга у америчким доларима на крају године</a:t>
          </a:r>
        </a:p>
        <a:p>
          <a:pPr algn="ctr"/>
          <a:r>
            <a:rPr lang="sr-Cyrl-RS" sz="1200" b="0" i="0">
              <a:latin typeface="Times New Roman" panose="02020603050405020304" pitchFamily="18" charset="0"/>
              <a:cs typeface="Times New Roman" panose="02020603050405020304" pitchFamily="18" charset="0"/>
            </a:rPr>
            <a:t>крај 2016. године - 33,9%</a:t>
          </a:r>
        </a:p>
        <a:p>
          <a:pPr algn="ctr"/>
          <a:r>
            <a:rPr lang="sr-Cyrl-RS" sz="1200" b="0" i="0">
              <a:latin typeface="Times New Roman" panose="02020603050405020304" pitchFamily="18" charset="0"/>
              <a:cs typeface="Times New Roman" panose="02020603050405020304" pitchFamily="18" charset="0"/>
            </a:rPr>
            <a:t>крај 2020. године -12,3%</a:t>
          </a:r>
          <a:endParaRPr lang="en-US" sz="1200" b="0" i="0">
            <a:latin typeface="Times New Roman" panose="02020603050405020304" pitchFamily="18" charset="0"/>
            <a:cs typeface="Times New Roman" panose="02020603050405020304" pitchFamily="18" charset="0"/>
          </a:endParaRPr>
        </a:p>
      </dgm:t>
    </dgm:pt>
    <dgm:pt modelId="{7E152AB9-C43E-40C2-8840-7B0F3C331199}" type="parTrans" cxnId="{1B7BDBD0-702E-43B6-9C39-18F97AB39C91}">
      <dgm:prSet/>
      <dgm:spPr/>
      <dgm:t>
        <a:bodyPr/>
        <a:lstStyle/>
        <a:p>
          <a:pPr algn="ctr"/>
          <a:endParaRPr lang="en-US"/>
        </a:p>
      </dgm:t>
    </dgm:pt>
    <dgm:pt modelId="{A7897175-3017-4C38-8799-F9A23DCD17D7}" type="sibTrans" cxnId="{1B7BDBD0-702E-43B6-9C39-18F97AB39C91}">
      <dgm:prSet/>
      <dgm:spPr/>
      <dgm:t>
        <a:bodyPr/>
        <a:lstStyle/>
        <a:p>
          <a:pPr algn="ctr"/>
          <a:endParaRPr lang="en-US"/>
        </a:p>
      </dgm:t>
    </dgm:pt>
    <dgm:pt modelId="{95A87FFA-4C8C-48D4-B989-6C7204DD6308}" type="pres">
      <dgm:prSet presAssocID="{C3C11398-5EFC-4180-BA72-D25D7BB35089}" presName="compositeShape" presStyleCnt="0">
        <dgm:presLayoutVars>
          <dgm:chMax val="2"/>
          <dgm:dir/>
          <dgm:resizeHandles val="exact"/>
        </dgm:presLayoutVars>
      </dgm:prSet>
      <dgm:spPr/>
      <dgm:t>
        <a:bodyPr/>
        <a:lstStyle/>
        <a:p>
          <a:endParaRPr lang="en-US"/>
        </a:p>
      </dgm:t>
    </dgm:pt>
    <dgm:pt modelId="{73D5FC79-2462-4504-BBDA-29ADA6639154}" type="pres">
      <dgm:prSet presAssocID="{9064F4F6-C61E-43A7-834D-C7018775DF97}" presName="upArrow" presStyleLbl="node1" presStyleIdx="0" presStyleCnt="2"/>
      <dgm:spPr/>
    </dgm:pt>
    <dgm:pt modelId="{A180408B-CD9D-492C-A244-810564A7B160}" type="pres">
      <dgm:prSet presAssocID="{9064F4F6-C61E-43A7-834D-C7018775DF97}" presName="upArrowText" presStyleLbl="revTx" presStyleIdx="0" presStyleCnt="2">
        <dgm:presLayoutVars>
          <dgm:chMax val="0"/>
          <dgm:bulletEnabled val="1"/>
        </dgm:presLayoutVars>
      </dgm:prSet>
      <dgm:spPr/>
      <dgm:t>
        <a:bodyPr/>
        <a:lstStyle/>
        <a:p>
          <a:endParaRPr lang="en-US"/>
        </a:p>
      </dgm:t>
    </dgm:pt>
    <dgm:pt modelId="{1A58F47C-1D75-46AE-BC93-A3C0E3AF2D13}" type="pres">
      <dgm:prSet presAssocID="{3FB465A3-9B95-4CB6-B5B9-4EA8E134D31C}" presName="downArrow" presStyleLbl="node1" presStyleIdx="1" presStyleCnt="2"/>
      <dgm:spPr/>
    </dgm:pt>
    <dgm:pt modelId="{D72983D6-BC53-4E7A-95D6-00534B9B9B4C}" type="pres">
      <dgm:prSet presAssocID="{3FB465A3-9B95-4CB6-B5B9-4EA8E134D31C}" presName="downArrowText" presStyleLbl="revTx" presStyleIdx="1" presStyleCnt="2">
        <dgm:presLayoutVars>
          <dgm:chMax val="0"/>
          <dgm:bulletEnabled val="1"/>
        </dgm:presLayoutVars>
      </dgm:prSet>
      <dgm:spPr/>
      <dgm:t>
        <a:bodyPr/>
        <a:lstStyle/>
        <a:p>
          <a:endParaRPr lang="en-US"/>
        </a:p>
      </dgm:t>
    </dgm:pt>
  </dgm:ptLst>
  <dgm:cxnLst>
    <dgm:cxn modelId="{BA995302-367D-45A4-80B9-DC4F9ECEDE8E}" srcId="{C3C11398-5EFC-4180-BA72-D25D7BB35089}" destId="{9064F4F6-C61E-43A7-834D-C7018775DF97}" srcOrd="0" destOrd="0" parTransId="{771A278B-9A9E-4E4E-AD00-993286EAD3B6}" sibTransId="{9B209123-ED9E-4CCE-9C10-FCA6AFC42B26}"/>
    <dgm:cxn modelId="{35EA8A8A-C2D9-48AE-89A2-60488F538ACF}" type="presOf" srcId="{9064F4F6-C61E-43A7-834D-C7018775DF97}" destId="{A180408B-CD9D-492C-A244-810564A7B160}" srcOrd="0" destOrd="0" presId="urn:microsoft.com/office/officeart/2005/8/layout/arrow4"/>
    <dgm:cxn modelId="{59C129F4-607F-4580-9439-5407847B5415}" type="presOf" srcId="{C3C11398-5EFC-4180-BA72-D25D7BB35089}" destId="{95A87FFA-4C8C-48D4-B989-6C7204DD6308}" srcOrd="0" destOrd="0" presId="urn:microsoft.com/office/officeart/2005/8/layout/arrow4"/>
    <dgm:cxn modelId="{1B7BDBD0-702E-43B6-9C39-18F97AB39C91}" srcId="{C3C11398-5EFC-4180-BA72-D25D7BB35089}" destId="{3FB465A3-9B95-4CB6-B5B9-4EA8E134D31C}" srcOrd="1" destOrd="0" parTransId="{7E152AB9-C43E-40C2-8840-7B0F3C331199}" sibTransId="{A7897175-3017-4C38-8799-F9A23DCD17D7}"/>
    <dgm:cxn modelId="{86B77D23-CDAA-423C-9537-035E8F201D79}" type="presOf" srcId="{3FB465A3-9B95-4CB6-B5B9-4EA8E134D31C}" destId="{D72983D6-BC53-4E7A-95D6-00534B9B9B4C}" srcOrd="0" destOrd="0" presId="urn:microsoft.com/office/officeart/2005/8/layout/arrow4"/>
    <dgm:cxn modelId="{FA8076FF-1FE8-4E31-8293-A9169A97CAAD}" type="presParOf" srcId="{95A87FFA-4C8C-48D4-B989-6C7204DD6308}" destId="{73D5FC79-2462-4504-BBDA-29ADA6639154}" srcOrd="0" destOrd="0" presId="urn:microsoft.com/office/officeart/2005/8/layout/arrow4"/>
    <dgm:cxn modelId="{3EB92FBF-04CB-46A0-8BB1-8699D7162189}" type="presParOf" srcId="{95A87FFA-4C8C-48D4-B989-6C7204DD6308}" destId="{A180408B-CD9D-492C-A244-810564A7B160}" srcOrd="1" destOrd="0" presId="urn:microsoft.com/office/officeart/2005/8/layout/arrow4"/>
    <dgm:cxn modelId="{5C6465B0-05B9-4C2D-87DC-8C44E42E6AFF}" type="presParOf" srcId="{95A87FFA-4C8C-48D4-B989-6C7204DD6308}" destId="{1A58F47C-1D75-46AE-BC93-A3C0E3AF2D13}" srcOrd="2" destOrd="0" presId="urn:microsoft.com/office/officeart/2005/8/layout/arrow4"/>
    <dgm:cxn modelId="{3ED5BF04-EE1B-4302-BA18-BA9DFE908C2E}" type="presParOf" srcId="{95A87FFA-4C8C-48D4-B989-6C7204DD6308}" destId="{D72983D6-BC53-4E7A-95D6-00534B9B9B4C}" srcOrd="3" destOrd="0" presId="urn:microsoft.com/office/officeart/2005/8/layout/arrow4"/>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4DD3EF9-F24B-4AE5-9A5E-B1E889F0391B}">
      <dsp:nvSpPr>
        <dsp:cNvPr id="0" name=""/>
        <dsp:cNvSpPr/>
      </dsp:nvSpPr>
      <dsp:spPr>
        <a:xfrm>
          <a:off x="0" y="0"/>
          <a:ext cx="2305050" cy="2305050"/>
        </a:xfrm>
        <a:prstGeom prst="pie">
          <a:avLst>
            <a:gd name="adj1" fmla="val 5400000"/>
            <a:gd name="adj2" fmla="val 162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AFD8E49-2520-433B-A91B-6C5AF29CF8BB}">
      <dsp:nvSpPr>
        <dsp:cNvPr id="0" name=""/>
        <dsp:cNvSpPr/>
      </dsp:nvSpPr>
      <dsp:spPr>
        <a:xfrm>
          <a:off x="1152525" y="0"/>
          <a:ext cx="4219575" cy="230505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just" defTabSz="533400">
            <a:lnSpc>
              <a:spcPct val="90000"/>
            </a:lnSpc>
            <a:spcBef>
              <a:spcPct val="0"/>
            </a:spcBef>
            <a:spcAft>
              <a:spcPct val="35000"/>
            </a:spcAft>
          </a:pPr>
          <a:r>
            <a:rPr lang="sr-Cyrl-RS" sz="1200" kern="1200">
              <a:latin typeface="Times New Roman" panose="02020603050405020304" pitchFamily="18" charset="0"/>
              <a:cs typeface="Times New Roman" panose="02020603050405020304" pitchFamily="18" charset="0"/>
            </a:rPr>
            <a:t>2020. година: 41 од 47 корисника буџета увело је елементе РОБ који су примењени у 66 програма, 83 програмске активности и 21 пројекту, а исказани кроз 86 циљева и 232 родно осетљива индикатора.</a:t>
          </a:r>
          <a:endParaRPr lang="sr-Latn-RS" sz="1200" kern="1200"/>
        </a:p>
      </dsp:txBody>
      <dsp:txXfrm>
        <a:off x="1152525" y="0"/>
        <a:ext cx="4219575" cy="691516"/>
      </dsp:txXfrm>
    </dsp:sp>
    <dsp:sp modelId="{C6B9C4E6-385D-482E-ABE0-9ECF308D3C50}">
      <dsp:nvSpPr>
        <dsp:cNvPr id="0" name=""/>
        <dsp:cNvSpPr/>
      </dsp:nvSpPr>
      <dsp:spPr>
        <a:xfrm>
          <a:off x="403384" y="691516"/>
          <a:ext cx="1498281" cy="1498281"/>
        </a:xfrm>
        <a:prstGeom prst="pie">
          <a:avLst>
            <a:gd name="adj1" fmla="val 5400000"/>
            <a:gd name="adj2" fmla="val 162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2942F98-0A34-47FC-9DCB-82026ABDA375}">
      <dsp:nvSpPr>
        <dsp:cNvPr id="0" name=""/>
        <dsp:cNvSpPr/>
      </dsp:nvSpPr>
      <dsp:spPr>
        <a:xfrm>
          <a:off x="1152525" y="691516"/>
          <a:ext cx="4219575" cy="1498281"/>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just" defTabSz="533400">
            <a:lnSpc>
              <a:spcPct val="90000"/>
            </a:lnSpc>
            <a:spcBef>
              <a:spcPct val="0"/>
            </a:spcBef>
            <a:spcAft>
              <a:spcPct val="35000"/>
            </a:spcAft>
          </a:pPr>
          <a:r>
            <a:rPr lang="sr-Cyrl-RS" sz="1200" kern="1200">
              <a:latin typeface="Times New Roman" panose="02020603050405020304" pitchFamily="18" charset="0"/>
              <a:cs typeface="Times New Roman" panose="02020603050405020304" pitchFamily="18" charset="0"/>
            </a:rPr>
            <a:t>2019. година: 33 од 40 корисника буџета увело је елементе РОБ који су примењени у 43 програма, а исказани кроз 57 циљева и 282 родно осетљива индикатора.</a:t>
          </a:r>
          <a:endParaRPr lang="sr-Latn-RS" sz="1200" kern="1200"/>
        </a:p>
      </dsp:txBody>
      <dsp:txXfrm>
        <a:off x="1152525" y="691516"/>
        <a:ext cx="4219575" cy="691514"/>
      </dsp:txXfrm>
    </dsp:sp>
    <dsp:sp modelId="{4389D732-D0CF-4ECD-861E-8916A412E541}">
      <dsp:nvSpPr>
        <dsp:cNvPr id="0" name=""/>
        <dsp:cNvSpPr/>
      </dsp:nvSpPr>
      <dsp:spPr>
        <a:xfrm>
          <a:off x="806767" y="1383030"/>
          <a:ext cx="691514" cy="691514"/>
        </a:xfrm>
        <a:prstGeom prst="pie">
          <a:avLst>
            <a:gd name="adj1" fmla="val 5400000"/>
            <a:gd name="adj2" fmla="val 162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53EDBDE-35E8-47B2-8CEA-1CC80E54F4F1}">
      <dsp:nvSpPr>
        <dsp:cNvPr id="0" name=""/>
        <dsp:cNvSpPr/>
      </dsp:nvSpPr>
      <dsp:spPr>
        <a:xfrm>
          <a:off x="1152525" y="1383030"/>
          <a:ext cx="4219575" cy="691514"/>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just" defTabSz="533400">
            <a:lnSpc>
              <a:spcPct val="90000"/>
            </a:lnSpc>
            <a:spcBef>
              <a:spcPct val="0"/>
            </a:spcBef>
            <a:spcAft>
              <a:spcPct val="35000"/>
            </a:spcAft>
          </a:pPr>
          <a:r>
            <a:rPr lang="sr-Cyrl-RS" sz="1200" kern="1200">
              <a:latin typeface="Times New Roman" panose="02020603050405020304" pitchFamily="18" charset="0"/>
              <a:cs typeface="Times New Roman" panose="02020603050405020304" pitchFamily="18" charset="0"/>
            </a:rPr>
            <a:t>2018. година: У складу са планом, 35 корисника буџета увело је елементе родно одговорног буџетирања у своје финансијске планове.</a:t>
          </a:r>
          <a:endParaRPr lang="sr-Latn-RS" sz="1200" kern="1200">
            <a:latin typeface="Times New Roman" panose="02020603050405020304" pitchFamily="18" charset="0"/>
            <a:cs typeface="Times New Roman" panose="02020603050405020304" pitchFamily="18" charset="0"/>
          </a:endParaRPr>
        </a:p>
      </dsp:txBody>
      <dsp:txXfrm>
        <a:off x="1152525" y="1383030"/>
        <a:ext cx="4219575" cy="69151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273B7AC-61AB-47C4-9283-F39A537C8A8C}">
      <dsp:nvSpPr>
        <dsp:cNvPr id="0" name=""/>
        <dsp:cNvSpPr/>
      </dsp:nvSpPr>
      <dsp:spPr>
        <a:xfrm>
          <a:off x="118277" y="18274"/>
          <a:ext cx="1266006" cy="759603"/>
        </a:xfrm>
        <a:prstGeom prst="rect">
          <a:avLst/>
        </a:prstGeom>
        <a:solidFill>
          <a:schemeClr val="accent1">
            <a:hueOff val="0"/>
            <a:satOff val="0"/>
            <a:lumOff val="0"/>
            <a:alphaOff val="0"/>
          </a:schemeClr>
        </a:solidFill>
        <a:ln>
          <a:noFill/>
        </a:ln>
        <a:effectLst/>
        <a:sp3d extrusionH="152250" prstMaterial="matte">
          <a:bevelT w="165100" prst="coolSlant"/>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sp3d extrusionH="28000" prstMaterial="matte"/>
        </a:bodyPr>
        <a:lstStyle/>
        <a:p>
          <a:pPr lvl="0" algn="ctr" defTabSz="666750">
            <a:lnSpc>
              <a:spcPct val="90000"/>
            </a:lnSpc>
            <a:spcBef>
              <a:spcPct val="0"/>
            </a:spcBef>
            <a:spcAft>
              <a:spcPct val="35000"/>
            </a:spcAft>
          </a:pPr>
          <a:r>
            <a:rPr lang="sr-Cyrl-RS" sz="1500" kern="1200" dirty="0"/>
            <a:t>Пореска управа </a:t>
          </a:r>
          <a:endParaRPr lang="en-US" sz="1500" kern="1200" dirty="0"/>
        </a:p>
      </dsp:txBody>
      <dsp:txXfrm>
        <a:off x="118277" y="18274"/>
        <a:ext cx="1266006" cy="759603"/>
      </dsp:txXfrm>
    </dsp:sp>
    <dsp:sp modelId="{192C3F02-810F-4190-B6AA-4EC76A665B19}">
      <dsp:nvSpPr>
        <dsp:cNvPr id="0" name=""/>
        <dsp:cNvSpPr/>
      </dsp:nvSpPr>
      <dsp:spPr>
        <a:xfrm>
          <a:off x="2080410" y="0"/>
          <a:ext cx="1266006" cy="759603"/>
        </a:xfrm>
        <a:prstGeom prst="rect">
          <a:avLst/>
        </a:prstGeom>
        <a:solidFill>
          <a:schemeClr val="accent1">
            <a:hueOff val="0"/>
            <a:satOff val="0"/>
            <a:lumOff val="0"/>
            <a:alphaOff val="0"/>
          </a:schemeClr>
        </a:solidFill>
        <a:ln>
          <a:noFill/>
        </a:ln>
        <a:effectLst/>
        <a:sp3d extrusionH="152250" prstMaterial="matte">
          <a:bevelT w="165100" prst="coolSlant"/>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sp3d extrusionH="28000" prstMaterial="matte"/>
        </a:bodyPr>
        <a:lstStyle/>
        <a:p>
          <a:pPr lvl="0" algn="ctr" defTabSz="666750">
            <a:lnSpc>
              <a:spcPct val="90000"/>
            </a:lnSpc>
            <a:spcBef>
              <a:spcPct val="0"/>
            </a:spcBef>
            <a:spcAft>
              <a:spcPct val="35000"/>
            </a:spcAft>
          </a:pPr>
          <a:r>
            <a:rPr lang="sr-Cyrl-RS" sz="1500" kern="1200" dirty="0"/>
            <a:t>Управа царина</a:t>
          </a:r>
          <a:endParaRPr lang="en-US" sz="1500" kern="1200" dirty="0"/>
        </a:p>
      </dsp:txBody>
      <dsp:txXfrm>
        <a:off x="2080410" y="0"/>
        <a:ext cx="1266006" cy="759603"/>
      </dsp:txXfrm>
    </dsp:sp>
    <dsp:sp modelId="{B961A3E1-EA6B-4321-9B7A-75DEA511A950}">
      <dsp:nvSpPr>
        <dsp:cNvPr id="0" name=""/>
        <dsp:cNvSpPr/>
      </dsp:nvSpPr>
      <dsp:spPr>
        <a:xfrm>
          <a:off x="118277" y="847743"/>
          <a:ext cx="1266006" cy="759603"/>
        </a:xfrm>
        <a:prstGeom prst="rect">
          <a:avLst/>
        </a:prstGeom>
        <a:solidFill>
          <a:schemeClr val="accent1">
            <a:hueOff val="0"/>
            <a:satOff val="0"/>
            <a:lumOff val="0"/>
            <a:alphaOff val="0"/>
          </a:schemeClr>
        </a:solidFill>
        <a:ln>
          <a:noFill/>
        </a:ln>
        <a:effectLst/>
        <a:sp3d extrusionH="152250" prstMaterial="matte">
          <a:bevelT w="165100" prst="coolSlant"/>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sp3d extrusionH="28000" prstMaterial="matte"/>
        </a:bodyPr>
        <a:lstStyle/>
        <a:p>
          <a:pPr lvl="0" algn="ctr" defTabSz="666750">
            <a:lnSpc>
              <a:spcPct val="90000"/>
            </a:lnSpc>
            <a:spcBef>
              <a:spcPct val="0"/>
            </a:spcBef>
            <a:spcAft>
              <a:spcPct val="35000"/>
            </a:spcAft>
          </a:pPr>
          <a:r>
            <a:rPr lang="sr-Cyrl-RS" sz="1500" kern="1200" dirty="0"/>
            <a:t>Управа за дуван</a:t>
          </a:r>
          <a:endParaRPr lang="en-US" sz="1500" kern="1200" dirty="0"/>
        </a:p>
      </dsp:txBody>
      <dsp:txXfrm>
        <a:off x="118277" y="847743"/>
        <a:ext cx="1266006" cy="759603"/>
      </dsp:txXfrm>
    </dsp:sp>
    <dsp:sp modelId="{EF645E29-BFF9-4F66-B190-3EBF81820DB5}">
      <dsp:nvSpPr>
        <dsp:cNvPr id="0" name=""/>
        <dsp:cNvSpPr/>
      </dsp:nvSpPr>
      <dsp:spPr>
        <a:xfrm>
          <a:off x="2065142" y="795376"/>
          <a:ext cx="1266006" cy="759603"/>
        </a:xfrm>
        <a:prstGeom prst="rect">
          <a:avLst/>
        </a:prstGeom>
        <a:solidFill>
          <a:schemeClr val="accent1">
            <a:hueOff val="0"/>
            <a:satOff val="0"/>
            <a:lumOff val="0"/>
            <a:alphaOff val="0"/>
          </a:schemeClr>
        </a:solidFill>
        <a:ln>
          <a:noFill/>
        </a:ln>
        <a:effectLst/>
        <a:sp3d extrusionH="152250" prstMaterial="matte">
          <a:bevelT w="165100" prst="coolSlant"/>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sp3d extrusionH="28000" prstMaterial="matte"/>
        </a:bodyPr>
        <a:lstStyle/>
        <a:p>
          <a:pPr lvl="0" algn="ctr" defTabSz="666750">
            <a:lnSpc>
              <a:spcPct val="90000"/>
            </a:lnSpc>
            <a:spcBef>
              <a:spcPct val="0"/>
            </a:spcBef>
            <a:spcAft>
              <a:spcPct val="35000"/>
            </a:spcAft>
          </a:pPr>
          <a:r>
            <a:rPr lang="sr-Cyrl-RS" sz="1500" kern="1200" dirty="0"/>
            <a:t>Управа за јавни дуг</a:t>
          </a:r>
          <a:endParaRPr lang="en-US" sz="1500" kern="1200" dirty="0"/>
        </a:p>
      </dsp:txBody>
      <dsp:txXfrm>
        <a:off x="2065142" y="795376"/>
        <a:ext cx="1266006" cy="759603"/>
      </dsp:txXfrm>
    </dsp:sp>
    <dsp:sp modelId="{C98646B2-A3CE-48AA-86D8-7F1C783BC5A2}">
      <dsp:nvSpPr>
        <dsp:cNvPr id="0" name=""/>
        <dsp:cNvSpPr/>
      </dsp:nvSpPr>
      <dsp:spPr>
        <a:xfrm>
          <a:off x="1366635" y="1604253"/>
          <a:ext cx="1266006" cy="759603"/>
        </a:xfrm>
        <a:prstGeom prst="rect">
          <a:avLst/>
        </a:prstGeom>
        <a:solidFill>
          <a:schemeClr val="accent1">
            <a:hueOff val="0"/>
            <a:satOff val="0"/>
            <a:lumOff val="0"/>
            <a:alphaOff val="0"/>
          </a:schemeClr>
        </a:solidFill>
        <a:ln>
          <a:noFill/>
        </a:ln>
        <a:effectLst/>
        <a:sp3d extrusionH="152250" prstMaterial="matte">
          <a:bevelT w="165100" prst="coolSlant"/>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sp3d extrusionH="28000" prstMaterial="matte"/>
        </a:bodyPr>
        <a:lstStyle/>
        <a:p>
          <a:pPr lvl="0" algn="ctr" defTabSz="666750">
            <a:lnSpc>
              <a:spcPct val="90000"/>
            </a:lnSpc>
            <a:spcBef>
              <a:spcPct val="0"/>
            </a:spcBef>
            <a:spcAft>
              <a:spcPct val="35000"/>
            </a:spcAft>
          </a:pPr>
          <a:r>
            <a:rPr lang="sr-Cyrl-RS" sz="1500" kern="1200" dirty="0"/>
            <a:t>Канцеларија за јавне набавке</a:t>
          </a:r>
          <a:endParaRPr lang="en-US" sz="1500" kern="1200" dirty="0"/>
        </a:p>
      </dsp:txBody>
      <dsp:txXfrm>
        <a:off x="1366635" y="1604253"/>
        <a:ext cx="1266006" cy="75960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D9A6050-B7B6-4C26-8CD1-7D3AA920EB34}">
      <dsp:nvSpPr>
        <dsp:cNvPr id="0" name=""/>
        <dsp:cNvSpPr/>
      </dsp:nvSpPr>
      <dsp:spPr>
        <a:xfrm>
          <a:off x="361725" y="500233"/>
          <a:ext cx="2989173" cy="2989173"/>
        </a:xfrm>
        <a:prstGeom prst="pie">
          <a:avLst>
            <a:gd name="adj1" fmla="val 16200000"/>
            <a:gd name="adj2" fmla="val 180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buNone/>
          </a:pPr>
          <a:r>
            <a:rPr lang="sr-Cyrl-RS" sz="1100" kern="1200">
              <a:solidFill>
                <a:sysClr val="window" lastClr="FFFFFF"/>
              </a:solidFill>
              <a:latin typeface="Times New Roman" panose="02020603050405020304" pitchFamily="18" charset="0"/>
              <a:ea typeface="+mn-ea"/>
              <a:cs typeface="Times New Roman" panose="02020603050405020304" pitchFamily="18" charset="0"/>
            </a:rPr>
            <a:t>Пословна мрежа основних активности ПУРС (</a:t>
          </a:r>
          <a:r>
            <a:rPr lang="sr-Cyrl-RS" sz="1100" kern="1200">
              <a:solidFill>
                <a:srgbClr val="C00000"/>
              </a:solidFill>
              <a:latin typeface="Times New Roman" panose="02020603050405020304" pitchFamily="18" charset="0"/>
              <a:ea typeface="+mn-ea"/>
              <a:cs typeface="Times New Roman" panose="02020603050405020304" pitchFamily="18" charset="0"/>
            </a:rPr>
            <a:t>37</a:t>
          </a:r>
          <a:r>
            <a:rPr lang="sr-Cyrl-RS" sz="1100" kern="1200">
              <a:solidFill>
                <a:sysClr val="window" lastClr="FFFFFF"/>
              </a:solidFill>
              <a:latin typeface="Times New Roman" panose="02020603050405020304" pitchFamily="18" charset="0"/>
              <a:ea typeface="+mn-ea"/>
              <a:cs typeface="Times New Roman" panose="02020603050405020304" pitchFamily="18" charset="0"/>
            </a:rPr>
            <a:t> филијала на </a:t>
          </a:r>
          <a:r>
            <a:rPr lang="sr-Cyrl-RS" sz="1100" kern="1200">
              <a:solidFill>
                <a:srgbClr val="C00000"/>
              </a:solidFill>
              <a:latin typeface="Times New Roman" panose="02020603050405020304" pitchFamily="18" charset="0"/>
              <a:ea typeface="+mn-ea"/>
              <a:cs typeface="Times New Roman" panose="02020603050405020304" pitchFamily="18" charset="0"/>
            </a:rPr>
            <a:t>37</a:t>
          </a:r>
          <a:r>
            <a:rPr lang="sr-Cyrl-RS" sz="1100" kern="1200">
              <a:solidFill>
                <a:sysClr val="window" lastClr="FFFFFF"/>
              </a:solidFill>
              <a:latin typeface="Times New Roman" panose="02020603050405020304" pitchFamily="18" charset="0"/>
              <a:ea typeface="+mn-ea"/>
              <a:cs typeface="Times New Roman" panose="02020603050405020304" pitchFamily="18" charset="0"/>
            </a:rPr>
            <a:t> локација)</a:t>
          </a:r>
          <a:endParaRPr lang="en-US" sz="11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986910" y="1051807"/>
        <a:ext cx="1014183" cy="996391"/>
      </dsp:txXfrm>
    </dsp:sp>
    <dsp:sp modelId="{8571E710-C42C-4BBB-9B43-0CF4ADBA398C}">
      <dsp:nvSpPr>
        <dsp:cNvPr id="0" name=""/>
        <dsp:cNvSpPr/>
      </dsp:nvSpPr>
      <dsp:spPr>
        <a:xfrm>
          <a:off x="207640" y="589197"/>
          <a:ext cx="2989173" cy="2989173"/>
        </a:xfrm>
        <a:prstGeom prst="pie">
          <a:avLst>
            <a:gd name="adj1" fmla="val 1800000"/>
            <a:gd name="adj2" fmla="val 900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buNone/>
          </a:pPr>
          <a:r>
            <a:rPr lang="sr-Cyrl-RS" sz="1100" kern="1200">
              <a:solidFill>
                <a:sysClr val="window" lastClr="FFFFFF"/>
              </a:solidFill>
              <a:latin typeface="Times New Roman" panose="02020603050405020304" pitchFamily="18" charset="0"/>
              <a:ea typeface="+mn-ea"/>
              <a:cs typeface="Times New Roman" panose="02020603050405020304" pitchFamily="18" charset="0"/>
            </a:rPr>
            <a:t>Пословна мрежа издвојених активности ПУРС (</a:t>
          </a:r>
          <a:r>
            <a:rPr lang="sr-Cyrl-RS" sz="1100" kern="1200">
              <a:solidFill>
                <a:srgbClr val="C00000"/>
              </a:solidFill>
              <a:latin typeface="Times New Roman" panose="02020603050405020304" pitchFamily="18" charset="0"/>
              <a:ea typeface="+mn-ea"/>
              <a:cs typeface="Times New Roman" panose="02020603050405020304" pitchFamily="18" charset="0"/>
            </a:rPr>
            <a:t>81 </a:t>
          </a:r>
          <a:r>
            <a:rPr lang="sr-Cyrl-RS" sz="1100" kern="1200">
              <a:solidFill>
                <a:sysClr val="window" lastClr="FFFFFF"/>
              </a:solidFill>
              <a:latin typeface="Times New Roman" panose="02020603050405020304" pitchFamily="18" charset="0"/>
              <a:ea typeface="+mn-ea"/>
              <a:cs typeface="Times New Roman" panose="02020603050405020304" pitchFamily="18" charset="0"/>
            </a:rPr>
            <a:t>организациона јединица на </a:t>
          </a:r>
          <a:r>
            <a:rPr lang="sr-Cyrl-RS" sz="1100" kern="1200">
              <a:solidFill>
                <a:srgbClr val="C00000"/>
              </a:solidFill>
              <a:latin typeface="Times New Roman" panose="02020603050405020304" pitchFamily="18" charset="0"/>
              <a:ea typeface="+mn-ea"/>
              <a:cs typeface="Times New Roman" panose="02020603050405020304" pitchFamily="18" charset="0"/>
            </a:rPr>
            <a:t>75</a:t>
          </a:r>
          <a:r>
            <a:rPr lang="sr-Cyrl-RS" sz="1100" kern="1200">
              <a:solidFill>
                <a:sysClr val="window" lastClr="FFFFFF"/>
              </a:solidFill>
              <a:latin typeface="Times New Roman" panose="02020603050405020304" pitchFamily="18" charset="0"/>
              <a:ea typeface="+mn-ea"/>
              <a:cs typeface="Times New Roman" panose="02020603050405020304" pitchFamily="18" charset="0"/>
            </a:rPr>
            <a:t> локација)</a:t>
          </a:r>
          <a:endParaRPr lang="en-US" sz="11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1026105" y="2475223"/>
        <a:ext cx="1352245" cy="925220"/>
      </dsp:txXfrm>
    </dsp:sp>
    <dsp:sp modelId="{1AC69D2B-CD47-4072-9487-CF5B4865DE80}">
      <dsp:nvSpPr>
        <dsp:cNvPr id="0" name=""/>
        <dsp:cNvSpPr/>
      </dsp:nvSpPr>
      <dsp:spPr>
        <a:xfrm>
          <a:off x="207640" y="589197"/>
          <a:ext cx="2989173" cy="2989173"/>
        </a:xfrm>
        <a:prstGeom prst="pie">
          <a:avLst>
            <a:gd name="adj1" fmla="val 9000000"/>
            <a:gd name="adj2" fmla="val 1620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buNone/>
          </a:pPr>
          <a:r>
            <a:rPr lang="sr-Cyrl-RS" sz="1100" kern="1200">
              <a:solidFill>
                <a:sysClr val="window" lastClr="FFFFFF"/>
              </a:solidFill>
              <a:latin typeface="Times New Roman" panose="02020603050405020304" pitchFamily="18" charset="0"/>
              <a:ea typeface="+mn-ea"/>
              <a:cs typeface="Times New Roman" panose="02020603050405020304" pitchFamily="18" charset="0"/>
            </a:rPr>
            <a:t>Центар за велике пореске обвезнике (ЦВПО)</a:t>
          </a:r>
          <a:endParaRPr lang="en-US" sz="1100" kern="1200">
            <a:solidFill>
              <a:sysClr val="window" lastClr="FFFFFF"/>
            </a:solidFill>
            <a:latin typeface="Times New Roman" panose="02020603050405020304" pitchFamily="18" charset="0"/>
            <a:ea typeface="+mn-ea"/>
            <a:cs typeface="Times New Roman" panose="02020603050405020304" pitchFamily="18" charset="0"/>
          </a:endParaRPr>
        </a:p>
      </dsp:txBody>
      <dsp:txXfrm>
        <a:off x="527909" y="1176356"/>
        <a:ext cx="1014183" cy="99639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D5FC79-2462-4504-BBDA-29ADA6639154}">
      <dsp:nvSpPr>
        <dsp:cNvPr id="0" name=""/>
        <dsp:cNvSpPr/>
      </dsp:nvSpPr>
      <dsp:spPr>
        <a:xfrm>
          <a:off x="343497" y="0"/>
          <a:ext cx="1238641" cy="928980"/>
        </a:xfrm>
        <a:prstGeom prst="upArrow">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A180408B-CD9D-492C-A244-810564A7B160}">
      <dsp:nvSpPr>
        <dsp:cNvPr id="0" name=""/>
        <dsp:cNvSpPr/>
      </dsp:nvSpPr>
      <dsp:spPr>
        <a:xfrm>
          <a:off x="1619297" y="0"/>
          <a:ext cx="2971038" cy="92898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85344" tIns="0" rIns="85344" bIns="85344" numCol="1" spcCol="1270" anchor="ctr" anchorCtr="0">
          <a:noAutofit/>
        </a:bodyPr>
        <a:lstStyle/>
        <a:p>
          <a:pPr lvl="0" algn="ctr" defTabSz="533400">
            <a:lnSpc>
              <a:spcPct val="90000"/>
            </a:lnSpc>
            <a:spcBef>
              <a:spcPct val="0"/>
            </a:spcBef>
            <a:spcAft>
              <a:spcPct val="35000"/>
            </a:spcAft>
          </a:pPr>
          <a:r>
            <a:rPr lang="sr-Cyrl-RS" sz="1200" kern="1200">
              <a:latin typeface="Times New Roman" panose="02020603050405020304" pitchFamily="18" charset="0"/>
              <a:cs typeface="Times New Roman" panose="02020603050405020304" pitchFamily="18" charset="0"/>
            </a:rPr>
            <a:t>Удео јавног дуга у домаћој валути </a:t>
          </a:r>
        </a:p>
        <a:p>
          <a:pPr lvl="0" algn="ctr" defTabSz="533400">
            <a:lnSpc>
              <a:spcPct val="90000"/>
            </a:lnSpc>
            <a:spcBef>
              <a:spcPct val="0"/>
            </a:spcBef>
            <a:spcAft>
              <a:spcPct val="35000"/>
            </a:spcAft>
          </a:pPr>
          <a:r>
            <a:rPr lang="sr-Cyrl-RS" sz="1200" kern="1200">
              <a:latin typeface="Times New Roman" panose="02020603050405020304" pitchFamily="18" charset="0"/>
              <a:cs typeface="Times New Roman" panose="02020603050405020304" pitchFamily="18" charset="0"/>
            </a:rPr>
            <a:t>крај 2008. године - 2,</a:t>
          </a:r>
          <a:r>
            <a:rPr lang="en-US" sz="1200" kern="1200">
              <a:latin typeface="Times New Roman" panose="02020603050405020304" pitchFamily="18" charset="0"/>
              <a:cs typeface="Times New Roman" panose="02020603050405020304" pitchFamily="18" charset="0"/>
            </a:rPr>
            <a:t>6</a:t>
          </a:r>
          <a:r>
            <a:rPr lang="sr-Cyrl-RS" sz="1200" kern="1200">
              <a:latin typeface="Times New Roman" panose="02020603050405020304" pitchFamily="18" charset="0"/>
              <a:cs typeface="Times New Roman" panose="02020603050405020304" pitchFamily="18" charset="0"/>
            </a:rPr>
            <a:t>%</a:t>
          </a:r>
        </a:p>
        <a:p>
          <a:pPr lvl="0" algn="ctr" defTabSz="533400">
            <a:lnSpc>
              <a:spcPct val="90000"/>
            </a:lnSpc>
            <a:spcBef>
              <a:spcPct val="0"/>
            </a:spcBef>
            <a:spcAft>
              <a:spcPct val="35000"/>
            </a:spcAft>
          </a:pPr>
          <a:r>
            <a:rPr lang="sr-Cyrl-RS" sz="1200" kern="1200">
              <a:latin typeface="Times New Roman" panose="02020603050405020304" pitchFamily="18" charset="0"/>
              <a:cs typeface="Times New Roman" panose="02020603050405020304" pitchFamily="18" charset="0"/>
            </a:rPr>
            <a:t>  крај 20</a:t>
          </a:r>
          <a:r>
            <a:rPr lang="en-US" sz="1200" kern="1200">
              <a:latin typeface="Times New Roman" panose="02020603050405020304" pitchFamily="18" charset="0"/>
              <a:cs typeface="Times New Roman" panose="02020603050405020304" pitchFamily="18" charset="0"/>
            </a:rPr>
            <a:t>20</a:t>
          </a:r>
          <a:r>
            <a:rPr lang="sr-Cyrl-RS" sz="1200" kern="1200">
              <a:latin typeface="Times New Roman" panose="02020603050405020304" pitchFamily="18" charset="0"/>
              <a:cs typeface="Times New Roman" panose="02020603050405020304" pitchFamily="18" charset="0"/>
            </a:rPr>
            <a:t>. године - </a:t>
          </a:r>
          <a:r>
            <a:rPr lang="en-US" sz="1200" kern="1200">
              <a:latin typeface="Times New Roman" panose="02020603050405020304" pitchFamily="18" charset="0"/>
              <a:cs typeface="Times New Roman" panose="02020603050405020304" pitchFamily="18" charset="0"/>
            </a:rPr>
            <a:t>30</a:t>
          </a:r>
          <a:r>
            <a:rPr lang="sr-Cyrl-RS" sz="1200" kern="1200">
              <a:latin typeface="Times New Roman" panose="02020603050405020304" pitchFamily="18" charset="0"/>
              <a:cs typeface="Times New Roman" panose="02020603050405020304" pitchFamily="18" charset="0"/>
            </a:rPr>
            <a:t>,</a:t>
          </a:r>
          <a:r>
            <a:rPr lang="en-US" sz="1200" kern="1200">
              <a:latin typeface="Times New Roman" panose="02020603050405020304" pitchFamily="18" charset="0"/>
              <a:cs typeface="Times New Roman" panose="02020603050405020304" pitchFamily="18" charset="0"/>
            </a:rPr>
            <a:t>5</a:t>
          </a:r>
          <a:r>
            <a:rPr lang="sr-Cyrl-RS" sz="1200" kern="1200">
              <a:latin typeface="Times New Roman" panose="02020603050405020304" pitchFamily="18" charset="0"/>
              <a:cs typeface="Times New Roman" panose="02020603050405020304" pitchFamily="18" charset="0"/>
            </a:rPr>
            <a:t>%</a:t>
          </a:r>
          <a:endParaRPr lang="en-US" sz="1200" kern="1200">
            <a:latin typeface="Times New Roman" panose="02020603050405020304" pitchFamily="18" charset="0"/>
            <a:cs typeface="Times New Roman" panose="02020603050405020304" pitchFamily="18" charset="0"/>
          </a:endParaRPr>
        </a:p>
      </dsp:txBody>
      <dsp:txXfrm>
        <a:off x="1619297" y="0"/>
        <a:ext cx="2971038" cy="928980"/>
      </dsp:txXfrm>
    </dsp:sp>
    <dsp:sp modelId="{1A58F47C-1D75-46AE-BC93-A3C0E3AF2D13}">
      <dsp:nvSpPr>
        <dsp:cNvPr id="0" name=""/>
        <dsp:cNvSpPr/>
      </dsp:nvSpPr>
      <dsp:spPr>
        <a:xfrm>
          <a:off x="715089" y="1006396"/>
          <a:ext cx="1238641" cy="928980"/>
        </a:xfrm>
        <a:prstGeom prst="downArrow">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D72983D6-BC53-4E7A-95D6-00534B9B9B4C}">
      <dsp:nvSpPr>
        <dsp:cNvPr id="0" name=""/>
        <dsp:cNvSpPr/>
      </dsp:nvSpPr>
      <dsp:spPr>
        <a:xfrm>
          <a:off x="1990889" y="1006396"/>
          <a:ext cx="2971038" cy="92898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85344" tIns="0" rIns="85344" bIns="85344" numCol="1" spcCol="1270" anchor="ctr" anchorCtr="0">
          <a:noAutofit/>
        </a:bodyPr>
        <a:lstStyle/>
        <a:p>
          <a:pPr lvl="0" algn="ctr" defTabSz="533400">
            <a:lnSpc>
              <a:spcPct val="90000"/>
            </a:lnSpc>
            <a:spcBef>
              <a:spcPct val="0"/>
            </a:spcBef>
            <a:spcAft>
              <a:spcPct val="35000"/>
            </a:spcAft>
          </a:pPr>
          <a:r>
            <a:rPr lang="sr-Cyrl-RS" sz="1200" b="0" i="0" kern="1200">
              <a:latin typeface="Times New Roman" panose="02020603050405020304" pitchFamily="18" charset="0"/>
              <a:cs typeface="Times New Roman" panose="02020603050405020304" pitchFamily="18" charset="0"/>
            </a:rPr>
            <a:t>Удео јавног дуга у америчким доларима на крају године</a:t>
          </a:r>
        </a:p>
        <a:p>
          <a:pPr lvl="0" algn="ctr" defTabSz="533400">
            <a:lnSpc>
              <a:spcPct val="90000"/>
            </a:lnSpc>
            <a:spcBef>
              <a:spcPct val="0"/>
            </a:spcBef>
            <a:spcAft>
              <a:spcPct val="35000"/>
            </a:spcAft>
          </a:pPr>
          <a:r>
            <a:rPr lang="sr-Cyrl-RS" sz="1200" b="0" i="0" kern="1200">
              <a:latin typeface="Times New Roman" panose="02020603050405020304" pitchFamily="18" charset="0"/>
              <a:cs typeface="Times New Roman" panose="02020603050405020304" pitchFamily="18" charset="0"/>
            </a:rPr>
            <a:t>крај 2016. године - 33,9%</a:t>
          </a:r>
        </a:p>
        <a:p>
          <a:pPr lvl="0" algn="ctr" defTabSz="533400">
            <a:lnSpc>
              <a:spcPct val="90000"/>
            </a:lnSpc>
            <a:spcBef>
              <a:spcPct val="0"/>
            </a:spcBef>
            <a:spcAft>
              <a:spcPct val="35000"/>
            </a:spcAft>
          </a:pPr>
          <a:r>
            <a:rPr lang="sr-Cyrl-RS" sz="1200" b="0" i="0" kern="1200">
              <a:latin typeface="Times New Roman" panose="02020603050405020304" pitchFamily="18" charset="0"/>
              <a:cs typeface="Times New Roman" panose="02020603050405020304" pitchFamily="18" charset="0"/>
            </a:rPr>
            <a:t>крај 2020. године -12,3%</a:t>
          </a:r>
          <a:endParaRPr lang="en-US" sz="1200" b="0" i="0" kern="1200">
            <a:latin typeface="Times New Roman" panose="02020603050405020304" pitchFamily="18" charset="0"/>
            <a:cs typeface="Times New Roman" panose="02020603050405020304" pitchFamily="18" charset="0"/>
          </a:endParaRPr>
        </a:p>
      </dsp:txBody>
      <dsp:txXfrm>
        <a:off x="1990889" y="1006396"/>
        <a:ext cx="2971038" cy="928980"/>
      </dsp:txXfrm>
    </dsp:sp>
  </dsp:spTree>
</dsp:drawing>
</file>

<file path=word/diagrams/layout1.xml><?xml version="1.0" encoding="utf-8"?>
<dgm:layoutDef xmlns:dgm="http://schemas.openxmlformats.org/drawingml/2006/diagram" xmlns:a="http://schemas.openxmlformats.org/drawingml/2006/main" uniqueId="urn:microsoft.com/office/officeart/2005/8/layout/target3">
  <dgm:title val=""/>
  <dgm:desc val=""/>
  <dgm:catLst>
    <dgm:cat type="relationship" pri="11000"/>
    <dgm:cat type="list" pri="22000"/>
    <dgm:cat type="convert"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tyleData>
  <dgm:clr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clrData>
  <dgm:layoutNode name="Name0">
    <dgm:varLst>
      <dgm:chMax val="7"/>
      <dgm:dir/>
      <dgm:animLvl val="lvl"/>
      <dgm:resizeHandles val="exact"/>
    </dgm:varLst>
    <dgm:alg type="composite"/>
    <dgm:shape xmlns:r="http://schemas.openxmlformats.org/officeDocument/2006/relationships" r:blip="">
      <dgm:adjLst/>
    </dgm:shape>
    <dgm:presOf/>
    <dgm:choose name="Name1">
      <dgm:if name="Name2" func="var" arg="dir" op="equ" val="norm">
        <dgm:choose name="Name3">
          <dgm:if name="Name4" axis="ch" ptType="node" func="cnt" op="equ" val="1">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rect1ParTx" refType="r" refFor="ch" refForName="space"/>
              <dgm:constr type="w" for="ch" forName="rect1ParTx" refType="w" refFor="ch" refForName="rect1" fact="0.5"/>
              <dgm:constr type="t" for="ch" forName="rect1ParTx" refType="t" refFor="ch" refForName="rect1"/>
              <dgm:constr type="b" for="ch" forName="rect1ParTx" refType="b" refFor="ch" refForName="rect1"/>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5" axis="ch" ptType="node" func="cnt" op="equ" val="2">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rect2ParTx" refType="r" refFor="ch" refForName="space"/>
              <dgm:constr type="w" for="ch" forName="rect2ParTx" refType="w" refFor="ch" refForName="rect2" fact="0.5"/>
              <dgm:constr type="t" for="ch" forName="rect2ParTx" refType="t" refFor="ch" refForName="rect2"/>
              <dgm:constr type="b" for="ch" forName="rect2ParTx" refType="b" refFor="ch" refForName="rect2"/>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b" refFor="ch" refForName="rect2"/>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6" axis="ch" ptType="node" func="cnt" op="equ" val="3">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rect3ParTx" refType="r" refFor="ch" refForName="space"/>
              <dgm:constr type="w" for="ch" forName="rect3ParTx" refType="w" refFor="ch" refForName="rect3" fact="0.5"/>
              <dgm:constr type="t" for="ch" forName="rect3ParTx" refType="t" refFor="ch" refForName="rect3"/>
              <dgm:constr type="b" for="ch" forName="rect3ParTx" refType="b" refFor="ch" refForName="rect3"/>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b" refFor="ch" refForName="rect3"/>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7" axis="ch" ptType="node" func="cnt" op="equ" val="4">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rect4ParTx" refType="r" refFor="ch" refForName="space"/>
              <dgm:constr type="w" for="ch" forName="rect4ParTx" refType="w" refFor="ch" refForName="rect4" fact="0.5"/>
              <dgm:constr type="t" for="ch" forName="rect4ParTx" refType="t" refFor="ch" refForName="rect4"/>
              <dgm:constr type="b" for="ch" forName="rect4ParTx" refType="b" refFor="ch" refForName="rect4"/>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b" refFor="ch" refForName="rect4"/>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8" axis="ch" ptType="node" func="cnt" op="equ" val="5">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rect5ParTx" refType="r" refFor="ch" refForName="space"/>
              <dgm:constr type="w" for="ch" forName="rect5ParTx" refType="w" refFor="ch" refForName="rect5" fact="0.5"/>
              <dgm:constr type="t" for="ch" forName="rect5ParTx" refType="t" refFor="ch" refForName="rect5"/>
              <dgm:constr type="b" for="ch" forName="rect5ParTx" refType="b" refFor="ch" refForName="rect5"/>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b" refFor="ch" refForName="rect5"/>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9" axis="ch" ptType="node" func="cnt" op="equ" val="6">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rect6ParTx" refType="r" refFor="ch" refForName="space"/>
              <dgm:constr type="w" for="ch" forName="rect6ParTx" refType="w" refFor="ch" refForName="rect6" fact="0.5"/>
              <dgm:constr type="t" for="ch" forName="rect6ParTx" refType="t" refFor="ch" refForName="rect6"/>
              <dgm:constr type="b" for="ch" forName="rect6ParTx" refType="b" refFor="ch" refForName="rect6"/>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b" refFor="ch" refForName="rect6"/>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10" axis="ch" ptType="node" func="cnt" op="gte" val="7">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l"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l" for="ch" forName="rect7" refType="r" refFor="ch" refForName="space"/>
              <dgm:constr type="r" for="ch" forName="rect7" refType="w"/>
              <dgm:constr type="h" for="ch" forName="rect7" refType="h" refFor="ch" refForName="circle7"/>
              <dgm:constr type="hOff" for="ch" forName="rect7" refType="hOff" refFor="ch" refForName="circle7"/>
              <dgm:constr type="b" for="ch" forName="rect7" refType="b" refFor="ch" refForName="circle7"/>
              <dgm:constr type="l" for="ch" forName="rect7ParTx" refType="r" refFor="ch" refForName="space"/>
              <dgm:constr type="w" for="ch" forName="rect7ParTx" refType="w" refFor="ch" refForName="rect7" fact="0.5"/>
              <dgm:constr type="t" for="ch" forName="rect7ParTx" refType="t" refFor="ch" refForName="rect7"/>
              <dgm:constr type="b" for="ch" forName="rect7ParTx" refType="b" refFor="ch" refForName="rect7"/>
              <dgm:constr type="l" for="ch" forName="rect7ChTx" refType="r" refFor="ch" refForName="rect7ParTx"/>
              <dgm:constr type="w" for="ch" forName="rect7ChTx" refType="w" refFor="ch" refForName="rect7ParTx"/>
              <dgm:constr type="t" for="ch" forName="rect7ChTx" refType="t" refFor="ch" refForName="rect7ParTx"/>
              <dgm:constr type="b" for="ch" forName="rect7ChTx" refType="b" refFor="ch" refForName="rect7ParTx"/>
              <dgm:constr type="l" for="ch" forName="rect7ParTxNoCh" refType="r" refFor="ch" refForName="space"/>
              <dgm:constr type="w" for="ch" forName="rect7ParTxNoCh" refType="w" refFor="ch" refForName="rect7"/>
              <dgm:constr type="t" for="ch" forName="rect7ParTxNoCh" refType="t" refFor="ch" refForName="rect7"/>
              <dgm:constr type="b" for="ch" forName="rect7ParTxNoCh" refType="b" refFor="ch" refForName="rect7"/>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l" for="ch" forName="rect6ParTx" refType="r" refFor="ch" refForName="space"/>
              <dgm:constr type="w" for="ch" forName="rect6ParTx" refType="w" refFor="ch" refForName="rect6" fact="0.5"/>
              <dgm:constr type="t" for="ch" forName="rect6ParTx" refType="t" refFor="ch" refForName="rect6"/>
              <dgm:constr type="b" for="ch" forName="rect6ParTx" refType="t" refFor="ch" refForName="rect7"/>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11">
            <dgm:constrLst/>
          </dgm:else>
        </dgm:choose>
      </dgm:if>
      <dgm:else name="Name12">
        <dgm:choose name="Name13">
          <dgm:if name="Name14" axis="ch" ptType="node" func="cnt" op="equ" val="1">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r" for="ch" forName="rect1ParTx" refType="l" refFor="ch" refForName="space"/>
              <dgm:constr type="w" for="ch" forName="rect1ParTx" refType="w" refFor="ch" refForName="rect1" fact="0.5"/>
              <dgm:constr type="t" for="ch" forName="rect1ParTx" refType="t" refFor="ch" refForName="rect1"/>
              <dgm:constr type="b" for="ch" forName="rect1ParTx" refType="b" refFor="ch" refForName="rect1"/>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15" axis="ch" ptType="node" func="cnt" op="equ" val="2">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r" for="ch" forName="rect2ParTx" refType="l" refFor="ch" refForName="space"/>
              <dgm:constr type="w" for="ch" forName="rect2ParTx" refType="w" refFor="ch" refForName="rect2" fact="0.5"/>
              <dgm:constr type="t" for="ch" forName="rect2ParTx" refType="t" refFor="ch" refForName="rect2"/>
              <dgm:constr type="b" for="ch" forName="rect2ParTx" refType="b" refFor="ch" refForName="rect2"/>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b" refFor="ch" refForName="rect2"/>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16" axis="ch" ptType="node" func="cnt" op="equ" val="3">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r" for="ch" forName="rect3ParTx" refType="l" refFor="ch" refForName="space"/>
              <dgm:constr type="w" for="ch" forName="rect3ParTx" refType="w" refFor="ch" refForName="rect3" fact="0.5"/>
              <dgm:constr type="t" for="ch" forName="rect3ParTx" refType="t" refFor="ch" refForName="rect3"/>
              <dgm:constr type="b" for="ch" forName="rect3ParTx" refType="b" refFor="ch" refForName="rect3"/>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b" refFor="ch" refForName="rect3"/>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17" axis="ch" ptType="node" func="cnt" op="equ" val="4">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r" for="ch" forName="rect4ParTx" refType="l" refFor="ch" refForName="space"/>
              <dgm:constr type="w" for="ch" forName="rect4ParTx" refType="w" refFor="ch" refForName="rect4" fact="0.5"/>
              <dgm:constr type="t" for="ch" forName="rect4ParTx" refType="t" refFor="ch" refForName="rect4"/>
              <dgm:constr type="b" for="ch" forName="rect4ParTx" refType="b" refFor="ch" refForName="rect4"/>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b" refFor="ch" refForName="rect4"/>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18" axis="ch" ptType="node" func="cnt" op="equ" val="5">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r" for="ch" forName="rect5ParTx" refType="l" refFor="ch" refForName="space"/>
              <dgm:constr type="w" for="ch" forName="rect5ParTx" refType="w" refFor="ch" refForName="rect5" fact="0.5"/>
              <dgm:constr type="t" for="ch" forName="rect5ParTx" refType="t" refFor="ch" refForName="rect5"/>
              <dgm:constr type="b" for="ch" forName="rect5ParTx" refType="b" refFor="ch" refForName="rect5"/>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b" refFor="ch" refForName="rect5"/>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19" axis="ch" ptType="node" func="cnt" op="equ" val="6">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r" for="ch" forName="rect6ParTx" refType="l" refFor="ch" refForName="space"/>
              <dgm:constr type="w" for="ch" forName="rect6ParTx" refType="w" refFor="ch" refForName="rect6" fact="0.5"/>
              <dgm:constr type="t" for="ch" forName="rect6ParTx" refType="t" refFor="ch" refForName="rect6"/>
              <dgm:constr type="b" for="ch" forName="rect6ParTx" refType="b" refFor="ch" refForName="rect6"/>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b" refFor="ch" refForName="rect6"/>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20" axis="ch" ptType="node" func="cnt" op="gte" val="7">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r"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r" for="ch" forName="rect7" refType="l" refFor="ch" refForName="space"/>
              <dgm:constr type="l" for="ch" forName="rect7"/>
              <dgm:constr type="h" for="ch" forName="rect7" refType="h" refFor="ch" refForName="circle7"/>
              <dgm:constr type="hOff" for="ch" forName="rect7" refType="hOff" refFor="ch" refForName="circle7"/>
              <dgm:constr type="b" for="ch" forName="rect7" refType="b" refFor="ch" refForName="circle7"/>
              <dgm:constr type="r" for="ch" forName="rect7ParTx" refType="l" refFor="ch" refForName="space"/>
              <dgm:constr type="w" for="ch" forName="rect7ParTx" refType="w" refFor="ch" refForName="rect7" fact="0.5"/>
              <dgm:constr type="t" for="ch" forName="rect7ParTx" refType="t" refFor="ch" refForName="rect7"/>
              <dgm:constr type="b" for="ch" forName="rect7ParTx" refType="b" refFor="ch" refForName="rect7"/>
              <dgm:constr type="r" for="ch" forName="rect7ChTx" refType="l" refFor="ch" refForName="rect7ParTx"/>
              <dgm:constr type="w" for="ch" forName="rect7ChTx" refType="w" refFor="ch" refForName="rect7ParTx"/>
              <dgm:constr type="t" for="ch" forName="rect7ChTx" refType="t" refFor="ch" refForName="rect7ParTx"/>
              <dgm:constr type="b" for="ch" forName="rect7ChTx" refType="b" refFor="ch" refForName="rect7ParTx"/>
              <dgm:constr type="r" for="ch" forName="rect7ParTxNoCh" refType="l" refFor="ch" refForName="space"/>
              <dgm:constr type="w" for="ch" forName="rect7ParTxNoCh" refType="w" refFor="ch" refForName="rect7"/>
              <dgm:constr type="t" for="ch" forName="rect7ParTxNoCh" refType="t" refFor="ch" refForName="rect7"/>
              <dgm:constr type="b" for="ch" forName="rect7ParTxNoCh" refType="b" refFor="ch" refForName="rect7"/>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r" for="ch" forName="rect6ParTx" refType="l" refFor="ch" refForName="space"/>
              <dgm:constr type="w" for="ch" forName="rect6ParTx" refType="w" refFor="ch" refForName="rect6" fact="0.5"/>
              <dgm:constr type="t" for="ch" forName="rect6ParTx" refType="t" refFor="ch" refForName="rect6"/>
              <dgm:constr type="b" for="ch" forName="rect6ParTx" refType="t" refFor="ch" refForName="rect7"/>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21">
            <dgm:constrLst/>
          </dgm:else>
        </dgm:choose>
      </dgm:else>
    </dgm:choose>
    <dgm:ruleLst/>
    <dgm:forEach name="Name22" axis="ch" ptType="node" cnt="1">
      <dgm:layoutNode name="circle1" styleLbl="node1">
        <dgm:alg type="sp"/>
        <dgm:choose name="Name23">
          <dgm:if name="Name24" func="var" arg="dir" op="equ" val="norm">
            <dgm:shape xmlns:r="http://schemas.openxmlformats.org/officeDocument/2006/relationships" type="pie" r:blip="">
              <dgm:adjLst>
                <dgm:adj idx="1" val="90"/>
                <dgm:adj idx="2" val="270"/>
              </dgm:adjLst>
            </dgm:shape>
          </dgm:if>
          <dgm:else name="Name25">
            <dgm:shape xmlns:r="http://schemas.openxmlformats.org/officeDocument/2006/relationships" type="pie" r:blip="">
              <dgm:adjLst>
                <dgm:adj idx="1" val="270"/>
                <dgm:adj idx="2" val="90"/>
              </dgm:adjLst>
            </dgm:shape>
          </dgm:else>
        </dgm:choose>
        <dgm:presOf/>
        <dgm:constrLst/>
        <dgm:ruleLst/>
      </dgm:layoutNode>
      <dgm:layoutNode name="space">
        <dgm:alg type="sp"/>
        <dgm:shape xmlns:r="http://schemas.openxmlformats.org/officeDocument/2006/relationships" r:blip="">
          <dgm:adjLst/>
        </dgm:shape>
        <dgm:presOf/>
        <dgm:constrLst/>
        <dgm:ruleLst/>
      </dgm:layoutNode>
      <dgm:layoutNode name="rect1" styleLbl="alignAcc1">
        <dgm:alg type="sp"/>
        <dgm:shape xmlns:r="http://schemas.openxmlformats.org/officeDocument/2006/relationships" type="rect" r:blip="">
          <dgm:adjLst/>
        </dgm:shape>
        <dgm:presOf axis="self"/>
        <dgm:constrLst/>
        <dgm:ruleLst/>
      </dgm:layoutNode>
    </dgm:forEach>
    <dgm:forEach name="Name26" axis="ch" ptType="node" st="2" cnt="1">
      <dgm:layoutNode name="vertSpace2">
        <dgm:alg type="sp"/>
        <dgm:shape xmlns:r="http://schemas.openxmlformats.org/officeDocument/2006/relationships" type="rect" r:blip="" hideGeom="1">
          <dgm:adjLst/>
        </dgm:shape>
        <dgm:presOf/>
        <dgm:constrLst/>
        <dgm:ruleLst/>
      </dgm:layoutNode>
      <dgm:layoutNode name="circle2" styleLbl="node1">
        <dgm:alg type="sp"/>
        <dgm:choose name="Name27">
          <dgm:if name="Name28" func="var" arg="dir" op="equ" val="norm">
            <dgm:shape xmlns:r="http://schemas.openxmlformats.org/officeDocument/2006/relationships" type="pie" r:blip="">
              <dgm:adjLst>
                <dgm:adj idx="1" val="90"/>
                <dgm:adj idx="2" val="270"/>
              </dgm:adjLst>
            </dgm:shape>
          </dgm:if>
          <dgm:else name="Name29">
            <dgm:shape xmlns:r="http://schemas.openxmlformats.org/officeDocument/2006/relationships" type="pie" r:blip="">
              <dgm:adjLst>
                <dgm:adj idx="1" val="270"/>
                <dgm:adj idx="2" val="90"/>
              </dgm:adjLst>
            </dgm:shape>
          </dgm:else>
        </dgm:choose>
        <dgm:presOf/>
        <dgm:constrLst/>
        <dgm:ruleLst/>
      </dgm:layoutNode>
      <dgm:layoutNode name="rect2" styleLbl="alignAcc1">
        <dgm:alg type="sp"/>
        <dgm:shape xmlns:r="http://schemas.openxmlformats.org/officeDocument/2006/relationships" type="rect" r:blip="">
          <dgm:adjLst/>
        </dgm:shape>
        <dgm:presOf axis="self"/>
        <dgm:constrLst/>
        <dgm:ruleLst/>
      </dgm:layoutNode>
    </dgm:forEach>
    <dgm:forEach name="Name30" axis="ch" ptType="node" st="3" cnt="1">
      <dgm:layoutNode name="vertSpace3">
        <dgm:alg type="sp"/>
        <dgm:shape xmlns:r="http://schemas.openxmlformats.org/officeDocument/2006/relationships" type="rect" r:blip="" hideGeom="1">
          <dgm:adjLst/>
        </dgm:shape>
        <dgm:presOf/>
        <dgm:constrLst/>
        <dgm:ruleLst/>
      </dgm:layoutNode>
      <dgm:layoutNode name="circle3" styleLbl="node1">
        <dgm:alg type="sp"/>
        <dgm:choose name="Name31">
          <dgm:if name="Name32" func="var" arg="dir" op="equ" val="norm">
            <dgm:shape xmlns:r="http://schemas.openxmlformats.org/officeDocument/2006/relationships" type="pie" r:blip="">
              <dgm:adjLst>
                <dgm:adj idx="1" val="90"/>
                <dgm:adj idx="2" val="270"/>
              </dgm:adjLst>
            </dgm:shape>
          </dgm:if>
          <dgm:else name="Name33">
            <dgm:shape xmlns:r="http://schemas.openxmlformats.org/officeDocument/2006/relationships" type="pie" r:blip="">
              <dgm:adjLst>
                <dgm:adj idx="1" val="270"/>
                <dgm:adj idx="2" val="90"/>
              </dgm:adjLst>
            </dgm:shape>
          </dgm:else>
        </dgm:choose>
        <dgm:presOf/>
        <dgm:constrLst/>
        <dgm:ruleLst/>
      </dgm:layoutNode>
      <dgm:layoutNode name="rect3" styleLbl="alignAcc1">
        <dgm:alg type="sp"/>
        <dgm:shape xmlns:r="http://schemas.openxmlformats.org/officeDocument/2006/relationships" type="rect" r:blip="">
          <dgm:adjLst/>
        </dgm:shape>
        <dgm:presOf axis="self"/>
        <dgm:constrLst/>
        <dgm:ruleLst/>
      </dgm:layoutNode>
    </dgm:forEach>
    <dgm:forEach name="Name34" axis="ch" ptType="node" st="4" cnt="1">
      <dgm:layoutNode name="vertSpace4">
        <dgm:alg type="sp"/>
        <dgm:shape xmlns:r="http://schemas.openxmlformats.org/officeDocument/2006/relationships" type="rect" r:blip="" hideGeom="1">
          <dgm:adjLst/>
        </dgm:shape>
        <dgm:presOf/>
        <dgm:constrLst/>
        <dgm:ruleLst/>
      </dgm:layoutNode>
      <dgm:layoutNode name="circle4" styleLbl="node1">
        <dgm:alg type="sp"/>
        <dgm:choose name="Name35">
          <dgm:if name="Name36" func="var" arg="dir" op="equ" val="norm">
            <dgm:shape xmlns:r="http://schemas.openxmlformats.org/officeDocument/2006/relationships" type="pie" r:blip="">
              <dgm:adjLst>
                <dgm:adj idx="1" val="90"/>
                <dgm:adj idx="2" val="270"/>
              </dgm:adjLst>
            </dgm:shape>
          </dgm:if>
          <dgm:else name="Name37">
            <dgm:shape xmlns:r="http://schemas.openxmlformats.org/officeDocument/2006/relationships" type="pie" r:blip="">
              <dgm:adjLst>
                <dgm:adj idx="1" val="270"/>
                <dgm:adj idx="2" val="90"/>
              </dgm:adjLst>
            </dgm:shape>
          </dgm:else>
        </dgm:choose>
        <dgm:presOf/>
        <dgm:constrLst/>
        <dgm:ruleLst/>
      </dgm:layoutNode>
      <dgm:layoutNode name="rect4" styleLbl="alignAcc1">
        <dgm:alg type="sp"/>
        <dgm:shape xmlns:r="http://schemas.openxmlformats.org/officeDocument/2006/relationships" type="rect" r:blip="">
          <dgm:adjLst/>
        </dgm:shape>
        <dgm:presOf axis="self"/>
        <dgm:constrLst/>
        <dgm:ruleLst/>
      </dgm:layoutNode>
    </dgm:forEach>
    <dgm:forEach name="Name38" axis="ch" ptType="node" st="5" cnt="1">
      <dgm:layoutNode name="vertSpace5">
        <dgm:alg type="sp"/>
        <dgm:shape xmlns:r="http://schemas.openxmlformats.org/officeDocument/2006/relationships" type="rect" r:blip="" hideGeom="1">
          <dgm:adjLst/>
        </dgm:shape>
        <dgm:presOf/>
        <dgm:constrLst/>
        <dgm:ruleLst/>
      </dgm:layoutNode>
      <dgm:layoutNode name="circle5" styleLbl="node1">
        <dgm:alg type="sp"/>
        <dgm:choose name="Name39">
          <dgm:if name="Name40" func="var" arg="dir" op="equ" val="norm">
            <dgm:shape xmlns:r="http://schemas.openxmlformats.org/officeDocument/2006/relationships" type="pie" r:blip="">
              <dgm:adjLst>
                <dgm:adj idx="1" val="90"/>
                <dgm:adj idx="2" val="270"/>
              </dgm:adjLst>
            </dgm:shape>
          </dgm:if>
          <dgm:else name="Name41">
            <dgm:shape xmlns:r="http://schemas.openxmlformats.org/officeDocument/2006/relationships" type="pie" r:blip="">
              <dgm:adjLst>
                <dgm:adj idx="1" val="270"/>
                <dgm:adj idx="2" val="90"/>
              </dgm:adjLst>
            </dgm:shape>
          </dgm:else>
        </dgm:choose>
        <dgm:presOf/>
        <dgm:constrLst/>
        <dgm:ruleLst/>
      </dgm:layoutNode>
      <dgm:layoutNode name="rect5" styleLbl="alignAcc1">
        <dgm:alg type="sp"/>
        <dgm:shape xmlns:r="http://schemas.openxmlformats.org/officeDocument/2006/relationships" type="rect" r:blip="">
          <dgm:adjLst/>
        </dgm:shape>
        <dgm:presOf axis="self"/>
        <dgm:constrLst/>
        <dgm:ruleLst/>
      </dgm:layoutNode>
    </dgm:forEach>
    <dgm:forEach name="Name42" axis="ch" ptType="node" st="6" cnt="1">
      <dgm:layoutNode name="vertSpace6">
        <dgm:alg type="sp"/>
        <dgm:shape xmlns:r="http://schemas.openxmlformats.org/officeDocument/2006/relationships" type="rect" r:blip="" hideGeom="1">
          <dgm:adjLst/>
        </dgm:shape>
        <dgm:presOf/>
        <dgm:constrLst/>
        <dgm:ruleLst/>
      </dgm:layoutNode>
      <dgm:layoutNode name="circle6" styleLbl="node1">
        <dgm:alg type="sp"/>
        <dgm:choose name="Name43">
          <dgm:if name="Name44" func="var" arg="dir" op="equ" val="norm">
            <dgm:shape xmlns:r="http://schemas.openxmlformats.org/officeDocument/2006/relationships" type="pie" r:blip="">
              <dgm:adjLst>
                <dgm:adj idx="1" val="90"/>
                <dgm:adj idx="2" val="270"/>
              </dgm:adjLst>
            </dgm:shape>
          </dgm:if>
          <dgm:else name="Name45">
            <dgm:shape xmlns:r="http://schemas.openxmlformats.org/officeDocument/2006/relationships" type="pie" r:blip="">
              <dgm:adjLst>
                <dgm:adj idx="1" val="270"/>
                <dgm:adj idx="2" val="90"/>
              </dgm:adjLst>
            </dgm:shape>
          </dgm:else>
        </dgm:choose>
        <dgm:presOf/>
        <dgm:constrLst/>
        <dgm:ruleLst/>
      </dgm:layoutNode>
      <dgm:layoutNode name="rect6" styleLbl="alignAcc1">
        <dgm:alg type="sp"/>
        <dgm:shape xmlns:r="http://schemas.openxmlformats.org/officeDocument/2006/relationships" type="rect" r:blip="">
          <dgm:adjLst/>
        </dgm:shape>
        <dgm:presOf axis="self"/>
        <dgm:constrLst/>
        <dgm:ruleLst/>
      </dgm:layoutNode>
    </dgm:forEach>
    <dgm:forEach name="Name46" axis="ch" ptType="node" st="7" cnt="1">
      <dgm:layoutNode name="vertSpace7">
        <dgm:alg type="sp"/>
        <dgm:shape xmlns:r="http://schemas.openxmlformats.org/officeDocument/2006/relationships" type="rect" r:blip="" hideGeom="1">
          <dgm:adjLst/>
        </dgm:shape>
        <dgm:presOf/>
        <dgm:constrLst/>
        <dgm:ruleLst/>
      </dgm:layoutNode>
      <dgm:layoutNode name="circle7" styleLbl="node1">
        <dgm:alg type="sp"/>
        <dgm:choose name="Name47">
          <dgm:if name="Name48" func="var" arg="dir" op="equ" val="norm">
            <dgm:shape xmlns:r="http://schemas.openxmlformats.org/officeDocument/2006/relationships" type="pie" r:blip="">
              <dgm:adjLst>
                <dgm:adj idx="1" val="90"/>
                <dgm:adj idx="2" val="270"/>
              </dgm:adjLst>
            </dgm:shape>
          </dgm:if>
          <dgm:else name="Name49">
            <dgm:shape xmlns:r="http://schemas.openxmlformats.org/officeDocument/2006/relationships" type="pie" r:blip="">
              <dgm:adjLst>
                <dgm:adj idx="1" val="270"/>
                <dgm:adj idx="2" val="90"/>
              </dgm:adjLst>
            </dgm:shape>
          </dgm:else>
        </dgm:choose>
        <dgm:presOf/>
        <dgm:constrLst/>
        <dgm:ruleLst/>
      </dgm:layoutNode>
      <dgm:layoutNode name="rect7" styleLbl="alignAcc1">
        <dgm:alg type="sp"/>
        <dgm:shape xmlns:r="http://schemas.openxmlformats.org/officeDocument/2006/relationships" type="rect" r:blip="">
          <dgm:adjLst/>
        </dgm:shape>
        <dgm:presOf axis="self"/>
        <dgm:constrLst/>
        <dgm:ruleLst/>
      </dgm:layoutNode>
    </dgm:forEach>
    <dgm:forEach name="Name50" axis="ch" ptType="node" cnt="1">
      <dgm:choose name="Name51">
        <dgm:if name="Name52" axis="root des" ptType="all node" func="maxDepth" op="gte" val="2">
          <dgm:layoutNode name="rect1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1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3">
          <dgm:layoutNode name="rect1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4" axis="ch" ptType="node" st="2" cnt="1">
      <dgm:choose name="Name55">
        <dgm:if name="Name56" axis="root des" ptType="all node" func="maxDepth" op="gte" val="2">
          <dgm:layoutNode name="rect2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2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7">
          <dgm:layoutNode name="rect2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8" axis="ch" ptType="node" st="3" cnt="1">
      <dgm:choose name="Name59">
        <dgm:if name="Name60" axis="root des" ptType="all node" func="maxDepth" op="gte" val="2">
          <dgm:layoutNode name="rect3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3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1">
          <dgm:layoutNode name="rect3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2" axis="ch" ptType="node" st="4" cnt="1">
      <dgm:choose name="Name63">
        <dgm:if name="Name64" axis="root des" ptType="all node" func="maxDepth" op="gte" val="2">
          <dgm:layoutNode name="rect4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4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5">
          <dgm:layoutNode name="rect4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6" axis="ch" ptType="node" st="5" cnt="1">
      <dgm:choose name="Name67">
        <dgm:if name="Name68" axis="root des" ptType="all node" func="maxDepth" op="gte" val="2">
          <dgm:layoutNode name="rect5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5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9">
          <dgm:layoutNode name="rect5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0" axis="ch" ptType="node" st="6" cnt="1">
      <dgm:choose name="Name71">
        <dgm:if name="Name72" axis="root des" ptType="all node" func="maxDepth" op="gte" val="2">
          <dgm:layoutNode name="rect6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6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3">
          <dgm:layoutNode name="rect6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4" axis="ch" ptType="node" st="7" cnt="1">
      <dgm:choose name="Name75">
        <dgm:if name="Name76" axis="root des" ptType="all node" func="maxDepth" op="gte" val="2">
          <dgm:layoutNode name="rect7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7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7">
          <dgm:layoutNode name="rect7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chart3">
  <dgm:title val=""/>
  <dgm:desc val=""/>
  <dgm:catLst>
    <dgm:cat type="relationship" pri="27000"/>
    <dgm:cat type="cycle" pri="8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ompositeShape">
    <dgm:varLst>
      <dgm:chMax val="7"/>
      <dgm:dir/>
      <dgm:resizeHandles val="exact"/>
    </dgm:varLst>
    <dgm:alg type="composite">
      <dgm:param type="horzAlign" val="ctr"/>
      <dgm:param type="vertAlign" val="mid"/>
      <dgm:param type="ar" val="1"/>
    </dgm:alg>
    <dgm:presOf/>
    <dgm:shape xmlns:r="http://schemas.openxmlformats.org/officeDocument/2006/relationships" r:blip="">
      <dgm:adjLst/>
    </dgm:shape>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wedge1Tx" refType="w" fact="0.205"/>
          <dgm:constr type="t" for="ch" forName="wedge1Tx" refType="h" fact="0.205"/>
          <dgm:constr type="w" for="ch" forName="wedge1Tx" refType="w" fact="0.59"/>
          <dgm:constr type="h" for="ch" forName="wedge1Tx" refType="h" fact="0.59"/>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wedge1Tx" refType="w" fact="0.52"/>
          <dgm:constr type="t" for="ch" forName="wedge1Tx" refType="h" fact="0.205"/>
          <dgm:constr type="w" for="ch" forName="wedge1Tx" refType="w" fact="0.295"/>
          <dgm:constr type="h" for="ch" forName="wedge1Tx" refType="h" fact="0.59"/>
          <dgm:constr type="l" for="ch" forName="wedge2" refType="w" fact="0.08"/>
          <dgm:constr type="t" for="ch" forName="wedge2" refType="w" fact="0.08"/>
          <dgm:constr type="w" for="ch" forName="wedge2" refType="w" fact="0.84"/>
          <dgm:constr type="h" for="ch" forName="wedge2" refType="h" fact="0.84"/>
          <dgm:constr type="l" for="ch" forName="wedge2Tx" refType="w" fact="0.2"/>
          <dgm:constr type="t" for="ch" forName="wedge2Tx" refType="h" fact="0.205"/>
          <dgm:constr type="w" for="ch" forName="wedge2Tx" refType="w" fact="0.295"/>
          <dgm:constr type="h" for="ch" forName="wedge2Tx" refType="h" fact="0.59"/>
          <dgm:constr type="primFontSz" for="ch" ptType="node" op="equ"/>
        </dgm:constrLst>
      </dgm:if>
      <dgm:if name="Name3" axis="ch" ptType="node" func="cnt" op="equ" val="3">
        <dgm:choose name="Name4">
          <dgm:if name="Name5" func="var" arg="dir" op="equ" val="norm">
            <dgm:constrLst>
              <dgm:constr type="l" for="ch" forName="wedge1" refType="w" fact="0.1233"/>
              <dgm:constr type="t" for="ch" forName="wedge1" refType="w" fact="0.055"/>
              <dgm:constr type="w" for="ch" forName="wedge1" refType="w" fact="0.84"/>
              <dgm:constr type="h" for="ch" forName="wedge1" refType="h" fact="0.84"/>
              <dgm:constr type="l" for="ch" forName="wedge1Tx" refType="w" fact="0.58"/>
              <dgm:constr type="t" for="ch" forName="wedge1Tx" refType="h" fact="0.21"/>
              <dgm:constr type="w" for="ch" forName="wedge1Tx" refType="w" fact="0.285"/>
              <dgm:constr type="h" for="ch" forName="wedge1Tx" refType="h" fact="0.28"/>
              <dgm:constr type="l" for="ch" forName="wedge2" refType="w" fact="0.08"/>
              <dgm:constr type="t" for="ch" forName="wedge2" refType="w" fact="0.08"/>
              <dgm:constr type="w" for="ch" forName="wedge2" refType="w" fact="0.84"/>
              <dgm:constr type="h" for="ch" forName="wedge2" refType="h" fact="0.84"/>
              <dgm:constr type="l" for="ch" forName="wedge2Tx" refType="w" fact="0.31"/>
              <dgm:constr type="t" for="ch" forName="wedge2Tx" refType="h" fact="0.61"/>
              <dgm:constr type="w" for="ch" forName="wedge2Tx" refType="w" fact="0.38"/>
              <dgm:constr type="h" for="ch" forName="wedge2Tx" refType="h" fact="0.26"/>
              <dgm:constr type="l" for="ch" forName="wedge3" refType="w" fact="0.08"/>
              <dgm:constr type="t" for="ch" forName="wedge3" refType="w" fact="0.08"/>
              <dgm:constr type="w" for="ch" forName="wedge3" refType="w" fact="0.84"/>
              <dgm:constr type="h" for="ch" forName="wedge3" refType="h" fact="0.84"/>
              <dgm:constr type="l" for="ch" forName="wedge3Tx" refType="w" fact="0.17"/>
              <dgm:constr type="t" for="ch" forName="wedge3Tx" refType="h" fact="0.245"/>
              <dgm:constr type="w" for="ch" forName="wedge3Tx" refType="w" fact="0.285"/>
              <dgm:constr type="h" for="ch" forName="wedge3Tx" refType="h" fact="0.28"/>
              <dgm:constr type="primFontSz" for="ch" ptType="node" op="equ"/>
            </dgm:constrLst>
          </dgm:if>
          <dgm:else name="Name6">
            <dgm:constrLst>
              <dgm:constr type="l" for="ch" forName="wedge1" refType="w" fact="0.08"/>
              <dgm:constr type="t" for="ch" forName="wedge1" refType="w" fact="0.08"/>
              <dgm:constr type="w" for="ch" forName="wedge1" refType="w" fact="0.84"/>
              <dgm:constr type="h" for="ch" forName="wedge1" refType="h" fact="0.84"/>
              <dgm:constr type="l" for="ch" forName="wedge1Tx" refType="w" fact="0.545"/>
              <dgm:constr type="t" for="ch" forName="wedge1Tx" refType="h" fact="0.245"/>
              <dgm:constr type="w" for="ch" forName="wedge1Tx" refType="w" fact="0.285"/>
              <dgm:constr type="h" for="ch" forName="wedge1Tx" refType="h" fact="0.28"/>
              <dgm:constr type="l" for="ch" forName="wedge2" refType="w" fact="0.08"/>
              <dgm:constr type="t" for="ch" forName="wedge2" refType="w" fact="0.08"/>
              <dgm:constr type="w" for="ch" forName="wedge2" refType="w" fact="0.84"/>
              <dgm:constr type="h" for="ch" forName="wedge2" refType="h" fact="0.84"/>
              <dgm:constr type="l" for="ch" forName="wedge2Tx" refType="w" fact="0.31"/>
              <dgm:constr type="t" for="ch" forName="wedge2Tx" refType="h" fact="0.61"/>
              <dgm:constr type="w" for="ch" forName="wedge2Tx" refType="w" fact="0.38"/>
              <dgm:constr type="h" for="ch" forName="wedge2Tx" refType="h" fact="0.26"/>
              <dgm:constr type="l" for="ch" forName="wedge3" refType="w" fact="0.0367"/>
              <dgm:constr type="t" for="ch" forName="wedge3" refType="w" fact="0.055"/>
              <dgm:constr type="w" for="ch" forName="wedge3" refType="w" fact="0.84"/>
              <dgm:constr type="h" for="ch" forName="wedge3" refType="h" fact="0.84"/>
              <dgm:constr type="l" for="ch" forName="wedge3Tx" refType="w" fact="0.14"/>
              <dgm:constr type="t" for="ch" forName="wedge3Tx" refType="h" fact="0.21"/>
              <dgm:constr type="w" for="ch" forName="wedge3Tx" refType="w" fact="0.285"/>
              <dgm:constr type="h" for="ch" forName="wedge3Tx" refType="h" fact="0.28"/>
              <dgm:constr type="primFontSz" for="ch" ptType="node" op="equ"/>
            </dgm:constrLst>
          </dgm:else>
        </dgm:choose>
      </dgm:if>
      <dgm:if name="Name7" axis="ch" ptType="node" func="cnt" op="equ" val="4">
        <dgm:choose name="Name8">
          <dgm:if name="Name9" func="var" arg="dir" op="equ" val="norm">
            <dgm:constrLst>
              <dgm:constr type="l" for="ch" forName="wedge1" refType="w" fact="0.1154"/>
              <dgm:constr type="t" for="ch" forName="wedge1" refType="w" fact="0.0446"/>
              <dgm:constr type="w" for="ch" forName="wedge1" refType="w" fact="0.84"/>
              <dgm:constr type="h" for="ch" forName="wedge1" refType="h" fact="0.84"/>
              <dgm:constr type="l" for="ch" forName="wedge1Tx" refType="w" fact="0.545"/>
              <dgm:constr type="t" for="ch" forName="wedge1Tx" refType="h" fact="0.2"/>
              <dgm:constr type="w" for="ch" forName="wedge1Tx" refType="w" fact="0.31"/>
              <dgm:constr type="h" for="ch" forName="wedge1Tx" refType="h" fact="0.25"/>
              <dgm:constr type="l" for="ch" forName="wedge2" refType="w" fact="0.08"/>
              <dgm:constr type="t" for="ch" forName="wedge2" refType="w" fact="0.08"/>
              <dgm:constr type="w" for="ch" forName="wedge2" refType="w" fact="0.84"/>
              <dgm:constr type="h" for="ch" forName="wedge2" refType="h" fact="0.84"/>
              <dgm:constr type="l" for="ch" forName="wedge2Tx" refType="w" fact="0.515"/>
              <dgm:constr type="t" for="ch" forName="wedge2Tx" refType="h" fact="0.515"/>
              <dgm:constr type="w" for="ch" forName="wedge2Tx" refType="w" fact="0.31"/>
              <dgm:constr type="h" for="ch" forName="wedge2Tx" refType="h" fact="0.25"/>
              <dgm:constr type="l" for="ch" forName="wedge3" refType="w" fact="0.08"/>
              <dgm:constr type="t" for="ch" forName="wedge3" refType="w" fact="0.08"/>
              <dgm:constr type="w" for="ch" forName="wedge3" refType="w" fact="0.84"/>
              <dgm:constr type="h" for="ch" forName="wedge3" refType="h" fact="0.84"/>
              <dgm:constr type="l" for="ch" forName="wedge3Tx" refType="w" fact="0.175"/>
              <dgm:constr type="t" for="ch" forName="wedge3Tx" refType="h" fact="0.515"/>
              <dgm:constr type="w" for="ch" forName="wedge3Tx" refType="w" fact="0.31"/>
              <dgm:constr type="h" for="ch" forName="wedge3Tx" refType="h" fact="0.25"/>
              <dgm:constr type="l" for="ch" forName="wedge4" refType="w" fact="0.08"/>
              <dgm:constr type="t" for="ch" forName="wedge4" refType="h" fact="0.08"/>
              <dgm:constr type="w" for="ch" forName="wedge4" refType="w" fact="0.84"/>
              <dgm:constr type="h" for="ch" forName="wedge4" refType="h" fact="0.84"/>
              <dgm:constr type="l" for="ch" forName="wedge4Tx" refType="w" fact="0.175"/>
              <dgm:constr type="t" for="ch" forName="wedge4Tx" refType="h" fact="0.235"/>
              <dgm:constr type="w" for="ch" forName="wedge4Tx" refType="w" fact="0.31"/>
              <dgm:constr type="h" for="ch" forName="wedge4Tx" refType="h" fact="0.25"/>
              <dgm:constr type="primFontSz" for="ch" ptType="node" op="equ"/>
            </dgm:constrLst>
          </dgm:if>
          <dgm:else name="Name10">
            <dgm:constrLst>
              <dgm:constr type="l" for="ch" forName="wedge1" refType="w" fact="0.08"/>
              <dgm:constr type="t" for="ch" forName="wedge1" refType="w" fact="0.08"/>
              <dgm:constr type="w" for="ch" forName="wedge1" refType="w" fact="0.84"/>
              <dgm:constr type="h" for="ch" forName="wedge1" refType="h" fact="0.84"/>
              <dgm:constr type="l" for="ch" forName="wedge1Tx" refType="w" fact="0.515"/>
              <dgm:constr type="t" for="ch" forName="wedge1Tx" refType="h" fact="0.235"/>
              <dgm:constr type="w" for="ch" forName="wedge1Tx" refType="w" fact="0.31"/>
              <dgm:constr type="h" for="ch" forName="wedge1Tx" refType="h" fact="0.25"/>
              <dgm:constr type="l" for="ch" forName="wedge2" refType="w" fact="0.08"/>
              <dgm:constr type="t" for="ch" forName="wedge2" refType="w" fact="0.08"/>
              <dgm:constr type="w" for="ch" forName="wedge2" refType="w" fact="0.84"/>
              <dgm:constr type="h" for="ch" forName="wedge2" refType="h" fact="0.84"/>
              <dgm:constr type="l" for="ch" forName="wedge2Tx" refType="w" fact="0.515"/>
              <dgm:constr type="t" for="ch" forName="wedge2Tx" refType="h" fact="0.515"/>
              <dgm:constr type="w" for="ch" forName="wedge2Tx" refType="w" fact="0.31"/>
              <dgm:constr type="h" for="ch" forName="wedge2Tx" refType="h" fact="0.25"/>
              <dgm:constr type="l" for="ch" forName="wedge3" refType="w" fact="0.08"/>
              <dgm:constr type="t" for="ch" forName="wedge3" refType="w" fact="0.08"/>
              <dgm:constr type="w" for="ch" forName="wedge3" refType="w" fact="0.84"/>
              <dgm:constr type="h" for="ch" forName="wedge3" refType="h" fact="0.84"/>
              <dgm:constr type="l" for="ch" forName="wedge3Tx" refType="w" fact="0.175"/>
              <dgm:constr type="t" for="ch" forName="wedge3Tx" refType="h" fact="0.515"/>
              <dgm:constr type="w" for="ch" forName="wedge3Tx" refType="w" fact="0.31"/>
              <dgm:constr type="h" for="ch" forName="wedge3Tx" refType="h" fact="0.25"/>
              <dgm:constr type="l" for="ch" forName="wedge4" refType="w" fact="0.0446"/>
              <dgm:constr type="t" for="ch" forName="wedge4" refType="h" fact="0.0446"/>
              <dgm:constr type="w" for="ch" forName="wedge4" refType="w" fact="0.84"/>
              <dgm:constr type="h" for="ch" forName="wedge4" refType="h" fact="0.84"/>
              <dgm:constr type="l" for="ch" forName="wedge4Tx" refType="w" fact="0.145"/>
              <dgm:constr type="t" for="ch" forName="wedge4Tx" refType="h" fact="0.2"/>
              <dgm:constr type="w" for="ch" forName="wedge4Tx" refType="w" fact="0.31"/>
              <dgm:constr type="h" for="ch" forName="wedge4Tx" refType="h" fact="0.25"/>
              <dgm:constr type="primFontSz" for="ch" ptType="node" op="equ"/>
            </dgm:constrLst>
          </dgm:else>
        </dgm:choose>
      </dgm:if>
      <dgm:if name="Name11" axis="ch" ptType="node" func="cnt" op="equ" val="5">
        <dgm:choose name="Name12">
          <dgm:if name="Name13" func="var" arg="dir" op="equ" val="norm">
            <dgm:constrLst>
              <dgm:constr type="l" for="ch" forName="wedge1" refType="w" fact="0.1094"/>
              <dgm:constr type="t" for="ch" forName="wedge1" refType="w" fact="0.0395"/>
              <dgm:constr type="w" for="ch" forName="wedge1" refType="w" fact="0.84"/>
              <dgm:constr type="h" for="ch" forName="wedge1" refType="h" fact="0.84"/>
              <dgm:constr type="l" for="ch" forName="wedge1Tx" refType="w" fact="0.54"/>
              <dgm:constr type="t" for="ch" forName="wedge1Tx" refType="h" fact="0.165"/>
              <dgm:constr type="w" for="ch" forName="wedge1Tx" refType="w" fact="0.285"/>
              <dgm:constr type="h" for="ch" forName="wedge1Tx" refType="h" fact="0.195"/>
              <dgm:constr type="l" for="ch" forName="wedge2" refType="w" fact="0.08"/>
              <dgm:constr type="t" for="ch" forName="wedge2" refType="w" fact="0.08"/>
              <dgm:constr type="w" for="ch" forName="wedge2" refType="w" fact="0.84"/>
              <dgm:constr type="h" for="ch" forName="wedge2" refType="h" fact="0.84"/>
              <dgm:constr type="l" for="ch" forName="wedge2Tx" refType="w" fact="0.629"/>
              <dgm:constr type="t" for="ch" forName="wedge2Tx" refType="h" fact="0.46"/>
              <dgm:constr type="w" for="ch" forName="wedge2Tx" refType="w" fact="0.25"/>
              <dgm:constr type="h" for="ch" forName="wedge2Tx" refType="h" fact="0.211"/>
              <dgm:constr type="l" for="ch" forName="wedge3" refType="w" fact="0.08"/>
              <dgm:constr type="t" for="ch" forName="wedge3" refType="w" fact="0.08"/>
              <dgm:constr type="w" for="ch" forName="wedge3" refType="w" fact="0.84"/>
              <dgm:constr type="h" for="ch" forName="wedge3" refType="h" fact="0.84"/>
              <dgm:constr type="l" for="ch" forName="wedge3Tx" refType="w" fact="0.35"/>
              <dgm:constr type="t" for="ch" forName="wedge3Tx" refType="h" fact="0.71"/>
              <dgm:constr type="w" for="ch" forName="wedge3Tx" refType="w" fact="0.3"/>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12"/>
              <dgm:constr type="t" for="ch" forName="wedge4Tx" refType="h" fact="0.46"/>
              <dgm:constr type="w" for="ch" forName="wedge4Tx" refType="w" fact="0.25"/>
              <dgm:constr type="h" for="ch" forName="wedge4Tx" refType="h" fact="0.211"/>
              <dgm:constr type="l" for="ch" forName="wedge5" refType="w" fact="0.08"/>
              <dgm:constr type="t" for="ch" forName="wedge5" refType="h" fact="0.08"/>
              <dgm:constr type="w" for="ch" forName="wedge5" refType="w" fact="0.84"/>
              <dgm:constr type="h" for="ch" forName="wedge5" refType="h" fact="0.84"/>
              <dgm:constr type="l" for="ch" forName="wedge5Tx" refType="w" fact="0.2025"/>
              <dgm:constr type="t" for="ch" forName="wedge5Tx" refType="h" fact="0.208"/>
              <dgm:constr type="w" for="ch" forName="wedge5Tx" refType="w" fact="0.285"/>
              <dgm:constr type="h" for="ch" forName="wedge5Tx" refType="h" fact="0.195"/>
              <dgm:constr type="primFontSz" for="ch" ptType="node" op="equ"/>
            </dgm:constrLst>
          </dgm:if>
          <dgm:else name="Name14">
            <dgm:constrLst>
              <dgm:constr type="l" for="ch" forName="wedge1" refType="w" fact="0.08"/>
              <dgm:constr type="t" for="ch" forName="wedge1" refType="w" fact="0.08"/>
              <dgm:constr type="w" for="ch" forName="wedge1" refType="w" fact="0.84"/>
              <dgm:constr type="h" for="ch" forName="wedge1" refType="h" fact="0.84"/>
              <dgm:constr type="l" for="ch" forName="wedge1Tx" refType="w" fact="0.51"/>
              <dgm:constr type="t" for="ch" forName="wedge1Tx" refType="h" fact="0.208"/>
              <dgm:constr type="w" for="ch" forName="wedge1Tx" refType="w" fact="0.285"/>
              <dgm:constr type="h" for="ch" forName="wedge1Tx" refType="h" fact="0.195"/>
              <dgm:constr type="l" for="ch" forName="wedge2" refType="w" fact="0.08"/>
              <dgm:constr type="t" for="ch" forName="wedge2" refType="w" fact="0.08"/>
              <dgm:constr type="w" for="ch" forName="wedge2" refType="w" fact="0.84"/>
              <dgm:constr type="h" for="ch" forName="wedge2" refType="h" fact="0.84"/>
              <dgm:constr type="l" for="ch" forName="wedge2Tx" refType="w" fact="0.629"/>
              <dgm:constr type="t" for="ch" forName="wedge2Tx" refType="h" fact="0.46"/>
              <dgm:constr type="w" for="ch" forName="wedge2Tx" refType="w" fact="0.25"/>
              <dgm:constr type="h" for="ch" forName="wedge2Tx" refType="h" fact="0.211"/>
              <dgm:constr type="l" for="ch" forName="wedge3" refType="w" fact="0.08"/>
              <dgm:constr type="t" for="ch" forName="wedge3" refType="w" fact="0.08"/>
              <dgm:constr type="w" for="ch" forName="wedge3" refType="w" fact="0.84"/>
              <dgm:constr type="h" for="ch" forName="wedge3" refType="h" fact="0.84"/>
              <dgm:constr type="l" for="ch" forName="wedge3Tx" refType="w" fact="0.35"/>
              <dgm:constr type="t" for="ch" forName="wedge3Tx" refType="h" fact="0.71"/>
              <dgm:constr type="w" for="ch" forName="wedge3Tx" refType="w" fact="0.3"/>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12"/>
              <dgm:constr type="t" for="ch" forName="wedge4Tx" refType="h" fact="0.46"/>
              <dgm:constr type="w" for="ch" forName="wedge4Tx" refType="w" fact="0.25"/>
              <dgm:constr type="h" for="ch" forName="wedge4Tx" refType="h" fact="0.211"/>
              <dgm:constr type="l" for="ch" forName="wedge5" refType="w" fact="0.0506"/>
              <dgm:constr type="t" for="ch" forName="wedge5" refType="h" fact="0.0395"/>
              <dgm:constr type="w" for="ch" forName="wedge5" refType="w" fact="0.84"/>
              <dgm:constr type="h" for="ch" forName="wedge5" refType="h" fact="0.84"/>
              <dgm:constr type="l" for="ch" forName="wedge5Tx" refType="w" fact="0.18"/>
              <dgm:constr type="t" for="ch" forName="wedge5Tx" refType="h" fact="0.165"/>
              <dgm:constr type="w" for="ch" forName="wedge5Tx" refType="w" fact="0.285"/>
              <dgm:constr type="h" for="ch" forName="wedge5Tx" refType="h" fact="0.195"/>
              <dgm:constr type="primFontSz" for="ch" ptType="node" op="equ"/>
            </dgm:constrLst>
          </dgm:else>
        </dgm:choose>
      </dgm:if>
      <dgm:if name="Name15" axis="ch" ptType="node" func="cnt" op="equ" val="6">
        <dgm:choose name="Name16">
          <dgm:if name="Name17" func="var" arg="dir" op="equ" val="norm">
            <dgm:constrLst>
              <dgm:constr type="l" for="ch" forName="wedge1" refType="w" fact="0.105"/>
              <dgm:constr type="t" for="ch" forName="wedge1" refType="w" fact="0.0367"/>
              <dgm:constr type="w" for="ch" forName="wedge1" refType="w" fact="0.84"/>
              <dgm:constr type="h" for="ch" forName="wedge1" refType="h" fact="0.84"/>
              <dgm:constr type="l" for="ch" forName="wedge1Tx" refType="w" fact="0.534"/>
              <dgm:constr type="t" for="ch" forName="wedge1Tx" refType="h" fact="0.1267"/>
              <dgm:constr type="w" for="ch" forName="wedge1Tx" refType="w" fact="0.245"/>
              <dgm:constr type="h" for="ch" forName="wedge1Tx" refType="h" fact="0.18"/>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415"/>
              <dgm:constr type="w" for="ch" forName="wedge2Tx" refType="w" fact="0.254"/>
              <dgm:constr type="h" for="ch" forName="wedge2Tx" refType="h" fact="0.17"/>
              <dgm:constr type="l" for="ch" forName="wedge3" refType="w" fact="0.08"/>
              <dgm:constr type="t" for="ch" forName="wedge3" refType="w" fact="0.08"/>
              <dgm:constr type="w" for="ch" forName="wedge3" refType="w" fact="0.84"/>
              <dgm:constr type="h" for="ch" forName="wedge3" refType="h" fact="0.84"/>
              <dgm:constr type="l" for="ch" forName="wedge3Tx" refType="w" fact="0.509"/>
              <dgm:constr type="t" for="ch" forName="wedge3Tx" refType="h" fact="0.65"/>
              <dgm:constr type="w" for="ch" forName="wedge3Tx" refType="w" fact="0.245"/>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246"/>
              <dgm:constr type="t" for="ch" forName="wedge4Tx" refType="h" fact="0.65"/>
              <dgm:constr type="w" for="ch" forName="wedge4Tx" refType="w" fact="0.245"/>
              <dgm:constr type="h" for="ch" forName="wedge4Tx" refType="h" fact="0.18"/>
              <dgm:constr type="l" for="ch" forName="wedge5" refType="w" fact="0.08"/>
              <dgm:constr type="t" for="ch" forName="wedge5" refType="h" fact="0.08"/>
              <dgm:constr type="w" for="ch" forName="wedge5" refType="w" fact="0.84"/>
              <dgm:constr type="h" for="ch" forName="wedge5" refType="h" fact="0.84"/>
              <dgm:constr type="l" for="ch" forName="wedge5Tx" refType="w" fact="0.093"/>
              <dgm:constr type="t" for="ch" forName="wedge5Tx" refType="h" fact="0.415"/>
              <dgm:constr type="w" for="ch" forName="wedge5Tx" refType="w" fact="0.254"/>
              <dgm:constr type="h" for="ch" forName="wedge5Tx" refType="h" fact="0.17"/>
              <dgm:constr type="l" for="ch" forName="wedge6" refType="w" fact="0.08"/>
              <dgm:constr type="t" for="ch" forName="wedge6" refType="h" fact="0.08"/>
              <dgm:constr type="w" for="ch" forName="wedge6" refType="w" fact="0.84"/>
              <dgm:constr type="h" for="ch" forName="wedge6" refType="h" fact="0.84"/>
              <dgm:constr type="l" for="ch" forName="wedge6Tx" refType="w" fact="0.246"/>
              <dgm:constr type="t" for="ch" forName="wedge6Tx" refType="h" fact="0.17"/>
              <dgm:constr type="w" for="ch" forName="wedge6Tx" refType="w" fact="0.245"/>
              <dgm:constr type="h" for="ch" forName="wedge6Tx" refType="h" fact="0.18"/>
              <dgm:constr type="primFontSz" for="ch" ptType="node" op="equ"/>
            </dgm:constrLst>
          </dgm:if>
          <dgm:else name="Name18">
            <dgm:constrLst>
              <dgm:constr type="l" for="ch" forName="wedge1" refType="w" fact="0.08"/>
              <dgm:constr type="t" for="ch" forName="wedge1" refType="w" fact="0.08"/>
              <dgm:constr type="w" for="ch" forName="wedge1" refType="w" fact="0.84"/>
              <dgm:constr type="h" for="ch" forName="wedge1" refType="h" fact="0.84"/>
              <dgm:constr type="l" for="ch" forName="wedge1Tx" refType="w" fact="0.509"/>
              <dgm:constr type="t" for="ch" forName="wedge1Tx" refType="h" fact="0.17"/>
              <dgm:constr type="w" for="ch" forName="wedge1Tx" refType="w" fact="0.245"/>
              <dgm:constr type="h" for="ch" forName="wedge1Tx" refType="h" fact="0.18"/>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415"/>
              <dgm:constr type="w" for="ch" forName="wedge2Tx" refType="w" fact="0.254"/>
              <dgm:constr type="h" for="ch" forName="wedge2Tx" refType="h" fact="0.17"/>
              <dgm:constr type="l" for="ch" forName="wedge3" refType="w" fact="0.08"/>
              <dgm:constr type="t" for="ch" forName="wedge3" refType="w" fact="0.08"/>
              <dgm:constr type="w" for="ch" forName="wedge3" refType="w" fact="0.84"/>
              <dgm:constr type="h" for="ch" forName="wedge3" refType="h" fact="0.84"/>
              <dgm:constr type="l" for="ch" forName="wedge3Tx" refType="w" fact="0.509"/>
              <dgm:constr type="t" for="ch" forName="wedge3Tx" refType="h" fact="0.65"/>
              <dgm:constr type="w" for="ch" forName="wedge3Tx" refType="w" fact="0.245"/>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246"/>
              <dgm:constr type="t" for="ch" forName="wedge4Tx" refType="h" fact="0.65"/>
              <dgm:constr type="w" for="ch" forName="wedge4Tx" refType="w" fact="0.245"/>
              <dgm:constr type="h" for="ch" forName="wedge4Tx" refType="h" fact="0.18"/>
              <dgm:constr type="l" for="ch" forName="wedge5" refType="w" fact="0.08"/>
              <dgm:constr type="t" for="ch" forName="wedge5" refType="h" fact="0.08"/>
              <dgm:constr type="w" for="ch" forName="wedge5" refType="w" fact="0.84"/>
              <dgm:constr type="h" for="ch" forName="wedge5" refType="h" fact="0.84"/>
              <dgm:constr type="l" for="ch" forName="wedge5Tx" refType="w" fact="0.093"/>
              <dgm:constr type="t" for="ch" forName="wedge5Tx" refType="h" fact="0.415"/>
              <dgm:constr type="w" for="ch" forName="wedge5Tx" refType="w" fact="0.254"/>
              <dgm:constr type="h" for="ch" forName="wedge5Tx" refType="h" fact="0.17"/>
              <dgm:constr type="l" for="ch" forName="wedge6" refType="w" fact="0.055"/>
              <dgm:constr type="t" for="ch" forName="wedge6" refType="h" fact="0.0367"/>
              <dgm:constr type="w" for="ch" forName="wedge6" refType="w" fact="0.84"/>
              <dgm:constr type="h" for="ch" forName="wedge6" refType="h" fact="0.84"/>
              <dgm:constr type="l" for="ch" forName="wedge6Tx" refType="w" fact="0.221"/>
              <dgm:constr type="t" for="ch" forName="wedge6Tx" refType="h" fact="0.1267"/>
              <dgm:constr type="w" for="ch" forName="wedge6Tx" refType="w" fact="0.245"/>
              <dgm:constr type="h" for="ch" forName="wedge6Tx" refType="h" fact="0.18"/>
              <dgm:constr type="primFontSz" for="ch" ptType="node" op="equ"/>
            </dgm:constrLst>
          </dgm:else>
        </dgm:choose>
      </dgm:if>
      <dgm:else name="Name19">
        <dgm:choose name="Name20">
          <dgm:if name="Name21" func="var" arg="dir" op="equ" val="norm">
            <dgm:constrLst>
              <dgm:constr type="l" for="ch" forName="wedge1" refType="w" fact="0.1017"/>
              <dgm:constr type="t" for="ch" forName="wedge1" refType="w" fact="0.035"/>
              <dgm:constr type="w" for="ch" forName="wedge1" refType="w" fact="0.84"/>
              <dgm:constr type="h" for="ch" forName="wedge1" refType="h" fact="0.84"/>
              <dgm:constr type="l" for="ch" forName="wedge1Tx" refType="w" fact="0.53"/>
              <dgm:constr type="t" for="ch" forName="wedge1Tx" refType="h" fact="0.115"/>
              <dgm:constr type="w" for="ch" forName="wedge1Tx" refType="w" fact="0.23"/>
              <dgm:constr type="h" for="ch" forName="wedge1Tx" refType="h" fact="0.145"/>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38"/>
              <dgm:constr type="w" for="ch" forName="wedge2Tx" refType="w" fact="0.244"/>
              <dgm:constr type="h" for="ch" forName="wedge2Tx" refType="h" fact="0.155"/>
              <dgm:constr type="l" for="ch" forName="wedge3" refType="w" fact="0.08"/>
              <dgm:constr type="t" for="ch" forName="wedge3" refType="w" fact="0.08"/>
              <dgm:constr type="w" for="ch" forName="wedge3" refType="w" fact="0.84"/>
              <dgm:constr type="h" for="ch" forName="wedge3" refType="h" fact="0.84"/>
              <dgm:constr type="l" for="ch" forName="wedge3Tx" refType="w" fact="0.62"/>
              <dgm:constr type="t" for="ch" forName="wedge3Tx" refType="h" fact="0.58"/>
              <dgm:constr type="w" for="ch" forName="wedge3Tx" refType="w" fact="0.22"/>
              <dgm:constr type="h" for="ch" forName="wedge3Tx" refType="h" fact="0.16"/>
              <dgm:constr type="l" for="ch" forName="wedge4" refType="w" fact="0.08"/>
              <dgm:constr type="t" for="ch" forName="wedge4" refType="h" fact="0.08"/>
              <dgm:constr type="w" for="ch" forName="wedge4" refType="w" fact="0.84"/>
              <dgm:constr type="h" for="ch" forName="wedge4" refType="h" fact="0.84"/>
              <dgm:constr type="l" for="ch" forName="wedge4Tx" refType="w" fact="0.3875"/>
              <dgm:constr type="t" for="ch" forName="wedge4Tx" refType="h" fact="0.74"/>
              <dgm:constr type="w" for="ch" forName="wedge4Tx" refType="w" fact="0.225"/>
              <dgm:constr type="h" for="ch" forName="wedge4Tx" refType="h" fact="0.16"/>
              <dgm:constr type="l" for="ch" forName="wedge5" refType="w" fact="0.08"/>
              <dgm:constr type="t" for="ch" forName="wedge5" refType="h" fact="0.08"/>
              <dgm:constr type="w" for="ch" forName="wedge5" refType="w" fact="0.84"/>
              <dgm:constr type="h" for="ch" forName="wedge5" refType="h" fact="0.84"/>
              <dgm:constr type="l" for="ch" forName="wedge5Tx" refType="w" fact="0.16"/>
              <dgm:constr type="t" for="ch" forName="wedge5Tx" refType="h" fact="0.58"/>
              <dgm:constr type="w" for="ch" forName="wedge5Tx" refType="w" fact="0.22"/>
              <dgm:constr type="h" for="ch" forName="wedge5Tx" refType="h" fact="0.16"/>
              <dgm:constr type="l" for="ch" forName="wedge6" refType="w" fact="0.08"/>
              <dgm:constr type="t" for="ch" forName="wedge6" refType="h" fact="0.08"/>
              <dgm:constr type="w" for="ch" forName="wedge6" refType="w" fact="0.84"/>
              <dgm:constr type="h" for="ch" forName="wedge6" refType="h" fact="0.84"/>
              <dgm:constr type="l" for="ch" forName="wedge6Tx" refType="w" fact="0.101"/>
              <dgm:constr type="t" for="ch" forName="wedge6Tx" refType="h" fact="0.38"/>
              <dgm:constr type="w" for="ch" forName="wedge6Tx" refType="w" fact="0.244"/>
              <dgm:constr type="h" for="ch" forName="wedge6Tx" refType="h" fact="0.155"/>
              <dgm:constr type="l" for="ch" forName="wedge7" refType="w" fact="0.08"/>
              <dgm:constr type="t" for="ch" forName="wedge7" refType="h" fact="0.08"/>
              <dgm:constr type="w" for="ch" forName="wedge7" refType="w" fact="0.84"/>
              <dgm:constr type="h" for="ch" forName="wedge7" refType="h" fact="0.84"/>
              <dgm:constr type="l" for="ch" forName="wedge7Tx" refType="w" fact="0.262"/>
              <dgm:constr type="t" for="ch" forName="wedge7Tx" refType="h" fact="0.16"/>
              <dgm:constr type="w" for="ch" forName="wedge7Tx" refType="w" fact="0.23"/>
              <dgm:constr type="h" for="ch" forName="wedge7Tx" refType="h" fact="0.145"/>
              <dgm:constr type="primFontSz" for="ch" ptType="node" op="equ"/>
            </dgm:constrLst>
          </dgm:if>
          <dgm:else name="Name22">
            <dgm:constrLst>
              <dgm:constr type="l" for="ch" forName="wedge1" refType="w" fact="0.08"/>
              <dgm:constr type="t" for="ch" forName="wedge1" refType="w" fact="0.08"/>
              <dgm:constr type="w" for="ch" forName="wedge1" refType="w" fact="0.84"/>
              <dgm:constr type="h" for="ch" forName="wedge1" refType="h" fact="0.84"/>
              <dgm:constr type="l" for="ch" forName="wedge1Tx" refType="w" fact="0.508"/>
              <dgm:constr type="t" for="ch" forName="wedge1Tx" refType="h" fact="0.16"/>
              <dgm:constr type="w" for="ch" forName="wedge1Tx" refType="w" fact="0.23"/>
              <dgm:constr type="h" for="ch" forName="wedge1Tx" refType="h" fact="0.145"/>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38"/>
              <dgm:constr type="w" for="ch" forName="wedge2Tx" refType="w" fact="0.244"/>
              <dgm:constr type="h" for="ch" forName="wedge2Tx" refType="h" fact="0.155"/>
              <dgm:constr type="l" for="ch" forName="wedge3" refType="w" fact="0.08"/>
              <dgm:constr type="t" for="ch" forName="wedge3" refType="w" fact="0.08"/>
              <dgm:constr type="w" for="ch" forName="wedge3" refType="w" fact="0.84"/>
              <dgm:constr type="h" for="ch" forName="wedge3" refType="h" fact="0.84"/>
              <dgm:constr type="l" for="ch" forName="wedge3Tx" refType="w" fact="0.62"/>
              <dgm:constr type="t" for="ch" forName="wedge3Tx" refType="h" fact="0.58"/>
              <dgm:constr type="w" for="ch" forName="wedge3Tx" refType="w" fact="0.22"/>
              <dgm:constr type="h" for="ch" forName="wedge3Tx" refType="h" fact="0.16"/>
              <dgm:constr type="l" for="ch" forName="wedge4" refType="w" fact="0.08"/>
              <dgm:constr type="t" for="ch" forName="wedge4" refType="h" fact="0.08"/>
              <dgm:constr type="w" for="ch" forName="wedge4" refType="w" fact="0.84"/>
              <dgm:constr type="h" for="ch" forName="wedge4" refType="h" fact="0.84"/>
              <dgm:constr type="l" for="ch" forName="wedge4Tx" refType="w" fact="0.3875"/>
              <dgm:constr type="t" for="ch" forName="wedge4Tx" refType="h" fact="0.74"/>
              <dgm:constr type="w" for="ch" forName="wedge4Tx" refType="w" fact="0.225"/>
              <dgm:constr type="h" for="ch" forName="wedge4Tx" refType="h" fact="0.16"/>
              <dgm:constr type="l" for="ch" forName="wedge5" refType="w" fact="0.08"/>
              <dgm:constr type="t" for="ch" forName="wedge5" refType="h" fact="0.08"/>
              <dgm:constr type="w" for="ch" forName="wedge5" refType="w" fact="0.84"/>
              <dgm:constr type="h" for="ch" forName="wedge5" refType="h" fact="0.84"/>
              <dgm:constr type="l" for="ch" forName="wedge5Tx" refType="w" fact="0.16"/>
              <dgm:constr type="t" for="ch" forName="wedge5Tx" refType="h" fact="0.58"/>
              <dgm:constr type="w" for="ch" forName="wedge5Tx" refType="w" fact="0.22"/>
              <dgm:constr type="h" for="ch" forName="wedge5Tx" refType="h" fact="0.16"/>
              <dgm:constr type="l" for="ch" forName="wedge6" refType="w" fact="0.08"/>
              <dgm:constr type="t" for="ch" forName="wedge6" refType="h" fact="0.08"/>
              <dgm:constr type="w" for="ch" forName="wedge6" refType="w" fact="0.84"/>
              <dgm:constr type="h" for="ch" forName="wedge6" refType="h" fact="0.84"/>
              <dgm:constr type="l" for="ch" forName="wedge6Tx" refType="w" fact="0.101"/>
              <dgm:constr type="t" for="ch" forName="wedge6Tx" refType="h" fact="0.38"/>
              <dgm:constr type="w" for="ch" forName="wedge6Tx" refType="w" fact="0.244"/>
              <dgm:constr type="h" for="ch" forName="wedge6Tx" refType="h" fact="0.155"/>
              <dgm:constr type="l" for="ch" forName="wedge7" refType="w" fact="0.0583"/>
              <dgm:constr type="t" for="ch" forName="wedge7" refType="h" fact="0.035"/>
              <dgm:constr type="w" for="ch" forName="wedge7" refType="w" fact="0.84"/>
              <dgm:constr type="h" for="ch" forName="wedge7" refType="h" fact="0.84"/>
              <dgm:constr type="l" for="ch" forName="wedge7Tx" refType="w" fact="0.2403"/>
              <dgm:constr type="t" for="ch" forName="wedge7Tx" refType="h" fact="0.115"/>
              <dgm:constr type="w" for="ch" forName="wedge7Tx" refType="w" fact="0.23"/>
              <dgm:constr type="h" for="ch" forName="wedge7Tx" refType="h" fact="0.145"/>
              <dgm:constr type="primFontSz" for="ch" ptType="node" op="equ"/>
            </dgm:constrLst>
          </dgm:else>
        </dgm:choose>
      </dgm:else>
    </dgm:choose>
    <dgm:ruleLst/>
    <dgm:choose name="Name23">
      <dgm:if name="Name24" axis="ch" ptType="node" func="cnt" op="gte" val="1">
        <dgm:layoutNode name="wedge1">
          <dgm:alg type="sp"/>
          <dgm:choose name="Name25">
            <dgm:if name="Name26" axis="ch" ptType="node" func="cnt" op="equ" val="1">
              <dgm:shape xmlns:r="http://schemas.openxmlformats.org/officeDocument/2006/relationships" type="ellipse" r:blip="">
                <dgm:adjLst/>
              </dgm:shape>
            </dgm:if>
            <dgm:if name="Name27" axis="ch" ptType="node" func="cnt" op="equ" val="2">
              <dgm:shape xmlns:r="http://schemas.openxmlformats.org/officeDocument/2006/relationships" type="pie" r:blip="">
                <dgm:adjLst>
                  <dgm:adj idx="1" val="270"/>
                  <dgm:adj idx="2" val="90"/>
                </dgm:adjLst>
              </dgm:shape>
            </dgm:if>
            <dgm:if name="Name28" axis="ch" ptType="node" func="cnt" op="equ" val="3">
              <dgm:shape xmlns:r="http://schemas.openxmlformats.org/officeDocument/2006/relationships" type="pie" r:blip="">
                <dgm:adjLst>
                  <dgm:adj idx="1" val="270"/>
                  <dgm:adj idx="2" val="30"/>
                </dgm:adjLst>
              </dgm:shape>
            </dgm:if>
            <dgm:if name="Name29" axis="ch" ptType="node" func="cnt" op="equ" val="4">
              <dgm:shape xmlns:r="http://schemas.openxmlformats.org/officeDocument/2006/relationships" type="pie" r:blip="">
                <dgm:adjLst>
                  <dgm:adj idx="1" val="270"/>
                  <dgm:adj idx="2" val="0"/>
                </dgm:adjLst>
              </dgm:shape>
            </dgm:if>
            <dgm:if name="Name30" axis="ch" ptType="node" func="cnt" op="equ" val="5">
              <dgm:shape xmlns:r="http://schemas.openxmlformats.org/officeDocument/2006/relationships" type="pie" r:blip="">
                <dgm:adjLst>
                  <dgm:adj idx="1" val="270"/>
                  <dgm:adj idx="2" val="342"/>
                </dgm:adjLst>
              </dgm:shape>
            </dgm:if>
            <dgm:if name="Name31" axis="ch" ptType="node" func="cnt" op="equ" val="6">
              <dgm:shape xmlns:r="http://schemas.openxmlformats.org/officeDocument/2006/relationships" type="pie" r:blip="">
                <dgm:adjLst>
                  <dgm:adj idx="1" val="270"/>
                  <dgm:adj idx="2" val="330"/>
                </dgm:adjLst>
              </dgm:shape>
            </dgm:if>
            <dgm:else name="Name32">
              <dgm:shape xmlns:r="http://schemas.openxmlformats.org/officeDocument/2006/relationships" type="pie" r:blip="">
                <dgm:adjLst>
                  <dgm:adj idx="1" val="270"/>
                  <dgm:adj idx="2" val="321.4286"/>
                </dgm:adjLst>
              </dgm:shape>
            </dgm:else>
          </dgm:choose>
          <dgm:choose name="Name33">
            <dgm:if name="Name34" func="var" arg="dir" op="equ" val="norm">
              <dgm:presOf axis="ch desOrSelf" ptType="node node" st="1 1" cnt="1 0"/>
            </dgm:if>
            <dgm:else name="Name35">
              <dgm:choose name="Name36">
                <dgm:if name="Name37" axis="ch" ptType="node" func="cnt" op="equ" val="1">
                  <dgm:presOf axis="ch desOrSelf" ptType="node node" st="1 1" cnt="1 0"/>
                </dgm:if>
                <dgm:if name="Name38" axis="ch" ptType="node" func="cnt" op="equ" val="2">
                  <dgm:presOf axis="ch desOrSelf" ptType="node node" st="2 1" cnt="1 0"/>
                </dgm:if>
                <dgm:if name="Name39" axis="ch" ptType="node" func="cnt" op="equ" val="3">
                  <dgm:presOf axis="ch desOrSelf" ptType="node node" st="3 1" cnt="1 0"/>
                </dgm:if>
                <dgm:if name="Name40" axis="ch" ptType="node" func="cnt" op="equ" val="4">
                  <dgm:presOf axis="ch desOrSelf" ptType="node node" st="4 1" cnt="1 0"/>
                </dgm:if>
                <dgm:if name="Name41" axis="ch" ptType="node" func="cnt" op="equ" val="5">
                  <dgm:presOf axis="ch desOrSelf" ptType="node node" st="5 1" cnt="1 0"/>
                </dgm:if>
                <dgm:if name="Name42" axis="ch" ptType="node" func="cnt" op="equ" val="6">
                  <dgm:presOf axis="ch desOrSelf" ptType="node node" st="6 1" cnt="1 0"/>
                </dgm:if>
                <dgm:else name="Name43">
                  <dgm:presOf axis="ch desOrSelf" ptType="node node" st="7 1" cnt="1 0"/>
                </dgm:else>
              </dgm:choose>
            </dgm:else>
          </dgm:choose>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44">
            <dgm:if name="Name45" func="var" arg="dir" op="equ" val="norm">
              <dgm:presOf axis="ch desOrSelf" ptType="node node" st="1 1" cnt="1 0"/>
            </dgm:if>
            <dgm:else name="Name46">
              <dgm:choose name="Name47">
                <dgm:if name="Name48" axis="ch" ptType="node" func="cnt" op="equ" val="1">
                  <dgm:presOf axis="ch desOrSelf" ptType="node node" st="1 1" cnt="1 0"/>
                </dgm:if>
                <dgm:if name="Name49" axis="ch" ptType="node" func="cnt" op="equ" val="2">
                  <dgm:presOf axis="ch desOrSelf" ptType="node node" st="2 1" cnt="1 0"/>
                </dgm:if>
                <dgm:if name="Name50" axis="ch" ptType="node" func="cnt" op="equ" val="3">
                  <dgm:presOf axis="ch desOrSelf" ptType="node node" st="3 1" cnt="1 0"/>
                </dgm:if>
                <dgm:if name="Name51" axis="ch" ptType="node" func="cnt" op="equ" val="4">
                  <dgm:presOf axis="ch desOrSelf" ptType="node node" st="4 1" cnt="1 0"/>
                </dgm:if>
                <dgm:if name="Name52" axis="ch" ptType="node" func="cnt" op="equ" val="5">
                  <dgm:presOf axis="ch desOrSelf" ptType="node node" st="5 1" cnt="1 0"/>
                </dgm:if>
                <dgm:if name="Name53" axis="ch" ptType="node" func="cnt" op="equ" val="6">
                  <dgm:presOf axis="ch desOrSelf" ptType="node node" st="6 1" cnt="1 0"/>
                </dgm:if>
                <dgm:else name="Name54">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55"/>
    </dgm:choose>
    <dgm:choose name="Name56">
      <dgm:if name="Name57" axis="ch" ptType="node" func="cnt" op="gte" val="2">
        <dgm:layoutNode name="wedge2">
          <dgm:alg type="sp"/>
          <dgm:choose name="Name58">
            <dgm:if name="Name59" axis="ch" ptType="node" func="cnt" op="equ" val="2">
              <dgm:shape xmlns:r="http://schemas.openxmlformats.org/officeDocument/2006/relationships" type="pie" r:blip="">
                <dgm:adjLst>
                  <dgm:adj idx="1" val="90"/>
                  <dgm:adj idx="2" val="270"/>
                </dgm:adjLst>
              </dgm:shape>
            </dgm:if>
            <dgm:if name="Name60" axis="ch" ptType="node" func="cnt" op="equ" val="3">
              <dgm:shape xmlns:r="http://schemas.openxmlformats.org/officeDocument/2006/relationships" type="pie" r:blip="">
                <dgm:adjLst>
                  <dgm:adj idx="1" val="30"/>
                  <dgm:adj idx="2" val="150"/>
                </dgm:adjLst>
              </dgm:shape>
            </dgm:if>
            <dgm:if name="Name61" axis="ch" ptType="node" func="cnt" op="equ" val="4">
              <dgm:shape xmlns:r="http://schemas.openxmlformats.org/officeDocument/2006/relationships" type="pie" r:blip="">
                <dgm:adjLst>
                  <dgm:adj idx="1" val="0"/>
                  <dgm:adj idx="2" val="90"/>
                </dgm:adjLst>
              </dgm:shape>
            </dgm:if>
            <dgm:if name="Name62" axis="ch" ptType="node" func="cnt" op="equ" val="5">
              <dgm:shape xmlns:r="http://schemas.openxmlformats.org/officeDocument/2006/relationships" type="pie" r:blip="">
                <dgm:adjLst>
                  <dgm:adj idx="1" val="342"/>
                  <dgm:adj idx="2" val="54"/>
                </dgm:adjLst>
              </dgm:shape>
            </dgm:if>
            <dgm:if name="Name63" axis="ch" ptType="node" func="cnt" op="equ" val="6">
              <dgm:shape xmlns:r="http://schemas.openxmlformats.org/officeDocument/2006/relationships" type="pie" r:blip="">
                <dgm:adjLst>
                  <dgm:adj idx="1" val="330"/>
                  <dgm:adj idx="2" val="30"/>
                </dgm:adjLst>
              </dgm:shape>
            </dgm:if>
            <dgm:else name="Name64">
              <dgm:shape xmlns:r="http://schemas.openxmlformats.org/officeDocument/2006/relationships" type="pie" r:blip="">
                <dgm:adjLst>
                  <dgm:adj idx="1" val="321.4286"/>
                  <dgm:adj idx="2" val="12.85714"/>
                </dgm:adjLst>
              </dgm:shape>
            </dgm:else>
          </dgm:choose>
          <dgm:choose name="Name65">
            <dgm:if name="Name66" func="var" arg="dir" op="equ" val="norm">
              <dgm:presOf axis="ch desOrSelf" ptType="node node" st="2 1" cnt="1 0"/>
            </dgm:if>
            <dgm:else name="Name67">
              <dgm:choose name="Name68">
                <dgm:if name="Name69" axis="ch" ptType="node" func="cnt" op="equ" val="2">
                  <dgm:presOf axis="ch desOrSelf" ptType="node node" st="1 1" cnt="1 0"/>
                </dgm:if>
                <dgm:if name="Name70" axis="ch" ptType="node" func="cnt" op="equ" val="3">
                  <dgm:presOf axis="ch desOrSelf" ptType="node node" st="2 1" cnt="1 0"/>
                </dgm:if>
                <dgm:if name="Name71" axis="ch" ptType="node" func="cnt" op="equ" val="4">
                  <dgm:presOf axis="ch desOrSelf" ptType="node node" st="3 1" cnt="1 0"/>
                </dgm:if>
                <dgm:if name="Name72" axis="ch" ptType="node" func="cnt" op="equ" val="5">
                  <dgm:presOf axis="ch desOrSelf" ptType="node node" st="4 1" cnt="1 0"/>
                </dgm:if>
                <dgm:if name="Name73" axis="ch" ptType="node" func="cnt" op="equ" val="6">
                  <dgm:presOf axis="ch desOrSelf" ptType="node node" st="5 1" cnt="1 0"/>
                </dgm:if>
                <dgm:else name="Name74">
                  <dgm:presOf axis="ch desOrSelf" ptType="node node" st="6 1" cnt="1 0"/>
                </dgm:else>
              </dgm:choose>
            </dgm:else>
          </dgm:choose>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75">
            <dgm:if name="Name76" func="var" arg="dir" op="equ" val="norm">
              <dgm:presOf axis="ch desOrSelf" ptType="node node" st="2 1" cnt="1 0"/>
            </dgm:if>
            <dgm:else name="Name77">
              <dgm:choose name="Name78">
                <dgm:if name="Name79" axis="ch" ptType="node" func="cnt" op="equ" val="2">
                  <dgm:presOf axis="ch desOrSelf" ptType="node node" st="1 1" cnt="1 0"/>
                </dgm:if>
                <dgm:if name="Name80" axis="ch" ptType="node" func="cnt" op="equ" val="3">
                  <dgm:presOf axis="ch desOrSelf" ptType="node node" st="2 1" cnt="1 0"/>
                </dgm:if>
                <dgm:if name="Name81" axis="ch" ptType="node" func="cnt" op="equ" val="4">
                  <dgm:presOf axis="ch desOrSelf" ptType="node node" st="3 1" cnt="1 0"/>
                </dgm:if>
                <dgm:if name="Name82" axis="ch" ptType="node" func="cnt" op="equ" val="5">
                  <dgm:presOf axis="ch desOrSelf" ptType="node node" st="4 1" cnt="1 0"/>
                </dgm:if>
                <dgm:if name="Name83" axis="ch" ptType="node" func="cnt" op="equ" val="6">
                  <dgm:presOf axis="ch desOrSelf" ptType="node node" st="5 1" cnt="1 0"/>
                </dgm:if>
                <dgm:else name="Name84">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85"/>
    </dgm:choose>
    <dgm:choose name="Name86">
      <dgm:if name="Name87" axis="ch" ptType="node" func="cnt" op="gte" val="3">
        <dgm:layoutNode name="wedge3">
          <dgm:alg type="sp"/>
          <dgm:choose name="Name88">
            <dgm:if name="Name89" axis="ch" ptType="node" func="cnt" op="equ" val="3">
              <dgm:shape xmlns:r="http://schemas.openxmlformats.org/officeDocument/2006/relationships" type="pie" r:blip="">
                <dgm:adjLst>
                  <dgm:adj idx="1" val="150"/>
                  <dgm:adj idx="2" val="270"/>
                </dgm:adjLst>
              </dgm:shape>
            </dgm:if>
            <dgm:if name="Name90" axis="ch" ptType="node" func="cnt" op="equ" val="4">
              <dgm:shape xmlns:r="http://schemas.openxmlformats.org/officeDocument/2006/relationships" type="pie" r:blip="">
                <dgm:adjLst>
                  <dgm:adj idx="1" val="90"/>
                  <dgm:adj idx="2" val="180"/>
                </dgm:adjLst>
              </dgm:shape>
            </dgm:if>
            <dgm:if name="Name91" axis="ch" ptType="node" func="cnt" op="equ" val="5">
              <dgm:shape xmlns:r="http://schemas.openxmlformats.org/officeDocument/2006/relationships" type="pie" r:blip="">
                <dgm:adjLst>
                  <dgm:adj idx="1" val="54"/>
                  <dgm:adj idx="2" val="126"/>
                </dgm:adjLst>
              </dgm:shape>
            </dgm:if>
            <dgm:if name="Name92" axis="ch" ptType="node" func="cnt" op="equ" val="6">
              <dgm:shape xmlns:r="http://schemas.openxmlformats.org/officeDocument/2006/relationships" type="pie" r:blip="">
                <dgm:adjLst>
                  <dgm:adj idx="1" val="30"/>
                  <dgm:adj idx="2" val="90"/>
                </dgm:adjLst>
              </dgm:shape>
            </dgm:if>
            <dgm:else name="Name93">
              <dgm:shape xmlns:r="http://schemas.openxmlformats.org/officeDocument/2006/relationships" type="pie" r:blip="">
                <dgm:adjLst>
                  <dgm:adj idx="1" val="12.85714"/>
                  <dgm:adj idx="2" val="64.28571"/>
                </dgm:adjLst>
              </dgm:shape>
            </dgm:else>
          </dgm:choose>
          <dgm:choose name="Name94">
            <dgm:if name="Name95" func="var" arg="dir" op="equ" val="norm">
              <dgm:presOf axis="ch desOrSelf" ptType="node node" st="3 1" cnt="1 0"/>
            </dgm:if>
            <dgm:else name="Name96">
              <dgm:choose name="Name97">
                <dgm:if name="Name98" axis="ch" ptType="node" func="cnt" op="equ" val="3">
                  <dgm:presOf axis="ch desOrSelf" ptType="node node" st="1 1" cnt="1 0"/>
                </dgm:if>
                <dgm:if name="Name99" axis="ch" ptType="node" func="cnt" op="equ" val="4">
                  <dgm:presOf axis="ch desOrSelf" ptType="node node" st="2 1" cnt="1 0"/>
                </dgm:if>
                <dgm:if name="Name100" axis="ch" ptType="node" func="cnt" op="equ" val="5">
                  <dgm:presOf axis="ch desOrSelf" ptType="node node" st="3 1" cnt="1 0"/>
                </dgm:if>
                <dgm:if name="Name101" axis="ch" ptType="node" func="cnt" op="equ" val="6">
                  <dgm:presOf axis="ch desOrSelf" ptType="node node" st="4 1" cnt="1 0"/>
                </dgm:if>
                <dgm:else name="Name102">
                  <dgm:presOf axis="ch desOrSelf" ptType="node node" st="5 1" cnt="1 0"/>
                </dgm:else>
              </dgm:choose>
            </dgm:else>
          </dgm:choose>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103">
            <dgm:if name="Name104" func="var" arg="dir" op="equ" val="norm">
              <dgm:presOf axis="ch desOrSelf" ptType="node node" st="3 1" cnt="1 0"/>
            </dgm:if>
            <dgm:else name="Name105">
              <dgm:choose name="Name106">
                <dgm:if name="Name107" axis="ch" ptType="node" func="cnt" op="equ" val="3">
                  <dgm:presOf axis="ch desOrSelf" ptType="node node" st="1 1" cnt="1 0"/>
                </dgm:if>
                <dgm:if name="Name108" axis="ch" ptType="node" func="cnt" op="equ" val="4">
                  <dgm:presOf axis="ch desOrSelf" ptType="node node" st="2 1" cnt="1 0"/>
                </dgm:if>
                <dgm:if name="Name109" axis="ch" ptType="node" func="cnt" op="equ" val="5">
                  <dgm:presOf axis="ch desOrSelf" ptType="node node" st="3 1" cnt="1 0"/>
                </dgm:if>
                <dgm:if name="Name110" axis="ch" ptType="node" func="cnt" op="equ" val="6">
                  <dgm:presOf axis="ch desOrSelf" ptType="node node" st="4 1" cnt="1 0"/>
                </dgm:if>
                <dgm:else name="Name111">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12"/>
    </dgm:choose>
    <dgm:choose name="Name113">
      <dgm:if name="Name114" axis="ch" ptType="node" func="cnt" op="gte" val="4">
        <dgm:layoutNode name="wedge4">
          <dgm:alg type="sp"/>
          <dgm:choose name="Name115">
            <dgm:if name="Name116" axis="ch" ptType="node" func="cnt" op="equ" val="4">
              <dgm:shape xmlns:r="http://schemas.openxmlformats.org/officeDocument/2006/relationships" type="pie" r:blip="">
                <dgm:adjLst>
                  <dgm:adj idx="1" val="180"/>
                  <dgm:adj idx="2" val="270"/>
                </dgm:adjLst>
              </dgm:shape>
            </dgm:if>
            <dgm:if name="Name117" axis="ch" ptType="node" func="cnt" op="equ" val="5">
              <dgm:shape xmlns:r="http://schemas.openxmlformats.org/officeDocument/2006/relationships" type="pie" r:blip="">
                <dgm:adjLst>
                  <dgm:adj idx="1" val="126"/>
                  <dgm:adj idx="2" val="198"/>
                </dgm:adjLst>
              </dgm:shape>
            </dgm:if>
            <dgm:if name="Name118" axis="ch" ptType="node" func="cnt" op="equ" val="6">
              <dgm:shape xmlns:r="http://schemas.openxmlformats.org/officeDocument/2006/relationships" type="pie" r:blip="">
                <dgm:adjLst>
                  <dgm:adj idx="1" val="90"/>
                  <dgm:adj idx="2" val="150"/>
                </dgm:adjLst>
              </dgm:shape>
            </dgm:if>
            <dgm:else name="Name119">
              <dgm:shape xmlns:r="http://schemas.openxmlformats.org/officeDocument/2006/relationships" type="pie" r:blip="">
                <dgm:adjLst>
                  <dgm:adj idx="1" val="64.2871"/>
                  <dgm:adj idx="2" val="115.7143"/>
                </dgm:adjLst>
              </dgm:shape>
            </dgm:else>
          </dgm:choose>
          <dgm:choose name="Name120">
            <dgm:if name="Name121" func="var" arg="dir" op="equ" val="norm">
              <dgm:presOf axis="ch desOrSelf" ptType="node node" st="4 1" cnt="1 0"/>
            </dgm:if>
            <dgm:else name="Name122">
              <dgm:choose name="Name123">
                <dgm:if name="Name124" axis="ch" ptType="node" func="cnt" op="equ" val="4">
                  <dgm:presOf axis="ch desOrSelf" ptType="node node" st="1 1" cnt="1 0"/>
                </dgm:if>
                <dgm:if name="Name125" axis="ch" ptType="node" func="cnt" op="equ" val="5">
                  <dgm:presOf axis="ch desOrSelf" ptType="node node" st="2 1" cnt="1 0"/>
                </dgm:if>
                <dgm:if name="Name126" axis="ch" ptType="node" func="cnt" op="equ" val="6">
                  <dgm:presOf axis="ch desOrSelf" ptType="node node" st="3 1" cnt="1 0"/>
                </dgm:if>
                <dgm:else name="Name127">
                  <dgm:presOf axis="ch desOrSelf" ptType="node node" st="4 1" cnt="1 0"/>
                </dgm:else>
              </dgm:choose>
            </dgm:else>
          </dgm:choose>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28">
            <dgm:if name="Name129" func="var" arg="dir" op="equ" val="norm">
              <dgm:presOf axis="ch desOrSelf" ptType="node node" st="4 1" cnt="1 0"/>
            </dgm:if>
            <dgm:else name="Name130">
              <dgm:choose name="Name131">
                <dgm:if name="Name132" axis="ch" ptType="node" func="cnt" op="equ" val="4">
                  <dgm:presOf axis="ch desOrSelf" ptType="node node" st="1 1" cnt="1 0"/>
                </dgm:if>
                <dgm:if name="Name133" axis="ch" ptType="node" func="cnt" op="equ" val="5">
                  <dgm:presOf axis="ch desOrSelf" ptType="node node" st="2 1" cnt="1 0"/>
                </dgm:if>
                <dgm:if name="Name134" axis="ch" ptType="node" func="cnt" op="equ" val="6">
                  <dgm:presOf axis="ch desOrSelf" ptType="node node" st="3 1" cnt="1 0"/>
                </dgm:if>
                <dgm:else name="Name135">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36"/>
    </dgm:choose>
    <dgm:choose name="Name137">
      <dgm:if name="Name138" axis="ch" ptType="node" func="cnt" op="gte" val="5">
        <dgm:layoutNode name="wedge5">
          <dgm:alg type="sp"/>
          <dgm:choose name="Name139">
            <dgm:if name="Name140" axis="ch" ptType="node" func="cnt" op="equ" val="5">
              <dgm:shape xmlns:r="http://schemas.openxmlformats.org/officeDocument/2006/relationships" type="pie" r:blip="">
                <dgm:adjLst>
                  <dgm:adj idx="1" val="198"/>
                  <dgm:adj idx="2" val="270"/>
                </dgm:adjLst>
              </dgm:shape>
            </dgm:if>
            <dgm:if name="Name141" axis="ch" ptType="node" func="cnt" op="equ" val="6">
              <dgm:shape xmlns:r="http://schemas.openxmlformats.org/officeDocument/2006/relationships" type="pie" r:blip="">
                <dgm:adjLst>
                  <dgm:adj idx="1" val="150"/>
                  <dgm:adj idx="2" val="210"/>
                </dgm:adjLst>
              </dgm:shape>
            </dgm:if>
            <dgm:else name="Name142">
              <dgm:shape xmlns:r="http://schemas.openxmlformats.org/officeDocument/2006/relationships" type="pie" r:blip="">
                <dgm:adjLst>
                  <dgm:adj idx="1" val="115.7143"/>
                  <dgm:adj idx="2" val="167.1429"/>
                </dgm:adjLst>
              </dgm:shape>
            </dgm:else>
          </dgm:choose>
          <dgm:choose name="Name143">
            <dgm:if name="Name144" func="var" arg="dir" op="equ" val="norm">
              <dgm:presOf axis="ch desOrSelf" ptType="node node" st="5 1" cnt="1 0"/>
            </dgm:if>
            <dgm:else name="Name145">
              <dgm:choose name="Name146">
                <dgm:if name="Name147" axis="ch" ptType="node" func="cnt" op="equ" val="5">
                  <dgm:presOf axis="ch desOrSelf" ptType="node node" st="1 1" cnt="1 0"/>
                </dgm:if>
                <dgm:if name="Name148" axis="ch" ptType="node" func="cnt" op="equ" val="6">
                  <dgm:presOf axis="ch desOrSelf" ptType="node node" st="2 1" cnt="1 0"/>
                </dgm:if>
                <dgm:else name="Name149">
                  <dgm:presOf axis="ch desOrSelf" ptType="node node" st="3 1" cnt="1 0"/>
                </dgm:else>
              </dgm:choose>
            </dgm:else>
          </dgm:choose>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50">
            <dgm:if name="Name151" func="var" arg="dir" op="equ" val="norm">
              <dgm:presOf axis="ch desOrSelf" ptType="node node" st="5 1" cnt="1 0"/>
            </dgm:if>
            <dgm:else name="Name152">
              <dgm:choose name="Name153">
                <dgm:if name="Name154" axis="ch" ptType="node" func="cnt" op="equ" val="5">
                  <dgm:presOf axis="ch desOrSelf" ptType="node node" st="1 1" cnt="1 0"/>
                </dgm:if>
                <dgm:if name="Name155" axis="ch" ptType="node" func="cnt" op="equ" val="6">
                  <dgm:presOf axis="ch desOrSelf" ptType="node node" st="2 1" cnt="1 0"/>
                </dgm:if>
                <dgm:else name="Name156">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57"/>
    </dgm:choose>
    <dgm:choose name="Name158">
      <dgm:if name="Name159" axis="ch" ptType="node" func="cnt" op="gte" val="6">
        <dgm:layoutNode name="wedge6">
          <dgm:alg type="sp"/>
          <dgm:choose name="Name160">
            <dgm:if name="Name161" axis="ch" ptType="node" func="cnt" op="equ" val="6">
              <dgm:shape xmlns:r="http://schemas.openxmlformats.org/officeDocument/2006/relationships" type="pie" r:blip="">
                <dgm:adjLst>
                  <dgm:adj idx="1" val="210"/>
                  <dgm:adj idx="2" val="270"/>
                </dgm:adjLst>
              </dgm:shape>
            </dgm:if>
            <dgm:else name="Name162">
              <dgm:shape xmlns:r="http://schemas.openxmlformats.org/officeDocument/2006/relationships" type="pie" r:blip="">
                <dgm:adjLst>
                  <dgm:adj idx="1" val="167.1429"/>
                  <dgm:adj idx="2" val="218.5714"/>
                </dgm:adjLst>
              </dgm:shape>
            </dgm:else>
          </dgm:choose>
          <dgm:choose name="Name163">
            <dgm:if name="Name164" func="var" arg="dir" op="equ" val="norm">
              <dgm:presOf axis="ch desOrSelf" ptType="node node" st="6 1" cnt="1 0"/>
            </dgm:if>
            <dgm:else name="Name165">
              <dgm:choose name="Name166">
                <dgm:if name="Name167" axis="ch" ptType="node" func="cnt" op="equ" val="6">
                  <dgm:presOf axis="ch desOrSelf" ptType="node node" st="1 1" cnt="1 0"/>
                </dgm:if>
                <dgm:else name="Name168">
                  <dgm:presOf axis="ch desOrSelf" ptType="node node" st="2 1" cnt="1 0"/>
                </dgm:else>
              </dgm:choose>
            </dgm:else>
          </dgm:choose>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69">
            <dgm:if name="Name170" func="var" arg="dir" op="equ" val="norm">
              <dgm:presOf axis="ch desOrSelf" ptType="node node" st="6 1" cnt="1 0"/>
            </dgm:if>
            <dgm:else name="Name171">
              <dgm:choose name="Name172">
                <dgm:if name="Name173" axis="ch" ptType="node" func="cnt" op="equ" val="6">
                  <dgm:presOf axis="ch desOrSelf" ptType="node node" st="1 1" cnt="1 0"/>
                </dgm:if>
                <dgm:else name="Name174">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75"/>
    </dgm:choose>
    <dgm:choose name="Name176">
      <dgm:if name="Name177" axis="ch" ptType="node" func="cnt" op="gte" val="7">
        <dgm:layoutNode name="wedge7">
          <dgm:alg type="sp"/>
          <dgm:shape xmlns:r="http://schemas.openxmlformats.org/officeDocument/2006/relationships" type="pie" r:blip="">
            <dgm:adjLst>
              <dgm:adj idx="1" val="218.5714"/>
              <dgm:adj idx="2" val="270"/>
            </dgm:adjLst>
          </dgm:shape>
          <dgm:choose name="Name178">
            <dgm:if name="Name179" func="var" arg="dir" op="equ" val="norm">
              <dgm:presOf axis="ch desOrSelf" ptType="node node" st="7 1" cnt="1 0"/>
            </dgm:if>
            <dgm:else name="Name180">
              <dgm:presOf axis="ch desOrSelf" ptType="node node" st="1 1" cnt="1 0"/>
            </dgm:else>
          </dgm:choose>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81">
            <dgm:if name="Name182" func="var" arg="dir" op="equ" val="norm">
              <dgm:presOf axis="ch desOrSelf" ptType="node node" st="7 1" cnt="1 0"/>
            </dgm:if>
            <dgm:else name="Name183">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84"/>
    </dgm:choose>
  </dgm:layoutNode>
</dgm:layoutDef>
</file>

<file path=word/diagrams/layout4.xml><?xml version="1.0" encoding="utf-8"?>
<dgm:layoutDef xmlns:dgm="http://schemas.openxmlformats.org/drawingml/2006/diagram" xmlns:a="http://schemas.openxmlformats.org/drawingml/2006/main" uniqueId="urn:microsoft.com/office/officeart/2005/8/layout/arrow4">
  <dgm:title val=""/>
  <dgm:desc val=""/>
  <dgm:catLst>
    <dgm:cat type="relationship" pri="8000"/>
    <dgm:cat type="process" pri="30000"/>
  </dgm:catLst>
  <dgm:samp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Lst>
      <dgm:cxnLst>
        <dgm:cxn modelId="3" srcId="0" destId="1" srcOrd="0" destOrd="0"/>
        <dgm:cxn modelId="4" srcId="0" destId="2" srcOrd="1" destOrd="0"/>
      </dgm:cxnLst>
      <dgm:bg/>
      <dgm:whole/>
    </dgm:dataModel>
  </dgm:clrData>
  <dgm:layoutNode name="compositeShape">
    <dgm:varLst>
      <dgm:chMax val="2"/>
      <dgm:dir/>
      <dgm:resizeHandles val="exact"/>
    </dgm:varLst>
    <dgm:alg type="composite"/>
    <dgm:shape xmlns:r="http://schemas.openxmlformats.org/officeDocument/2006/relationships" r:blip="">
      <dgm:adjLst/>
    </dgm:shape>
    <dgm:presOf/>
    <dgm:choose name="Name0">
      <dgm:if name="Name1" func="var" arg="dir" op="equ" val="norm">
        <dgm:choose name="Name2">
          <dgm:if name="Name3" axis="ch" ptType="node" func="cnt" op="lte" val="1">
            <dgm:constrLst>
              <dgm:constr type="primFontSz" for="des" ptType="node" op="equ" val="65"/>
              <dgm:constr type="w" for="ch" forName="upArrow" refType="w" fact="0.33"/>
              <dgm:constr type="h" for="ch" forName="upArrow" refType="h"/>
              <dgm:constr type="b" for="ch" forName="upArrow" refType="h" fact="0.48"/>
              <dgm:constr type="l" for="ch" forName="upArrow"/>
              <dgm:constr type="h" for="ch" forName="upArrow" refType="w" refFor="ch" refForName="upArrow" op="gte" fact="0.75"/>
              <dgm:constr type="w" for="ch" forName="upArrowText" refType="w" fact="0.56"/>
              <dgm:constr type="h" for="ch" forName="upArrowText" refType="h"/>
              <dgm:constr type="b" for="ch" forName="upArrowText" refType="h" fact="0.48"/>
              <dgm:constr type="l" for="ch" forName="upArrowText" refType="w" refFor="ch" refForName="upArrow" fact="1.03"/>
            </dgm:constrLst>
          </dgm:if>
          <dgm:else name="Name4">
            <dgm:constrLst>
              <dgm:constr type="primFontSz" for="des" ptType="node" op="equ" val="65"/>
              <dgm:constr type="w" for="ch" forName="upArrow" refType="w" fact="0.33"/>
              <dgm:constr type="h" for="ch" forName="upArrow" refType="h" fact="0.48"/>
              <dgm:constr type="b" for="ch" forName="upArrow" refType="h" fact="0.48"/>
              <dgm:constr type="l" for="ch" forName="upArrow"/>
              <dgm:constr type="h" for="ch" forName="upArrow" refType="w" refFor="ch" refForName="upArrow" op="gte" fact="0.75"/>
              <dgm:constr type="w" for="ch" forName="upArrowText" refType="w" fact="0.56"/>
              <dgm:constr type="h" for="ch" forName="upArrowText" refType="h" fact="0.48"/>
              <dgm:constr type="b" for="ch" forName="upArrowText" refType="h" fact="0.48"/>
              <dgm:constr type="l" for="ch" forName="upArrowText" refType="w" refFor="ch" refForName="upArrow" fact="1.03"/>
              <dgm:constr type="w" for="ch" forName="downArrow" refType="w" fact="0.33"/>
              <dgm:constr type="h" for="ch" forName="downArrow" refType="h" fact="0.48"/>
              <dgm:constr type="t" for="ch" forName="downArrow" refType="h" fact="0.52"/>
              <dgm:constr type="l" for="ch" forName="downArrow" refType="w" refFor="ch" refForName="downArrow" fact="0.3"/>
              <dgm:constr type="h" for="ch" forName="downArrow" refType="w" refFor="ch" refForName="downArrow" op="gte" fact="0.75"/>
              <dgm:constr type="w" for="ch" forName="downArrowText" refType="w" fact="0.56"/>
              <dgm:constr type="h" for="ch" forName="downArrowText" refType="h" fact="0.48"/>
              <dgm:constr type="t" for="ch" forName="downArrowText" refType="h" fact="0.52"/>
              <dgm:constr type="l" for="ch" forName="downArrowText" refType="w" refFor="ch" refForName="downArrow" fact="1.33"/>
            </dgm:constrLst>
          </dgm:else>
        </dgm:choose>
      </dgm:if>
      <dgm:else name="Name5">
        <dgm:choose name="Name6">
          <dgm:if name="Name7" axis="ch" ptType="node" func="cnt" op="lte" val="1">
            <dgm:constrLst>
              <dgm:constr type="primFontSz" for="des" ptType="node" op="equ" val="65"/>
              <dgm:constr type="w" for="ch" forName="upArrow" refType="w" fact="0.33"/>
              <dgm:constr type="h" for="ch" forName="upArrow" refType="h"/>
              <dgm:constr type="t" for="ch" forName="upArrow"/>
              <dgm:constr type="l" for="ch" forName="upArrow" refType="w" fact="0.67"/>
              <dgm:constr type="h" for="ch" forName="upArrow" refType="w" refFor="ch" refForName="upArrow" op="gte" fact="0.75"/>
              <dgm:constr type="w" for="ch" forName="upArrowText" refType="w" fact="0.56"/>
              <dgm:constr type="h" for="ch" forName="upArrowText" refType="h"/>
              <dgm:constr type="t" for="ch" forName="upArrowText"/>
              <dgm:constr type="l" for="ch" forName="upArrowText" refType="w" fact="0.1"/>
            </dgm:constrLst>
          </dgm:if>
          <dgm:else name="Name8">
            <dgm:constrLst>
              <dgm:constr type="primFontSz" for="des" ptType="node" op="equ" val="65"/>
              <dgm:constr type="w" for="ch" forName="upArrow" refType="w" fact="0.33"/>
              <dgm:constr type="h" for="ch" forName="upArrow" refType="h" fact="0.48"/>
              <dgm:constr type="t" for="ch" forName="upArrow"/>
              <dgm:constr type="l" for="ch" forName="upArrow" refType="w" fact="0.67"/>
              <dgm:constr type="h" for="ch" forName="upArrow" refType="w" refFor="ch" refForName="upArrow" op="gte" fact="0.75"/>
              <dgm:constr type="w" for="ch" forName="upArrowText" refType="w" fact="0.56"/>
              <dgm:constr type="h" for="ch" forName="upArrowText" refType="h" fact="0.48"/>
              <dgm:constr type="t" for="ch" forName="upArrowText"/>
              <dgm:constr type="l" for="ch" forName="upArrowText" refType="w" fact="0.1"/>
              <dgm:constr type="w" for="ch" forName="downArrow" refType="w" fact="0.33"/>
              <dgm:constr type="h" for="ch" forName="downArrow" refType="h" fact="0.48"/>
              <dgm:constr type="t" for="ch" forName="downArrow" refType="h" fact="0.52"/>
              <dgm:constr type="l" for="ch" forName="downArrow" refType="w" fact="0.57"/>
              <dgm:constr type="h" for="ch" forName="downArrow" refType="w" refFor="ch" refForName="downArrow" op="gte" fact="0.75"/>
              <dgm:constr type="w" for="ch" forName="downArrowText" refType="w" fact="0.56"/>
              <dgm:constr type="h" for="ch" forName="downArrowText" refType="h" fact="0.48"/>
              <dgm:constr type="t" for="ch" forName="downArrowText" refType="h" fact="0.52"/>
              <dgm:constr type="l" for="ch" forName="downArrowText"/>
            </dgm:constrLst>
          </dgm:else>
        </dgm:choose>
      </dgm:else>
    </dgm:choose>
    <dgm:ruleLst/>
    <dgm:forEach name="Name9" axis="ch" ptType="node" cnt="1">
      <dgm:layoutNode name="upArrow" styleLbl="node1">
        <dgm:alg type="sp"/>
        <dgm:shape xmlns:r="http://schemas.openxmlformats.org/officeDocument/2006/relationships" type="upArrow" r:blip="">
          <dgm:adjLst/>
        </dgm:shape>
        <dgm:presOf/>
        <dgm:constrLst/>
        <dgm:ruleLst/>
      </dgm:layoutNode>
      <dgm:layoutNode name="upArrowText" styleLbl="revTx">
        <dgm:varLst>
          <dgm:chMax val="0"/>
          <dgm:bulletEnabled val="1"/>
        </dgm:varLst>
        <dgm:choose name="Name10">
          <dgm:if name="Name11" axis="root des" ptType="all node" func="maxDepth" op="gt" val="1">
            <dgm:alg type="tx">
              <dgm:param type="parTxLTRAlign" val="l"/>
              <dgm:param type="parTxRTLAlign" val="r"/>
              <dgm:param type="txAnchorVertCh" val="mid"/>
            </dgm:alg>
          </dgm:if>
          <dgm:else name="Name12">
            <dgm:choose name="Name13">
              <dgm:if name="Name14" func="var" arg="dir" op="equ" val="norm">
                <dgm:alg type="tx">
                  <dgm:param type="parTxLTRAlign" val="l"/>
                  <dgm:param type="parTxRTLAlign" val="l"/>
                  <dgm:param type="txAnchorVertCh" val="mid"/>
                </dgm:alg>
              </dgm:if>
              <dgm:else name="Name15">
                <dgm:alg type="tx">
                  <dgm:param type="parTxLTRAlign" val="r"/>
                  <dgm:param type="parTxRTLAlign" val="r"/>
                  <dgm:param type="txAnchorVertCh" val="mid"/>
                </dgm:alg>
              </dgm:else>
            </dgm:choose>
          </dgm:else>
        </dgm:choose>
        <dgm:shape xmlns:r="http://schemas.openxmlformats.org/officeDocument/2006/relationships" type="rect" r:blip="">
          <dgm:adjLst/>
        </dgm:shape>
        <dgm:presOf axis="desOrSelf" ptType="node"/>
        <dgm:constrLst>
          <dgm:constr type="tMarg"/>
        </dgm:constrLst>
        <dgm:ruleLst>
          <dgm:rule type="primFontSz" val="5" fact="NaN" max="NaN"/>
        </dgm:ruleLst>
      </dgm:layoutNode>
    </dgm:forEach>
    <dgm:forEach name="Name16" axis="ch" ptType="node" st="2" cnt="1">
      <dgm:layoutNode name="downArrow" styleLbl="node1">
        <dgm:alg type="sp"/>
        <dgm:shape xmlns:r="http://schemas.openxmlformats.org/officeDocument/2006/relationships" type="downArrow" r:blip="">
          <dgm:adjLst/>
        </dgm:shape>
        <dgm:presOf/>
        <dgm:constrLst/>
        <dgm:ruleLst/>
      </dgm:layoutNode>
      <dgm:layoutNode name="downArrowText" styleLbl="revTx">
        <dgm:varLst>
          <dgm:chMax val="0"/>
          <dgm:bulletEnabled val="1"/>
        </dgm:varLst>
        <dgm:choose name="Name17">
          <dgm:if name="Name18" axis="root des" ptType="all node" func="maxDepth" op="gt" val="1">
            <dgm:alg type="tx">
              <dgm:param type="parTxLTRAlign" val="l"/>
              <dgm:param type="parTxRTLAlign" val="r"/>
              <dgm:param type="txAnchorVertCh" val="mid"/>
            </dgm:alg>
          </dgm:if>
          <dgm:else name="Name19">
            <dgm:choose name="Name20">
              <dgm:if name="Name21" func="var" arg="dir" op="equ" val="norm">
                <dgm:alg type="tx">
                  <dgm:param type="parTxLTRAlign" val="l"/>
                  <dgm:param type="parTxRTLAlign" val="l"/>
                  <dgm:param type="txAnchorVertCh" val="mid"/>
                </dgm:alg>
              </dgm:if>
              <dgm:else name="Name22">
                <dgm:alg type="tx">
                  <dgm:param type="parTxLTRAlign" val="r"/>
                  <dgm:param type="parTxRTLAlign" val="r"/>
                  <dgm:param type="txAnchorVertCh" val="mid"/>
                </dgm:alg>
              </dgm:else>
            </dgm:choose>
          </dgm:else>
        </dgm:choose>
        <dgm:shape xmlns:r="http://schemas.openxmlformats.org/officeDocument/2006/relationships" type="rect" r:blip="">
          <dgm:adjLst/>
        </dgm:shape>
        <dgm:presOf axis="desOrSelf" ptType="node"/>
        <dgm:constrLst>
          <dgm:constr type="tMarg"/>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9">
  <dgm:title val=""/>
  <dgm:desc val=""/>
  <dgm:catLst>
    <dgm:cat type="3D" pri="11900"/>
  </dgm:catLst>
  <dgm:scene3d>
    <a:camera prst="perspectiveRelaxed">
      <a:rot lat="19149996" lon="20104178" rev="1577324"/>
    </a:camera>
    <a:lightRig rig="soft" dir="t"/>
    <a:backdrop>
      <a:anchor x="0" y="0" z="-210000"/>
      <a:norm dx="0" dy="0" dz="914400"/>
      <a:up dx="0" dy="914400" dz="0"/>
    </a:backdrop>
  </dgm:scene3d>
  <dgm:styleLbl name="node0">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extrusionH="152250" prstMaterial="matte">
      <a:bevelT w="165100" prst="coolSlant"/>
    </dgm:sp3d>
    <dgm:txPr>
      <a:sp3d extrusionH="28000" prstMaterial="matte"/>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prstMaterial="matte"/>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dgm:scene3d>
    <dgm:sp3d extrusionH="152250" prstMaterial="matte">
      <a:bevelT w="165100" prst="coolSlant"/>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dgm:scene3d>
    <dgm:sp3d z="-227350" prstMaterial="matte"/>
    <dgm:txPr/>
    <dgm:style>
      <a:lnRef idx="0">
        <a:scrgbClr r="0" g="0" b="0"/>
      </a:lnRef>
      <a:fillRef idx="1">
        <a:scrgbClr r="0" g="0" b="0"/>
      </a:fillRef>
      <a:effectRef idx="0">
        <a:scrgbClr r="0" g="0" b="0"/>
      </a:effectRef>
      <a:fontRef idx="minor"/>
    </dgm:style>
  </dgm:styleLbl>
  <dgm:styleLbl name="sibTrans2D1">
    <dgm:scene3d>
      <a:camera prst="orthographicFront"/>
      <a:lightRig rig="threePt" dir="t"/>
    </dgm:scene3d>
    <dgm:sp3d z="-227350" prstMaterial="matte"/>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prstMaterial="matte"/>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227350" prstMaterial="matte"/>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z="-22735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extrusionH="152250" prstMaterial="matte">
      <a:bevelT w="165100" prst="coolSlant"/>
    </dgm:sp3d>
    <dgm:txPr>
      <a:sp3d extrusionH="28000" prstMaterial="matte"/>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27350" prstMaterial="matte"/>
    <dgm:txPr/>
    <dgm:style>
      <a:lnRef idx="0">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z="-227350" prstMaterial="matte"/>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z="-227350" prstMaterial="matte"/>
    <dgm:txPr/>
    <dgm:style>
      <a:lnRef idx="0">
        <a:scrgbClr r="0" g="0" b="0"/>
      </a:lnRef>
      <a:fillRef idx="3">
        <a:scrgbClr r="0" g="0" b="0"/>
      </a:fillRef>
      <a:effectRef idx="0">
        <a:scrgbClr r="0" g="0" b="0"/>
      </a:effectRef>
      <a:fontRef idx="minor">
        <a:schemeClr val="lt1"/>
      </a:fontRef>
    </dgm:style>
  </dgm:styleLbl>
  <dgm:styleLbl name="parChTrans2D4">
    <dgm:scene3d>
      <a:camera prst="orthographicFront"/>
      <a:lightRig rig="threePt" dir="t"/>
    </dgm:scene3d>
    <dgm:sp3d z="-227350" prstMaterial="matte"/>
    <dgm:txPr/>
    <dgm:style>
      <a:lnRef idx="0">
        <a:scrgbClr r="0" g="0" b="0"/>
      </a:lnRef>
      <a:fillRef idx="3">
        <a:scrgbClr r="0" g="0" b="0"/>
      </a:fillRef>
      <a:effectRef idx="0">
        <a:scrgbClr r="0" g="0" b="0"/>
      </a:effectRef>
      <a:fontRef idx="minor">
        <a:schemeClr val="lt1"/>
      </a:fontRef>
    </dgm:style>
  </dgm:styleLbl>
  <dgm:styleLbl name="parChTrans1D1">
    <dgm:scene3d>
      <a:camera prst="orthographicFront"/>
      <a:lightRig rig="threePt" dir="t"/>
    </dgm:scene3d>
    <dgm:sp3d z="-22735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22735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z="-22735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z="-22735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prstMaterial="matte"/>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z="-227350" prstMaterial="matte"/>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extrusionH="152250" prstMaterial="matte">
      <a:bevelT w="165100" prst="coolSlant"/>
    </dgm:sp3d>
    <dgm:txPr/>
    <dgm:style>
      <a:lnRef idx="0">
        <a:scrgbClr r="0" g="0" b="0"/>
      </a:lnRef>
      <a:fillRef idx="1">
        <a:scrgbClr r="0" g="0" b="0"/>
      </a:fillRef>
      <a:effectRef idx="2">
        <a:scrgbClr r="0" g="0" b="0"/>
      </a:effectRef>
      <a:fontRef idx="minor"/>
    </dgm:style>
  </dgm:styleLbl>
  <dgm:styleLbl name="trAlignAcc1">
    <dgm:scene3d>
      <a:camera prst="orthographicFront"/>
      <a:lightRig rig="threePt" dir="t"/>
    </dgm:scene3d>
    <dgm:sp3d extrusionH="152250" prstMaterial="matte">
      <a:bevelT w="165100" prst="coolSlant"/>
    </dgm:sp3d>
    <dgm:txPr/>
    <dgm:style>
      <a:lnRef idx="0">
        <a:scrgbClr r="0" g="0" b="0"/>
      </a:lnRef>
      <a:fillRef idx="1">
        <a:scrgbClr r="0" g="0" b="0"/>
      </a:fillRef>
      <a:effectRef idx="2">
        <a:scrgbClr r="0" g="0" b="0"/>
      </a:effectRef>
      <a:fontRef idx="minor"/>
    </dgm:style>
  </dgm:styleLbl>
  <dgm:styleLbl name="bgAcc1">
    <dgm:scene3d>
      <a:camera prst="orthographicFront"/>
      <a:lightRig rig="threePt" dir="t"/>
    </dgm:scene3d>
    <dgm:sp3d z="-227350" prstMaterial="matte"/>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prstMaterial="matte"/>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extrusionH="152250" prstMaterial="matte">
      <a:bevelT w="165100" prst="coolSlant"/>
    </dgm:sp3d>
    <dgm:txPr/>
    <dgm:style>
      <a:lnRef idx="0">
        <a:scrgbClr r="0" g="0" b="0"/>
      </a:lnRef>
      <a:fillRef idx="1">
        <a:scrgbClr r="0" g="0" b="0"/>
      </a:fillRef>
      <a:effectRef idx="2">
        <a:scrgbClr r="0" g="0" b="0"/>
      </a:effectRef>
      <a:fontRef idx="minor"/>
    </dgm:style>
  </dgm:styleLbl>
  <dgm:styleLbl name="solidBgAcc1">
    <dgm:scene3d>
      <a:camera prst="orthographicFront"/>
      <a:lightRig rig="threePt" dir="t"/>
    </dgm:scene3d>
    <dgm:sp3d z="-227350" prstMaterial="matte"/>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prstMaterial="matte"/>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extrusionH="152250" prstMaterial="matte">
      <a:bevelT w="165100" prst="coolSlant"/>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227350" prstMaterial="matte"/>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prstMaterial="matte"/>
    <dgm:txPr/>
    <dgm:style>
      <a:lnRef idx="0">
        <a:scrgbClr r="0" g="0" b="0"/>
      </a:lnRef>
      <a:fillRef idx="1">
        <a:scrgbClr r="0" g="0" b="0"/>
      </a:fillRef>
      <a:effectRef idx="0">
        <a:scrgbClr r="0" g="0" b="0"/>
      </a:effectRef>
      <a:fontRef idx="minor"/>
    </dgm:style>
  </dgm:styleLbl>
  <dgm:styleLbl name="fgAcc2">
    <dgm:scene3d>
      <a:camera prst="orthographicFront"/>
      <a:lightRig rig="threePt" dir="t"/>
    </dgm:scene3d>
    <dgm:sp3d prstMaterial="matte"/>
    <dgm:txPr/>
    <dgm:style>
      <a:lnRef idx="0">
        <a:scrgbClr r="0" g="0" b="0"/>
      </a:lnRef>
      <a:fillRef idx="1">
        <a:scrgbClr r="0" g="0" b="0"/>
      </a:fillRef>
      <a:effectRef idx="0">
        <a:scrgbClr r="0" g="0" b="0"/>
      </a:effectRef>
      <a:fontRef idx="minor"/>
    </dgm:style>
  </dgm:styleLbl>
  <dgm:styleLbl name="fgAcc3">
    <dgm:scene3d>
      <a:camera prst="orthographicFront"/>
      <a:lightRig rig="threePt" dir="t"/>
    </dgm:scene3d>
    <dgm:sp3d prstMaterial="matte"/>
    <dgm:txPr/>
    <dgm:style>
      <a:lnRef idx="0">
        <a:scrgbClr r="0" g="0" b="0"/>
      </a:lnRef>
      <a:fillRef idx="1">
        <a:scrgbClr r="0" g="0" b="0"/>
      </a:fillRef>
      <a:effectRef idx="0">
        <a:scrgbClr r="0" g="0" b="0"/>
      </a:effectRef>
      <a:fontRef idx="minor"/>
    </dgm:style>
  </dgm:styleLbl>
  <dgm:styleLbl name="fgAcc4">
    <dgm:scene3d>
      <a:camera prst="orthographicFront"/>
      <a:lightRig rig="threePt" dir="t"/>
    </dgm:scene3d>
    <dgm:sp3d prstMaterial="matte"/>
    <dgm:txPr/>
    <dgm:style>
      <a:lnRef idx="0">
        <a:scrgbClr r="0" g="0" b="0"/>
      </a:lnRef>
      <a:fillRef idx="1">
        <a:scrgbClr r="0" g="0" b="0"/>
      </a:fillRef>
      <a:effectRef idx="0">
        <a:scrgbClr r="0" g="0" b="0"/>
      </a:effectRef>
      <a:fontRef idx="minor"/>
    </dgm:style>
  </dgm:styleLbl>
  <dgm:styleLbl name="bgShp">
    <dgm:scene3d>
      <a:camera prst="orthographicFront"/>
      <a:lightRig rig="threePt" dir="t"/>
    </dgm:scene3d>
    <dgm:sp3d z="-227350" prstMaterial="matte"/>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z="-227350" prstMaterial="matte"/>
    <dgm:txPr/>
    <dgm:style>
      <a:lnRef idx="0">
        <a:scrgbClr r="0" g="0" b="0"/>
      </a:lnRef>
      <a:fillRef idx="1">
        <a:scrgbClr r="0" g="0" b="0"/>
      </a:fillRef>
      <a:effectRef idx="0">
        <a:scrgbClr r="0" g="0" b="0"/>
      </a:effectRef>
      <a:fontRef idx="minor">
        <a:schemeClr val="lt1"/>
      </a:fontRef>
    </dgm:style>
  </dgm:styleLbl>
  <dgm:styleLbl name="trBgShp">
    <dgm:scene3d>
      <a:camera prst="orthographicFront"/>
      <a:lightRig rig="threePt" dir="t"/>
    </dgm:scene3d>
    <dgm:sp3d z="-22735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prstMaterial="matte"/>
    <dgm:txPr/>
    <dgm:style>
      <a:lnRef idx="0">
        <a:scrgbClr r="0" g="0" b="0"/>
      </a:lnRef>
      <a:fillRef idx="1">
        <a:scrgbClr r="0" g="0" b="0"/>
      </a:fillRef>
      <a:effectRef idx="0">
        <a:scrgbClr r="0" g="0" b="0"/>
      </a:effectRef>
      <a:fontRef idx="minor">
        <a:schemeClr val="lt1"/>
      </a:fontRef>
    </dgm:style>
  </dgm:styleLbl>
  <dgm:styleLbl name="revTx">
    <dgm:scene3d>
      <a:camera prst="orthographicFront"/>
      <a:lightRig rig="threePt" dir="t"/>
    </dgm:scene3d>
    <dgm:sp3d/>
    <dgm:txPr>
      <a:sp3d extrusionH="28000" prstMaterial="matte"/>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5E5EC0-90B3-438D-B304-DE35C0D56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688</TotalTime>
  <Pages>205</Pages>
  <Words>67104</Words>
  <Characters>382498</Characters>
  <Application>Microsoft Office Word</Application>
  <DocSecurity>0</DocSecurity>
  <Lines>3187</Lines>
  <Paragraphs>897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448705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Bogdan Petrović</dc:creator>
  <cp:keywords/>
  <dc:description/>
  <cp:lastModifiedBy>Strahinja Vujicic</cp:lastModifiedBy>
  <cp:revision>314</cp:revision>
  <cp:lastPrinted>2021-06-24T16:47:00Z</cp:lastPrinted>
  <dcterms:created xsi:type="dcterms:W3CDTF">2021-06-22T09:58:00Z</dcterms:created>
  <dcterms:modified xsi:type="dcterms:W3CDTF">2021-06-28T08:43:00Z</dcterms:modified>
</cp:coreProperties>
</file>