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743D" w:rsidRPr="00F25B6E" w:rsidRDefault="0084743D" w:rsidP="0084743D">
      <w:pPr>
        <w:spacing w:line="312" w:lineRule="exact"/>
        <w:jc w:val="center"/>
        <w:outlineLvl w:val="0"/>
        <w:rPr>
          <w:sz w:val="24"/>
          <w:szCs w:val="24"/>
          <w:lang w:val="sr-Cyrl-CS" w:eastAsia="de-DE"/>
        </w:rPr>
      </w:pPr>
      <w:r w:rsidRPr="00F25B6E">
        <w:rPr>
          <w:sz w:val="24"/>
          <w:szCs w:val="24"/>
          <w:lang w:val="sr-Cyrl-CS" w:eastAsia="de-DE"/>
        </w:rPr>
        <w:t>О Б Р А З Л О Ж Е Њ Е</w:t>
      </w:r>
    </w:p>
    <w:p w:rsidR="0084743D" w:rsidRPr="00F25B6E" w:rsidRDefault="0084743D" w:rsidP="0084743D">
      <w:pPr>
        <w:spacing w:line="312" w:lineRule="exact"/>
        <w:ind w:firstLine="720"/>
        <w:jc w:val="center"/>
        <w:rPr>
          <w:sz w:val="24"/>
          <w:szCs w:val="24"/>
          <w:lang w:val="sr-Cyrl-CS" w:eastAsia="de-DE"/>
        </w:rPr>
      </w:pPr>
    </w:p>
    <w:p w:rsidR="0084743D" w:rsidRPr="00F25B6E" w:rsidRDefault="0084743D" w:rsidP="0084743D">
      <w:pPr>
        <w:spacing w:line="312" w:lineRule="exact"/>
        <w:jc w:val="left"/>
        <w:rPr>
          <w:bCs/>
          <w:sz w:val="24"/>
          <w:szCs w:val="24"/>
          <w:lang w:val="sr-Cyrl-CS" w:eastAsia="de-DE"/>
        </w:rPr>
      </w:pPr>
      <w:r w:rsidRPr="00F25B6E">
        <w:rPr>
          <w:bCs/>
          <w:sz w:val="24"/>
          <w:szCs w:val="24"/>
          <w:lang w:val="sr-Cyrl-CS" w:eastAsia="de-DE"/>
        </w:rPr>
        <w:t xml:space="preserve">I. </w:t>
      </w:r>
      <w:r w:rsidRPr="00F25B6E">
        <w:rPr>
          <w:bCs/>
          <w:sz w:val="24"/>
          <w:szCs w:val="24"/>
          <w:lang w:val="sr-Cyrl-CS" w:eastAsia="de-DE"/>
        </w:rPr>
        <w:tab/>
        <w:t>УСТАВНИ ОСНОВ ЗА ДОНОШЕЊЕ ЗАКОНА</w:t>
      </w:r>
    </w:p>
    <w:p w:rsidR="0084743D" w:rsidRPr="00F25B6E" w:rsidRDefault="0084743D" w:rsidP="0084743D">
      <w:pPr>
        <w:spacing w:line="312" w:lineRule="exact"/>
        <w:jc w:val="left"/>
        <w:rPr>
          <w:bCs/>
          <w:sz w:val="24"/>
          <w:szCs w:val="24"/>
          <w:lang w:val="sr-Cyrl-CS" w:eastAsia="de-DE"/>
        </w:rPr>
      </w:pPr>
    </w:p>
    <w:p w:rsidR="0084743D" w:rsidRPr="00F25B6E" w:rsidRDefault="0084743D" w:rsidP="0084743D">
      <w:pPr>
        <w:rPr>
          <w:sz w:val="24"/>
          <w:szCs w:val="24"/>
          <w:lang w:val="sr-Cyrl-CS" w:eastAsia="de-DE"/>
        </w:rPr>
      </w:pPr>
      <w:r w:rsidRPr="00F25B6E">
        <w:rPr>
          <w:sz w:val="24"/>
          <w:szCs w:val="24"/>
          <w:lang w:val="sr-Cyrl-CS" w:eastAsia="de-DE"/>
        </w:rPr>
        <w:t xml:space="preserve"> </w:t>
      </w:r>
      <w:r w:rsidRPr="00F25B6E">
        <w:rPr>
          <w:sz w:val="24"/>
          <w:szCs w:val="24"/>
          <w:lang w:val="sr-Cyrl-CS" w:eastAsia="de-DE"/>
        </w:rPr>
        <w:tab/>
        <w:t>Уставни основ за доношење овог закона садржан је у члану 99. став 1. тачка 4. Устава Републике Србије према коме Народна скупштина потврђује међународне уговоре када је законом предвиђена обавеза њиховог потврђивања.</w:t>
      </w:r>
    </w:p>
    <w:p w:rsidR="0084743D" w:rsidRPr="00F25B6E" w:rsidRDefault="0084743D" w:rsidP="0084743D">
      <w:pPr>
        <w:spacing w:line="312" w:lineRule="exact"/>
        <w:rPr>
          <w:sz w:val="24"/>
          <w:szCs w:val="24"/>
          <w:highlight w:val="yellow"/>
          <w:lang w:val="sr-Cyrl-CS" w:eastAsia="de-DE"/>
        </w:rPr>
      </w:pPr>
      <w:r w:rsidRPr="00F25B6E">
        <w:rPr>
          <w:sz w:val="24"/>
          <w:szCs w:val="24"/>
          <w:highlight w:val="yellow"/>
          <w:lang w:val="sr-Cyrl-CS" w:eastAsia="de-DE"/>
        </w:rPr>
        <w:t xml:space="preserve"> </w:t>
      </w:r>
    </w:p>
    <w:p w:rsidR="0084743D" w:rsidRPr="00F25B6E" w:rsidRDefault="0084743D" w:rsidP="0084743D">
      <w:pPr>
        <w:pStyle w:val="Num3"/>
        <w:rPr>
          <w:lang w:eastAsia="de-DE"/>
        </w:rPr>
      </w:pPr>
      <w:r w:rsidRPr="00F25B6E">
        <w:t>РАЗЛОЗИ ЗА ПОТВРЂИВАЊЕ</w:t>
      </w:r>
      <w:r w:rsidRPr="00F25B6E">
        <w:rPr>
          <w:lang w:eastAsia="de-DE"/>
        </w:rPr>
        <w:t xml:space="preserve"> СПОРАЗУМА</w:t>
      </w:r>
    </w:p>
    <w:p w:rsidR="0084743D" w:rsidRPr="00BC72F9" w:rsidRDefault="0084743D" w:rsidP="0084743D">
      <w:pPr>
        <w:ind w:firstLine="720"/>
        <w:rPr>
          <w:bCs/>
          <w:sz w:val="24"/>
          <w:szCs w:val="24"/>
          <w:lang w:val="en-US" w:eastAsia="en-US"/>
        </w:rPr>
      </w:pPr>
      <w:r w:rsidRPr="00BC72F9">
        <w:rPr>
          <w:bCs/>
          <w:sz w:val="24"/>
          <w:szCs w:val="24"/>
          <w:lang w:val="en-US" w:eastAsia="en-US"/>
        </w:rPr>
        <w:t>Република Србиј</w:t>
      </w:r>
      <w:r>
        <w:rPr>
          <w:bCs/>
          <w:sz w:val="24"/>
          <w:szCs w:val="24"/>
          <w:lang w:eastAsia="en-US"/>
        </w:rPr>
        <w:t>а</w:t>
      </w:r>
      <w:r w:rsidRPr="00BC72F9">
        <w:rPr>
          <w:bCs/>
          <w:sz w:val="24"/>
          <w:szCs w:val="24"/>
          <w:lang w:val="en-US" w:eastAsia="en-US"/>
        </w:rPr>
        <w:t xml:space="preserve"> је усмерена на унапређење законских реформи за решавање питања у погледу транспарентности у јавном сектору и настојa</w:t>
      </w:r>
      <w:r w:rsidRPr="00BC72F9">
        <w:rPr>
          <w:bCs/>
          <w:sz w:val="24"/>
          <w:szCs w:val="24"/>
          <w:lang w:eastAsia="en-US"/>
        </w:rPr>
        <w:t>ња</w:t>
      </w:r>
      <w:r w:rsidRPr="00BC72F9">
        <w:rPr>
          <w:bCs/>
          <w:sz w:val="24"/>
          <w:szCs w:val="24"/>
          <w:lang w:val="en-US" w:eastAsia="en-US"/>
        </w:rPr>
        <w:t xml:space="preserve"> да</w:t>
      </w:r>
      <w:r w:rsidRPr="00BC72F9">
        <w:rPr>
          <w:bCs/>
          <w:sz w:val="24"/>
          <w:szCs w:val="24"/>
          <w:lang w:eastAsia="en-US"/>
        </w:rPr>
        <w:t xml:space="preserve"> се</w:t>
      </w:r>
      <w:r w:rsidRPr="00BC72F9">
        <w:rPr>
          <w:bCs/>
          <w:sz w:val="24"/>
          <w:szCs w:val="24"/>
          <w:lang w:val="en-US" w:eastAsia="en-US"/>
        </w:rPr>
        <w:t xml:space="preserve"> повећа отпорност на будуће шокове и ризике повезане са климатским променама, као и да</w:t>
      </w:r>
      <w:r w:rsidRPr="00BC72F9">
        <w:rPr>
          <w:bCs/>
          <w:sz w:val="24"/>
          <w:szCs w:val="24"/>
          <w:lang w:eastAsia="en-US"/>
        </w:rPr>
        <w:t xml:space="preserve"> се</w:t>
      </w:r>
      <w:r w:rsidRPr="00BC72F9">
        <w:rPr>
          <w:bCs/>
          <w:sz w:val="24"/>
          <w:szCs w:val="24"/>
          <w:lang w:val="en-US" w:eastAsia="en-US"/>
        </w:rPr>
        <w:t xml:space="preserve"> реши </w:t>
      </w:r>
      <w:r w:rsidRPr="00BC72F9">
        <w:rPr>
          <w:bCs/>
          <w:sz w:val="24"/>
          <w:szCs w:val="24"/>
          <w:lang w:eastAsia="en-US"/>
        </w:rPr>
        <w:t>питање</w:t>
      </w:r>
      <w:r w:rsidRPr="00BC72F9">
        <w:rPr>
          <w:bCs/>
          <w:sz w:val="24"/>
          <w:szCs w:val="24"/>
          <w:lang w:val="en-US" w:eastAsia="en-US"/>
        </w:rPr>
        <w:t xml:space="preserve"> загађења ваздуха. </w:t>
      </w:r>
    </w:p>
    <w:p w:rsidR="0084743D" w:rsidRPr="00BC72F9" w:rsidRDefault="0084743D" w:rsidP="0084743D">
      <w:pPr>
        <w:ind w:firstLine="720"/>
        <w:rPr>
          <w:bCs/>
          <w:sz w:val="24"/>
          <w:szCs w:val="24"/>
          <w:lang w:eastAsia="en-US"/>
        </w:rPr>
      </w:pPr>
      <w:r w:rsidRPr="00BC72F9">
        <w:rPr>
          <w:bCs/>
          <w:sz w:val="24"/>
          <w:szCs w:val="24"/>
          <w:lang w:eastAsia="en-US"/>
        </w:rPr>
        <w:t>Законом о буџету Републике Србије за 2021. годину („Службени гласник РС”, бр. 149/20</w:t>
      </w:r>
      <w:r w:rsidRPr="00BC72F9">
        <w:rPr>
          <w:bCs/>
          <w:sz w:val="24"/>
          <w:szCs w:val="24"/>
          <w:lang w:val="sr-Latn-RS" w:eastAsia="en-US"/>
        </w:rPr>
        <w:t xml:space="preserve"> </w:t>
      </w:r>
      <w:r w:rsidRPr="00BC72F9">
        <w:rPr>
          <w:bCs/>
          <w:sz w:val="24"/>
          <w:szCs w:val="24"/>
          <w:lang w:eastAsia="en-US"/>
        </w:rPr>
        <w:t xml:space="preserve">и 40/21) предвиђено је задуживање код Француске агенције за развој до износа од 50.000.000 </w:t>
      </w:r>
      <w:r>
        <w:rPr>
          <w:bCs/>
          <w:sz w:val="24"/>
          <w:szCs w:val="24"/>
          <w:lang w:eastAsia="en-US"/>
        </w:rPr>
        <w:t>евра</w:t>
      </w:r>
      <w:r w:rsidRPr="00BC72F9">
        <w:rPr>
          <w:bCs/>
          <w:sz w:val="24"/>
          <w:szCs w:val="24"/>
          <w:lang w:eastAsia="en-US"/>
        </w:rPr>
        <w:t xml:space="preserve"> за ДПЛ зајам за ефикасност јавног сектора и зелени опоравак, који се односи на Програмски зајам за јавне политике – Урбане средине отпорне на климатске промене, који је предмет овог зак</w:t>
      </w:r>
      <w:r>
        <w:rPr>
          <w:bCs/>
          <w:sz w:val="24"/>
          <w:szCs w:val="24"/>
          <w:lang w:eastAsia="en-US"/>
        </w:rPr>
        <w:t>она</w:t>
      </w:r>
      <w:r w:rsidRPr="00BC72F9">
        <w:rPr>
          <w:bCs/>
          <w:sz w:val="24"/>
          <w:szCs w:val="24"/>
          <w:lang w:eastAsia="en-US"/>
        </w:rPr>
        <w:t xml:space="preserve">, као и задуживање код Међународне банке за обнову и развој у износу до 82.600.000 </w:t>
      </w:r>
      <w:r>
        <w:rPr>
          <w:bCs/>
          <w:sz w:val="24"/>
          <w:szCs w:val="24"/>
          <w:lang w:eastAsia="en-US"/>
        </w:rPr>
        <w:t>евра</w:t>
      </w:r>
      <w:r w:rsidRPr="00BC72F9">
        <w:rPr>
          <w:bCs/>
          <w:sz w:val="24"/>
          <w:szCs w:val="24"/>
          <w:lang w:eastAsia="en-US"/>
        </w:rPr>
        <w:t xml:space="preserve"> за ДПЛ зајам за ефикасност јавног сектора и зелени опоравак.</w:t>
      </w:r>
    </w:p>
    <w:p w:rsidR="0084743D" w:rsidRPr="00BC72F9" w:rsidRDefault="0084743D" w:rsidP="0084743D">
      <w:pPr>
        <w:ind w:firstLine="720"/>
        <w:rPr>
          <w:sz w:val="24"/>
          <w:szCs w:val="24"/>
          <w:lang w:eastAsia="en-US"/>
        </w:rPr>
      </w:pPr>
      <w:r w:rsidRPr="00BC72F9">
        <w:rPr>
          <w:sz w:val="24"/>
          <w:szCs w:val="24"/>
          <w:lang w:eastAsia="en-US"/>
        </w:rPr>
        <w:t>Закључком Владе 05 Број: 48-</w:t>
      </w:r>
      <w:r w:rsidRPr="00BC72F9">
        <w:rPr>
          <w:sz w:val="24"/>
          <w:szCs w:val="24"/>
          <w:lang w:val="sr-Latn-RS" w:eastAsia="en-US"/>
        </w:rPr>
        <w:t>2333</w:t>
      </w:r>
      <w:r w:rsidRPr="00BC72F9">
        <w:rPr>
          <w:sz w:val="24"/>
          <w:szCs w:val="24"/>
          <w:lang w:eastAsia="en-US"/>
        </w:rPr>
        <w:t>/202</w:t>
      </w:r>
      <w:r w:rsidRPr="00BC72F9">
        <w:rPr>
          <w:sz w:val="24"/>
          <w:szCs w:val="24"/>
          <w:lang w:val="sr-Latn-RS" w:eastAsia="en-US"/>
        </w:rPr>
        <w:t>1</w:t>
      </w:r>
      <w:r w:rsidRPr="00BC72F9">
        <w:rPr>
          <w:sz w:val="24"/>
          <w:szCs w:val="24"/>
          <w:lang w:eastAsia="en-US"/>
        </w:rPr>
        <w:t xml:space="preserve"> од 18. марта 2021. године, утврђена је Основа за преговоре са Међународном банком за обнову и развој и Француском агенцијом за развој у вези са одобравањем Програмског зајма за ефик</w:t>
      </w:r>
      <w:r>
        <w:rPr>
          <w:sz w:val="24"/>
          <w:szCs w:val="24"/>
          <w:lang w:eastAsia="en-US"/>
        </w:rPr>
        <w:t>а</w:t>
      </w:r>
      <w:r w:rsidRPr="00BC72F9">
        <w:rPr>
          <w:sz w:val="24"/>
          <w:szCs w:val="24"/>
          <w:lang w:eastAsia="en-US"/>
        </w:rPr>
        <w:t xml:space="preserve">сност јавног сектора и политику развоја са зеленим опоравком ДПЛ и одређен преговарачки тим Републике Србије. </w:t>
      </w:r>
      <w:r>
        <w:rPr>
          <w:sz w:val="24"/>
          <w:szCs w:val="24"/>
          <w:lang w:eastAsia="en-US"/>
        </w:rPr>
        <w:t xml:space="preserve"> </w:t>
      </w:r>
    </w:p>
    <w:p w:rsidR="0084743D" w:rsidRPr="00BC72F9" w:rsidRDefault="0084743D" w:rsidP="0084743D">
      <w:pPr>
        <w:ind w:firstLine="720"/>
        <w:rPr>
          <w:sz w:val="24"/>
          <w:szCs w:val="24"/>
          <w:lang w:eastAsia="en-US"/>
        </w:rPr>
      </w:pPr>
      <w:r w:rsidRPr="000F6048">
        <w:rPr>
          <w:sz w:val="24"/>
          <w:szCs w:val="24"/>
          <w:lang w:eastAsia="en-US"/>
        </w:rPr>
        <w:t>Закључком Владе 05 Број: 48-2900/2021 од 1. априла 2021. године, прихваћен је Извештај са преговора са Међународном банком за обнову и развој у вези са одобравањем Програмског зајма за ефиксност јавног сектора и политику раз</w:t>
      </w:r>
      <w:r>
        <w:rPr>
          <w:sz w:val="24"/>
          <w:szCs w:val="24"/>
          <w:lang w:eastAsia="en-US"/>
        </w:rPr>
        <w:t>воја са зеленим опоравком ДПЛ и</w:t>
      </w:r>
      <w:r w:rsidRPr="000F6048">
        <w:rPr>
          <w:sz w:val="24"/>
          <w:szCs w:val="24"/>
          <w:lang w:eastAsia="en-US"/>
        </w:rPr>
        <w:t xml:space="preserve"> усвојен је Нацрт споразума о зајму између Републике Србије и Међународне банке за обнову и развој.</w:t>
      </w:r>
    </w:p>
    <w:p w:rsidR="0084743D" w:rsidRPr="00BC72F9" w:rsidRDefault="0084743D" w:rsidP="0084743D">
      <w:pPr>
        <w:ind w:firstLine="720"/>
        <w:rPr>
          <w:sz w:val="24"/>
          <w:szCs w:val="24"/>
          <w:lang w:eastAsia="en-US"/>
        </w:rPr>
      </w:pPr>
      <w:r w:rsidRPr="00BC72F9">
        <w:rPr>
          <w:sz w:val="24"/>
          <w:szCs w:val="24"/>
          <w:lang w:eastAsia="en-US"/>
        </w:rPr>
        <w:t xml:space="preserve">Француска агенција за развој (у даљем тексту: АФД), као други развојни партнер уз Међународну банку за обнову и развој, препознаје важност активности у вези са јачањем капацитета за отпорност на климатске промене, што потврђује кроз спремност да обезбеди паралелно финансирање кроз одобрење зајма Републици Србији у износу до 50.000.000 </w:t>
      </w:r>
      <w:r>
        <w:rPr>
          <w:sz w:val="24"/>
          <w:szCs w:val="24"/>
          <w:lang w:eastAsia="en-US"/>
        </w:rPr>
        <w:t>евра</w:t>
      </w:r>
      <w:r w:rsidRPr="00BC72F9">
        <w:rPr>
          <w:sz w:val="24"/>
          <w:szCs w:val="24"/>
          <w:lang w:eastAsia="en-US"/>
        </w:rPr>
        <w:t>, за спровођење реформи у оквиру Програма усмерених на зелени опоравак кроз Програмски зајам за јавне политике – Урбане средине отпорне на климатске промене (у даљем тексту: Програм).</w:t>
      </w:r>
    </w:p>
    <w:p w:rsidR="0084743D" w:rsidRPr="00BC72F9" w:rsidRDefault="0084743D" w:rsidP="0084743D">
      <w:pPr>
        <w:ind w:firstLine="720"/>
        <w:rPr>
          <w:sz w:val="24"/>
          <w:szCs w:val="24"/>
          <w:lang w:eastAsia="en-US"/>
        </w:rPr>
      </w:pPr>
      <w:r w:rsidRPr="00BC72F9">
        <w:rPr>
          <w:sz w:val="24"/>
          <w:szCs w:val="24"/>
          <w:lang w:eastAsia="en-US"/>
        </w:rPr>
        <w:t>На преговорима, вођеним 29. марта 2021. године, стране су путем аудио-видео комуникације са Дирекцијом АФД у Паризу и канцеларијом АФД у Београду договориле услове и начин коришћења зајма у износу од 50.000.000 евра и усагласиле одредбе Уговора о кредиту.</w:t>
      </w:r>
    </w:p>
    <w:p w:rsidR="0084743D" w:rsidRDefault="0084743D" w:rsidP="0084743D">
      <w:pPr>
        <w:ind w:firstLine="720"/>
        <w:rPr>
          <w:sz w:val="24"/>
          <w:szCs w:val="24"/>
          <w:lang w:eastAsia="en-US"/>
        </w:rPr>
      </w:pPr>
      <w:r w:rsidRPr="00BC72F9">
        <w:rPr>
          <w:sz w:val="24"/>
          <w:szCs w:val="24"/>
          <w:lang w:eastAsia="en-US"/>
        </w:rPr>
        <w:t>Такође, на преговорима је усаглашена и Табела праћења резултата у складу са планом имплeмeнтaциje испуњавања постављених циљева реформског програма Републике Србије, кроз пoкaзaтeље остварених рeзултaтa Програма, које ће спроводити Министарство заштите животне средине, као надлежно министарство за спровођење Програма. На преговорима су учесвовали и представници Министарства грађевинарства, саобраћаја и инфраструктуре, које ће, поред Министарства заштите животне средине такође, имати битну улогу у спровођењу Програма.</w:t>
      </w:r>
    </w:p>
    <w:p w:rsidR="0084743D" w:rsidRPr="00F56767" w:rsidRDefault="0084743D" w:rsidP="0084743D">
      <w:pPr>
        <w:ind w:firstLine="720"/>
        <w:rPr>
          <w:sz w:val="24"/>
          <w:szCs w:val="24"/>
          <w:lang w:eastAsia="en-US"/>
        </w:rPr>
      </w:pPr>
      <w:r w:rsidRPr="000F6048">
        <w:rPr>
          <w:sz w:val="24"/>
          <w:szCs w:val="24"/>
          <w:lang w:eastAsia="en-US"/>
        </w:rPr>
        <w:t>Закључком Владе 05 Број: 48-</w:t>
      </w:r>
      <w:r>
        <w:rPr>
          <w:sz w:val="24"/>
          <w:szCs w:val="24"/>
          <w:lang w:eastAsia="en-US"/>
        </w:rPr>
        <w:t>4069</w:t>
      </w:r>
      <w:r w:rsidRPr="000F6048">
        <w:rPr>
          <w:sz w:val="24"/>
          <w:szCs w:val="24"/>
          <w:lang w:eastAsia="en-US"/>
        </w:rPr>
        <w:t>/2021</w:t>
      </w:r>
      <w:r>
        <w:rPr>
          <w:sz w:val="24"/>
          <w:szCs w:val="24"/>
          <w:lang w:eastAsia="en-US"/>
        </w:rPr>
        <w:t>-1</w:t>
      </w:r>
      <w:r w:rsidRPr="000F6048">
        <w:rPr>
          <w:sz w:val="24"/>
          <w:szCs w:val="24"/>
          <w:lang w:eastAsia="en-US"/>
        </w:rPr>
        <w:t xml:space="preserve"> од </w:t>
      </w:r>
      <w:r>
        <w:rPr>
          <w:sz w:val="24"/>
          <w:szCs w:val="24"/>
          <w:lang w:eastAsia="en-US"/>
        </w:rPr>
        <w:t>6</w:t>
      </w:r>
      <w:r w:rsidRPr="000F6048">
        <w:rPr>
          <w:sz w:val="24"/>
          <w:szCs w:val="24"/>
          <w:lang w:eastAsia="en-US"/>
        </w:rPr>
        <w:t xml:space="preserve">. </w:t>
      </w:r>
      <w:r>
        <w:rPr>
          <w:sz w:val="24"/>
          <w:szCs w:val="24"/>
          <w:lang w:eastAsia="en-US"/>
        </w:rPr>
        <w:t>маја</w:t>
      </w:r>
      <w:r w:rsidRPr="000F6048">
        <w:rPr>
          <w:sz w:val="24"/>
          <w:szCs w:val="24"/>
          <w:lang w:eastAsia="en-US"/>
        </w:rPr>
        <w:t xml:space="preserve"> 2021. године, прихваћен је Извештај са преговора са </w:t>
      </w:r>
      <w:r>
        <w:rPr>
          <w:sz w:val="24"/>
          <w:szCs w:val="24"/>
          <w:lang w:eastAsia="en-US"/>
        </w:rPr>
        <w:t>Француском агенцијом за развој</w:t>
      </w:r>
      <w:r w:rsidRPr="000F6048">
        <w:rPr>
          <w:sz w:val="24"/>
          <w:szCs w:val="24"/>
          <w:lang w:eastAsia="en-US"/>
        </w:rPr>
        <w:t xml:space="preserve"> у вези са </w:t>
      </w:r>
      <w:r>
        <w:rPr>
          <w:sz w:val="24"/>
          <w:szCs w:val="24"/>
          <w:lang w:eastAsia="en-US"/>
        </w:rPr>
        <w:t>одобравањем Програмског зајма</w:t>
      </w:r>
      <w:r w:rsidRPr="000F6048">
        <w:rPr>
          <w:sz w:val="24"/>
          <w:szCs w:val="24"/>
          <w:lang w:eastAsia="en-US"/>
        </w:rPr>
        <w:t xml:space="preserve"> </w:t>
      </w:r>
      <w:r>
        <w:rPr>
          <w:sz w:val="24"/>
          <w:szCs w:val="24"/>
          <w:lang w:eastAsia="en-US"/>
        </w:rPr>
        <w:t>за јавне политике – Урбане средине отпорне на климатске промене, усвојен</w:t>
      </w:r>
      <w:r w:rsidRPr="000F6048">
        <w:rPr>
          <w:sz w:val="24"/>
          <w:szCs w:val="24"/>
          <w:lang w:eastAsia="en-US"/>
        </w:rPr>
        <w:t xml:space="preserve"> Нацрт </w:t>
      </w:r>
      <w:r>
        <w:rPr>
          <w:sz w:val="24"/>
          <w:szCs w:val="24"/>
          <w:lang w:eastAsia="en-US"/>
        </w:rPr>
        <w:t xml:space="preserve">уговора о кредиту бр. </w:t>
      </w:r>
      <w:r>
        <w:rPr>
          <w:sz w:val="24"/>
          <w:szCs w:val="24"/>
          <w:lang w:val="sr-Latn-RS" w:eastAsia="en-US"/>
        </w:rPr>
        <w:t xml:space="preserve">CRS </w:t>
      </w:r>
      <w:r>
        <w:rPr>
          <w:sz w:val="24"/>
          <w:szCs w:val="24"/>
          <w:lang w:eastAsia="en-US"/>
        </w:rPr>
        <w:t xml:space="preserve">1020 01 </w:t>
      </w:r>
      <w:r>
        <w:rPr>
          <w:sz w:val="24"/>
          <w:szCs w:val="24"/>
          <w:lang w:val="sr-Latn-RS" w:eastAsia="en-US"/>
        </w:rPr>
        <w:t>Y</w:t>
      </w:r>
      <w:r w:rsidRPr="000F6048">
        <w:rPr>
          <w:sz w:val="24"/>
          <w:szCs w:val="24"/>
          <w:lang w:eastAsia="en-US"/>
        </w:rPr>
        <w:t xml:space="preserve"> између Републике Србије и Међународне банке за обнову и развој</w:t>
      </w:r>
      <w:r>
        <w:rPr>
          <w:sz w:val="24"/>
          <w:szCs w:val="24"/>
          <w:lang w:val="sr-Latn-RS" w:eastAsia="en-US"/>
        </w:rPr>
        <w:t xml:space="preserve"> </w:t>
      </w:r>
      <w:r>
        <w:rPr>
          <w:sz w:val="24"/>
          <w:szCs w:val="24"/>
          <w:lang w:eastAsia="en-US"/>
        </w:rPr>
        <w:t>и овлашћен Синиша Мали, министар финансија да исти потпише</w:t>
      </w:r>
      <w:r w:rsidRPr="000F6048">
        <w:rPr>
          <w:sz w:val="24"/>
          <w:szCs w:val="24"/>
          <w:lang w:eastAsia="en-US"/>
        </w:rPr>
        <w:t>.</w:t>
      </w:r>
    </w:p>
    <w:p w:rsidR="0084743D" w:rsidRPr="00BC72F9" w:rsidRDefault="0084743D" w:rsidP="0084743D">
      <w:pPr>
        <w:ind w:firstLine="720"/>
        <w:rPr>
          <w:sz w:val="24"/>
          <w:szCs w:val="24"/>
          <w:lang w:eastAsia="en-US"/>
        </w:rPr>
      </w:pPr>
      <w:r w:rsidRPr="00BC72F9">
        <w:rPr>
          <w:sz w:val="24"/>
          <w:szCs w:val="24"/>
          <w:lang w:eastAsia="en-US"/>
        </w:rPr>
        <w:t>Кредит ће бити повучен у једној транши, односно целокупна средства ће бити предмет једног повлачења. Средства кредита ће бити коришћена у виду буџетске подршке, како би се промовис</w:t>
      </w:r>
      <w:r>
        <w:rPr>
          <w:sz w:val="24"/>
          <w:szCs w:val="24"/>
          <w:lang w:eastAsia="en-US"/>
        </w:rPr>
        <w:t>але реформе везане за управљање</w:t>
      </w:r>
      <w:r w:rsidRPr="00BC72F9">
        <w:rPr>
          <w:sz w:val="24"/>
          <w:szCs w:val="24"/>
          <w:lang w:eastAsia="en-US"/>
        </w:rPr>
        <w:t xml:space="preserve"> заштите животне средине. Услов за коришћење кредита је усвајање Закона о климатским променама, што је постигнуто доношењем Закона о климатским променама, 18. марта 2021 и његовим објављивањем у „Слу</w:t>
      </w:r>
      <w:r>
        <w:rPr>
          <w:sz w:val="24"/>
          <w:szCs w:val="24"/>
          <w:lang w:eastAsia="en-US"/>
        </w:rPr>
        <w:t>жбеном гласнику РС”, број 26/</w:t>
      </w:r>
      <w:r w:rsidRPr="00BC72F9">
        <w:rPr>
          <w:sz w:val="24"/>
          <w:szCs w:val="24"/>
          <w:lang w:eastAsia="en-US"/>
        </w:rPr>
        <w:t xml:space="preserve">21 од 23. марта 2021. године. Наведени закон ступио је на снагу 31. марта 2021. године, што је у складу са одредбама Уговора о кредит и услов (Претходна акција) за стављање средстава зајма на располагање. </w:t>
      </w:r>
    </w:p>
    <w:p w:rsidR="0084743D" w:rsidRPr="00BC72F9" w:rsidRDefault="0084743D" w:rsidP="0084743D">
      <w:pPr>
        <w:ind w:firstLine="720"/>
        <w:rPr>
          <w:sz w:val="24"/>
          <w:szCs w:val="24"/>
          <w:lang w:eastAsia="en-US"/>
        </w:rPr>
      </w:pPr>
      <w:r w:rsidRPr="00BC72F9">
        <w:rPr>
          <w:sz w:val="24"/>
          <w:szCs w:val="24"/>
          <w:lang w:eastAsia="en-US"/>
        </w:rPr>
        <w:t xml:space="preserve">Саставни део Програма је и грант у износу од 500.000 </w:t>
      </w:r>
      <w:r>
        <w:rPr>
          <w:sz w:val="24"/>
          <w:szCs w:val="24"/>
          <w:lang w:eastAsia="en-US"/>
        </w:rPr>
        <w:t>евра</w:t>
      </w:r>
      <w:r w:rsidRPr="00BC72F9">
        <w:rPr>
          <w:sz w:val="24"/>
          <w:szCs w:val="24"/>
          <w:lang w:eastAsia="en-US"/>
        </w:rPr>
        <w:t xml:space="preserve"> за потребе техничк</w:t>
      </w:r>
      <w:r>
        <w:rPr>
          <w:sz w:val="24"/>
          <w:szCs w:val="24"/>
          <w:lang w:eastAsia="en-US"/>
        </w:rPr>
        <w:t>е подршке Влади</w:t>
      </w:r>
      <w:r w:rsidRPr="00BC72F9">
        <w:rPr>
          <w:sz w:val="24"/>
          <w:szCs w:val="24"/>
          <w:lang w:eastAsia="en-US"/>
        </w:rPr>
        <w:t>, како би се остварили индикатори у складу са матрицом Програма.</w:t>
      </w:r>
    </w:p>
    <w:p w:rsidR="0084743D" w:rsidRPr="00BC72F9" w:rsidRDefault="0084743D" w:rsidP="0084743D">
      <w:pPr>
        <w:ind w:firstLine="720"/>
        <w:rPr>
          <w:sz w:val="24"/>
          <w:szCs w:val="24"/>
          <w:lang w:eastAsia="en-US"/>
        </w:rPr>
      </w:pPr>
      <w:r w:rsidRPr="00BC72F9">
        <w:rPr>
          <w:sz w:val="24"/>
          <w:szCs w:val="24"/>
          <w:lang w:eastAsia="en-US"/>
        </w:rPr>
        <w:t>У складу са политиком АФД, приступна накнада не представља квалификовани трошак за финансирање, и са тим у вези није могуће финансирање из кредита, тако да је договорено је да Зајморимац из сопствених средстава плати приступну накнаду, која се обрачунава по стопи од 0,25% на укупну главницу и износи 125.000 евра.</w:t>
      </w:r>
    </w:p>
    <w:p w:rsidR="0084743D" w:rsidRPr="00BC72F9" w:rsidRDefault="0084743D" w:rsidP="0084743D">
      <w:pPr>
        <w:ind w:firstLine="720"/>
        <w:rPr>
          <w:sz w:val="24"/>
          <w:szCs w:val="24"/>
          <w:lang w:eastAsia="en-US"/>
        </w:rPr>
      </w:pPr>
      <w:r w:rsidRPr="00BC72F9">
        <w:rPr>
          <w:sz w:val="24"/>
          <w:szCs w:val="24"/>
          <w:lang w:eastAsia="en-US"/>
        </w:rPr>
        <w:t xml:space="preserve">Током преговора су дефинисани финансијски услови и начин на који ће се средства овог кредита користити и отплаћивати: </w:t>
      </w:r>
    </w:p>
    <w:p w:rsidR="0084743D" w:rsidRPr="00BC72F9" w:rsidRDefault="0084743D" w:rsidP="0084743D">
      <w:pPr>
        <w:ind w:firstLine="720"/>
        <w:rPr>
          <w:sz w:val="24"/>
          <w:szCs w:val="24"/>
          <w:lang w:eastAsia="en-US"/>
        </w:rPr>
      </w:pPr>
      <w:r w:rsidRPr="00BC72F9">
        <w:rPr>
          <w:sz w:val="24"/>
          <w:szCs w:val="24"/>
          <w:lang w:eastAsia="en-US"/>
        </w:rPr>
        <w:t>-</w:t>
      </w:r>
      <w:r w:rsidRPr="00BC72F9">
        <w:rPr>
          <w:sz w:val="24"/>
          <w:szCs w:val="24"/>
          <w:lang w:eastAsia="en-US"/>
        </w:rPr>
        <w:tab/>
        <w:t>директно задужење Републике Србије: 50.000.000 евра;</w:t>
      </w:r>
    </w:p>
    <w:p w:rsidR="0084743D" w:rsidRPr="00BC72F9" w:rsidRDefault="0084743D" w:rsidP="0084743D">
      <w:pPr>
        <w:ind w:firstLine="720"/>
        <w:rPr>
          <w:sz w:val="24"/>
          <w:szCs w:val="24"/>
          <w:lang w:eastAsia="en-US"/>
        </w:rPr>
      </w:pPr>
      <w:r w:rsidRPr="00BC72F9">
        <w:rPr>
          <w:sz w:val="24"/>
          <w:szCs w:val="24"/>
          <w:lang w:eastAsia="en-US"/>
        </w:rPr>
        <w:t>-</w:t>
      </w:r>
      <w:r w:rsidRPr="00BC72F9">
        <w:rPr>
          <w:sz w:val="24"/>
          <w:szCs w:val="24"/>
          <w:lang w:eastAsia="en-US"/>
        </w:rPr>
        <w:tab/>
        <w:t>полугодишња отплата кредита, 15. јуна и 15. децембра сваке године;</w:t>
      </w:r>
    </w:p>
    <w:p w:rsidR="0084743D" w:rsidRPr="00BC72F9" w:rsidRDefault="0084743D" w:rsidP="0084743D">
      <w:pPr>
        <w:ind w:firstLine="720"/>
        <w:rPr>
          <w:sz w:val="24"/>
          <w:szCs w:val="24"/>
          <w:lang w:eastAsia="en-US"/>
        </w:rPr>
      </w:pPr>
      <w:r w:rsidRPr="00BC72F9">
        <w:rPr>
          <w:sz w:val="24"/>
          <w:szCs w:val="24"/>
          <w:lang w:eastAsia="en-US"/>
        </w:rPr>
        <w:t>-</w:t>
      </w:r>
      <w:r w:rsidRPr="00BC72F9">
        <w:rPr>
          <w:sz w:val="24"/>
          <w:szCs w:val="24"/>
          <w:lang w:eastAsia="en-US"/>
        </w:rPr>
        <w:tab/>
        <w:t xml:space="preserve">рок доспећа: 12 година, укључујући период почека од </w:t>
      </w:r>
      <w:r>
        <w:rPr>
          <w:sz w:val="24"/>
          <w:szCs w:val="24"/>
          <w:lang w:eastAsia="en-US"/>
        </w:rPr>
        <w:t>три</w:t>
      </w:r>
      <w:r w:rsidRPr="00BC72F9">
        <w:rPr>
          <w:sz w:val="24"/>
          <w:szCs w:val="24"/>
          <w:lang w:eastAsia="en-US"/>
        </w:rPr>
        <w:t xml:space="preserve"> година, уз отплату главнице у 18 једнаких полугодишњих рата, од којих прва доспева 15. децембра 2024. године, а последња 15. јуна 2033. године;</w:t>
      </w:r>
    </w:p>
    <w:p w:rsidR="0084743D" w:rsidRPr="00BC72F9" w:rsidRDefault="0084743D" w:rsidP="0084743D">
      <w:pPr>
        <w:ind w:firstLine="720"/>
        <w:rPr>
          <w:sz w:val="24"/>
          <w:szCs w:val="24"/>
          <w:lang w:eastAsia="en-US"/>
        </w:rPr>
      </w:pPr>
      <w:r w:rsidRPr="00BC72F9">
        <w:rPr>
          <w:sz w:val="24"/>
          <w:szCs w:val="24"/>
          <w:lang w:eastAsia="en-US"/>
        </w:rPr>
        <w:t>-</w:t>
      </w:r>
      <w:r w:rsidRPr="00BC72F9">
        <w:rPr>
          <w:sz w:val="24"/>
          <w:szCs w:val="24"/>
          <w:lang w:eastAsia="en-US"/>
        </w:rPr>
        <w:tab/>
        <w:t>приступна накнада: 0,25% на укупну главницу (125.000 евра) и плаћа се из средстава Зајмопримца пре повлачења, анајкасније 180 дана од Датума потписивања;</w:t>
      </w:r>
    </w:p>
    <w:p w:rsidR="0084743D" w:rsidRPr="00BC72F9" w:rsidRDefault="0084743D" w:rsidP="0084743D">
      <w:pPr>
        <w:ind w:firstLine="720"/>
        <w:rPr>
          <w:sz w:val="24"/>
          <w:szCs w:val="24"/>
          <w:lang w:eastAsia="en-US"/>
        </w:rPr>
      </w:pPr>
      <w:r w:rsidRPr="00BC72F9">
        <w:rPr>
          <w:sz w:val="24"/>
          <w:szCs w:val="24"/>
          <w:lang w:eastAsia="en-US"/>
        </w:rPr>
        <w:t>-</w:t>
      </w:r>
      <w:r w:rsidRPr="00BC72F9">
        <w:rPr>
          <w:sz w:val="24"/>
          <w:szCs w:val="24"/>
          <w:lang w:eastAsia="en-US"/>
        </w:rPr>
        <w:tab/>
        <w:t>накнада на неповучена средства износи 0,25% на годишњем нивоу;</w:t>
      </w:r>
    </w:p>
    <w:p w:rsidR="0084743D" w:rsidRPr="00BC72F9" w:rsidRDefault="0084743D" w:rsidP="0084743D">
      <w:pPr>
        <w:ind w:firstLine="720"/>
        <w:rPr>
          <w:sz w:val="24"/>
          <w:szCs w:val="24"/>
          <w:lang w:eastAsia="en-US"/>
        </w:rPr>
      </w:pPr>
      <w:r w:rsidRPr="00BC72F9">
        <w:rPr>
          <w:sz w:val="24"/>
          <w:szCs w:val="24"/>
          <w:lang w:eastAsia="en-US"/>
        </w:rPr>
        <w:t>-</w:t>
      </w:r>
      <w:r w:rsidRPr="00BC72F9">
        <w:rPr>
          <w:sz w:val="24"/>
          <w:szCs w:val="24"/>
          <w:lang w:eastAsia="en-US"/>
        </w:rPr>
        <w:tab/>
        <w:t>каматна стопа: За свако повлачење средстава, Зајмопримац може одабрати фиксну каматну стопу или варијабилну каматну стопу. Варијабилна каматна стопа (шестомесечни EURIBOR + фиксна маржа која тренутно износи 0,80% за кредите ове рочности у евро валути), примењиваће се на износ дефинисан у релевантном Захтеву за повлачење средстава. Каматна стопа утврђена у складу са чланом 4.1.1 Уговора (Одабир каматне стопе), без обзира на изабрану опцију, неће бити мања од једне четвртине процента (0,25%) на годишњем нивоу, без обзира на било какав пад каматне стопе.</w:t>
      </w:r>
    </w:p>
    <w:p w:rsidR="0084743D" w:rsidRDefault="0084743D" w:rsidP="0084743D">
      <w:pPr>
        <w:ind w:firstLine="720"/>
        <w:rPr>
          <w:sz w:val="24"/>
          <w:szCs w:val="24"/>
          <w:lang w:eastAsia="en-US"/>
        </w:rPr>
      </w:pPr>
      <w:r w:rsidRPr="00BC72F9">
        <w:rPr>
          <w:sz w:val="24"/>
          <w:szCs w:val="24"/>
          <w:lang w:eastAsia="en-US"/>
        </w:rPr>
        <w:t>-</w:t>
      </w:r>
      <w:r w:rsidRPr="00BC72F9">
        <w:rPr>
          <w:sz w:val="24"/>
          <w:szCs w:val="24"/>
          <w:lang w:eastAsia="en-US"/>
        </w:rPr>
        <w:tab/>
        <w:t>рок расположивости зајма: средства зајма се могу повлачити до 31. јануара 2022. године.</w:t>
      </w:r>
    </w:p>
    <w:p w:rsidR="0084743D" w:rsidRDefault="0084743D" w:rsidP="0084743D">
      <w:pPr>
        <w:ind w:firstLine="720"/>
        <w:rPr>
          <w:sz w:val="24"/>
          <w:szCs w:val="24"/>
          <w:lang w:eastAsia="en-US"/>
        </w:rPr>
      </w:pPr>
    </w:p>
    <w:p w:rsidR="0084743D" w:rsidRDefault="0084743D" w:rsidP="0084743D">
      <w:pPr>
        <w:ind w:firstLine="720"/>
        <w:rPr>
          <w:sz w:val="24"/>
          <w:szCs w:val="24"/>
          <w:lang w:eastAsia="en-US"/>
        </w:rPr>
      </w:pPr>
    </w:p>
    <w:p w:rsidR="0084743D" w:rsidRDefault="0084743D" w:rsidP="0084743D">
      <w:pPr>
        <w:ind w:firstLine="720"/>
        <w:rPr>
          <w:sz w:val="24"/>
          <w:szCs w:val="24"/>
          <w:lang w:eastAsia="en-US"/>
        </w:rPr>
      </w:pPr>
    </w:p>
    <w:p w:rsidR="0084743D" w:rsidRPr="00BC72F9" w:rsidRDefault="0084743D" w:rsidP="0084743D">
      <w:pPr>
        <w:ind w:firstLine="720"/>
        <w:rPr>
          <w:sz w:val="24"/>
          <w:szCs w:val="24"/>
          <w:lang w:eastAsia="en-US"/>
        </w:rPr>
      </w:pPr>
    </w:p>
    <w:p w:rsidR="0084743D" w:rsidRPr="00F25B6E" w:rsidRDefault="0084743D" w:rsidP="0084743D">
      <w:pPr>
        <w:spacing w:line="312" w:lineRule="exact"/>
        <w:ind w:firstLine="630"/>
        <w:rPr>
          <w:sz w:val="24"/>
          <w:szCs w:val="24"/>
          <w:lang w:val="sr-Cyrl-CS" w:eastAsia="en-US"/>
        </w:rPr>
      </w:pPr>
    </w:p>
    <w:p w:rsidR="0084743D" w:rsidRPr="00F25B6E" w:rsidRDefault="0084743D" w:rsidP="0084743D">
      <w:pPr>
        <w:tabs>
          <w:tab w:val="left" w:pos="1134"/>
        </w:tabs>
        <w:rPr>
          <w:sz w:val="24"/>
          <w:szCs w:val="24"/>
          <w:lang w:val="sr-Cyrl-CS" w:eastAsia="de-DE"/>
        </w:rPr>
      </w:pPr>
      <w:r w:rsidRPr="00F25B6E">
        <w:rPr>
          <w:bCs/>
          <w:sz w:val="24"/>
          <w:szCs w:val="24"/>
          <w:lang w:val="sr-Cyrl-CS" w:eastAsia="de-DE"/>
        </w:rPr>
        <w:t xml:space="preserve">III. </w:t>
      </w:r>
      <w:r w:rsidRPr="00F25B6E">
        <w:rPr>
          <w:bCs/>
          <w:sz w:val="24"/>
          <w:szCs w:val="24"/>
          <w:lang w:val="sr-Cyrl-CS" w:eastAsia="de-DE"/>
        </w:rPr>
        <w:tab/>
        <w:t>ОБЈАШЊЕЊЕ ОСНОВНИХ ПРАВНИХ ИНСТИТУТА И ПОЈЕДИНАЧНИХ РЕШЕЊА</w:t>
      </w:r>
    </w:p>
    <w:p w:rsidR="0084743D" w:rsidRPr="00F25B6E" w:rsidRDefault="0084743D" w:rsidP="0084743D">
      <w:pPr>
        <w:spacing w:line="312" w:lineRule="exact"/>
        <w:rPr>
          <w:sz w:val="24"/>
          <w:szCs w:val="24"/>
          <w:highlight w:val="yellow"/>
          <w:lang w:val="sr-Cyrl-CS" w:eastAsia="de-DE"/>
        </w:rPr>
      </w:pPr>
    </w:p>
    <w:p w:rsidR="0084743D" w:rsidRPr="002C0F4E" w:rsidRDefault="0084743D" w:rsidP="0084743D">
      <w:pPr>
        <w:ind w:firstLine="720"/>
        <w:rPr>
          <w:sz w:val="24"/>
          <w:szCs w:val="24"/>
          <w:lang w:val="sr-Cyrl-CS" w:eastAsia="de-DE"/>
        </w:rPr>
      </w:pPr>
      <w:r w:rsidRPr="00F25B6E">
        <w:rPr>
          <w:sz w:val="24"/>
          <w:szCs w:val="24"/>
          <w:lang w:val="sr-Cyrl-CS" w:eastAsia="de-DE"/>
        </w:rPr>
        <w:t xml:space="preserve">Одредбом члана 1. овог закона предвиђа се потврђивање </w:t>
      </w:r>
      <w:r w:rsidRPr="002C0F4E">
        <w:rPr>
          <w:sz w:val="24"/>
          <w:szCs w:val="24"/>
          <w:lang w:val="sr-Cyrl-CS" w:eastAsia="en-US"/>
        </w:rPr>
        <w:t xml:space="preserve">Уговора о кредиту бр. </w:t>
      </w:r>
      <w:r w:rsidRPr="002C0F4E">
        <w:rPr>
          <w:sz w:val="24"/>
          <w:szCs w:val="24"/>
          <w:lang w:val="en-US" w:eastAsia="en-US"/>
        </w:rPr>
        <w:t xml:space="preserve">CRS 1020 01 Y </w:t>
      </w:r>
      <w:r w:rsidRPr="002C0F4E">
        <w:rPr>
          <w:sz w:val="24"/>
          <w:szCs w:val="24"/>
          <w:lang w:val="sr-Cyrl-CS" w:eastAsia="en-US"/>
        </w:rPr>
        <w:t>између Француске агенције за развој и Републике Србије</w:t>
      </w:r>
      <w:r w:rsidRPr="002C0F4E">
        <w:rPr>
          <w:sz w:val="24"/>
          <w:lang w:val="sr-Cyrl-CS" w:eastAsia="en-US"/>
        </w:rPr>
        <w:t>, за реализацију Програма урбане средине отпорне на климатске промене</w:t>
      </w:r>
      <w:r>
        <w:rPr>
          <w:sz w:val="24"/>
          <w:lang w:val="sr-Cyrl-CS" w:eastAsia="en-US"/>
        </w:rPr>
        <w:t>,</w:t>
      </w:r>
      <w:r w:rsidRPr="002C0F4E">
        <w:rPr>
          <w:sz w:val="24"/>
          <w:lang w:val="sr-Cyrl-CS" w:eastAsia="en-US"/>
        </w:rPr>
        <w:t xml:space="preserve"> који је потписан у Београду </w:t>
      </w:r>
      <w:r w:rsidRPr="002C0F4E">
        <w:rPr>
          <w:sz w:val="24"/>
          <w:lang w:val="sr-Latn-RS" w:eastAsia="en-US"/>
        </w:rPr>
        <w:t>10</w:t>
      </w:r>
      <w:r w:rsidRPr="002C0F4E">
        <w:rPr>
          <w:sz w:val="24"/>
          <w:lang w:val="sr-Cyrl-CS" w:eastAsia="en-US"/>
        </w:rPr>
        <w:t xml:space="preserve">. </w:t>
      </w:r>
      <w:r w:rsidRPr="002C0F4E">
        <w:rPr>
          <w:sz w:val="24"/>
          <w:lang w:eastAsia="en-US"/>
        </w:rPr>
        <w:t>маја</w:t>
      </w:r>
      <w:r w:rsidRPr="002C0F4E">
        <w:rPr>
          <w:sz w:val="24"/>
          <w:lang w:val="sr-Cyrl-CS" w:eastAsia="en-US"/>
        </w:rPr>
        <w:t xml:space="preserve"> 2021. године (у даљем тексту:</w:t>
      </w:r>
      <w:r w:rsidRPr="002C0F4E">
        <w:rPr>
          <w:sz w:val="24"/>
          <w:szCs w:val="24"/>
          <w:lang w:val="sr-Cyrl-CS" w:eastAsia="en-US"/>
        </w:rPr>
        <w:t xml:space="preserve"> Уговор о кредиту)</w:t>
      </w:r>
      <w:r w:rsidRPr="002C0F4E">
        <w:rPr>
          <w:sz w:val="24"/>
          <w:szCs w:val="24"/>
          <w:lang w:val="sr-Cyrl-CS" w:eastAsia="de-DE"/>
        </w:rPr>
        <w:t xml:space="preserve">.    </w:t>
      </w:r>
    </w:p>
    <w:p w:rsidR="0084743D" w:rsidRPr="00F25B6E" w:rsidRDefault="0084743D" w:rsidP="0084743D">
      <w:pPr>
        <w:ind w:firstLine="720"/>
        <w:rPr>
          <w:sz w:val="24"/>
          <w:szCs w:val="24"/>
          <w:lang w:val="sr-Cyrl-CS" w:eastAsia="de-DE"/>
        </w:rPr>
      </w:pPr>
      <w:r w:rsidRPr="002C0F4E">
        <w:rPr>
          <w:sz w:val="24"/>
          <w:szCs w:val="24"/>
          <w:lang w:val="sr-Cyrl-CS" w:eastAsia="de-DE"/>
        </w:rPr>
        <w:t xml:space="preserve">Одредба члана 2. овог закона садржи текст </w:t>
      </w:r>
      <w:r w:rsidRPr="002C0F4E">
        <w:rPr>
          <w:sz w:val="24"/>
          <w:szCs w:val="24"/>
          <w:lang w:val="sr-Cyrl-CS" w:eastAsia="en-US"/>
        </w:rPr>
        <w:t>Уговора о кредиту</w:t>
      </w:r>
      <w:r>
        <w:rPr>
          <w:sz w:val="24"/>
          <w:szCs w:val="24"/>
          <w:lang w:val="sr-Cyrl-CS" w:eastAsia="en-US"/>
        </w:rPr>
        <w:t>,</w:t>
      </w:r>
      <w:r w:rsidRPr="002C0F4E">
        <w:rPr>
          <w:sz w:val="24"/>
          <w:szCs w:val="24"/>
          <w:lang w:val="sr-Cyrl-CS" w:eastAsia="en-US"/>
        </w:rPr>
        <w:t xml:space="preserve"> </w:t>
      </w:r>
      <w:r w:rsidRPr="002C0F4E">
        <w:rPr>
          <w:sz w:val="24"/>
          <w:szCs w:val="24"/>
          <w:lang w:val="sr-Cyrl-CS" w:eastAsia="de-DE"/>
        </w:rPr>
        <w:t>у оригиналу на</w:t>
      </w:r>
      <w:r w:rsidRPr="00F25B6E">
        <w:rPr>
          <w:sz w:val="24"/>
          <w:szCs w:val="24"/>
          <w:lang w:val="sr-Cyrl-CS" w:eastAsia="de-DE"/>
        </w:rPr>
        <w:t xml:space="preserve"> енглеском језику и у преводу на српски језик. </w:t>
      </w:r>
    </w:p>
    <w:p w:rsidR="0084743D" w:rsidRPr="00F25B6E" w:rsidRDefault="0084743D" w:rsidP="0084743D">
      <w:pPr>
        <w:ind w:firstLine="720"/>
        <w:rPr>
          <w:sz w:val="24"/>
          <w:szCs w:val="24"/>
          <w:lang w:val="sr-Cyrl-CS" w:eastAsia="de-DE"/>
        </w:rPr>
      </w:pPr>
      <w:r w:rsidRPr="00F25B6E">
        <w:rPr>
          <w:sz w:val="24"/>
          <w:szCs w:val="24"/>
          <w:lang w:val="sr-Cyrl-CS" w:eastAsia="de-DE"/>
        </w:rPr>
        <w:t xml:space="preserve">Одредбом члана 3. уређује се ступање на снагу овог закона.  </w:t>
      </w:r>
    </w:p>
    <w:p w:rsidR="0084743D" w:rsidRPr="00F25B6E" w:rsidRDefault="0084743D" w:rsidP="0084743D">
      <w:pPr>
        <w:spacing w:line="312" w:lineRule="exact"/>
        <w:ind w:firstLine="708"/>
        <w:rPr>
          <w:sz w:val="24"/>
          <w:szCs w:val="24"/>
          <w:lang w:val="sr-Cyrl-CS" w:eastAsia="de-DE"/>
        </w:rPr>
      </w:pPr>
    </w:p>
    <w:p w:rsidR="0084743D" w:rsidRPr="00F25B6E" w:rsidRDefault="0084743D" w:rsidP="0084743D">
      <w:pPr>
        <w:tabs>
          <w:tab w:val="left" w:pos="0"/>
          <w:tab w:val="left" w:pos="570"/>
          <w:tab w:val="left" w:pos="851"/>
          <w:tab w:val="left" w:pos="1150"/>
          <w:tab w:val="left" w:pos="4890"/>
          <w:tab w:val="left" w:pos="6330"/>
        </w:tabs>
        <w:rPr>
          <w:sz w:val="24"/>
          <w:szCs w:val="24"/>
          <w:lang w:val="sr-Cyrl-CS" w:eastAsia="de-DE"/>
        </w:rPr>
      </w:pPr>
      <w:r w:rsidRPr="00F25B6E">
        <w:rPr>
          <w:bCs/>
          <w:sz w:val="24"/>
          <w:szCs w:val="24"/>
          <w:lang w:val="sr-Cyrl-CS" w:eastAsia="de-DE"/>
        </w:rPr>
        <w:t>IV.</w:t>
      </w:r>
      <w:r w:rsidRPr="00F25B6E">
        <w:rPr>
          <w:bCs/>
          <w:sz w:val="24"/>
          <w:szCs w:val="24"/>
          <w:lang w:val="sr-Cyrl-CS" w:eastAsia="de-DE"/>
        </w:rPr>
        <w:tab/>
        <w:t xml:space="preserve"> </w:t>
      </w:r>
      <w:r w:rsidRPr="00F25B6E">
        <w:rPr>
          <w:sz w:val="24"/>
          <w:szCs w:val="24"/>
          <w:lang w:val="sr-Cyrl-CS" w:eastAsia="de-DE"/>
        </w:rPr>
        <w:t xml:space="preserve">ФИНАНСИЈСКЕ ОБАВЕЗЕ И ПРОЦЕНА ФИНАНСИЈСКИХ СРЕДСТАВА КОЈА НАСТАЈУ ИЗВРШАВАЊЕМ ЗАКОНА    </w:t>
      </w:r>
      <w:r w:rsidRPr="00F25B6E">
        <w:rPr>
          <w:sz w:val="24"/>
          <w:szCs w:val="24"/>
          <w:lang w:val="sr-Cyrl-CS" w:eastAsia="de-DE"/>
        </w:rPr>
        <w:tab/>
        <w:t xml:space="preserve"> </w:t>
      </w:r>
    </w:p>
    <w:p w:rsidR="0084743D" w:rsidRPr="00F25B6E" w:rsidRDefault="0084743D" w:rsidP="0084743D">
      <w:pPr>
        <w:spacing w:line="312" w:lineRule="exact"/>
        <w:ind w:firstLine="720"/>
        <w:rPr>
          <w:b/>
          <w:bCs/>
          <w:sz w:val="24"/>
          <w:szCs w:val="24"/>
          <w:lang w:val="sr-Cyrl-CS" w:eastAsia="de-DE"/>
        </w:rPr>
      </w:pPr>
    </w:p>
    <w:p w:rsidR="0084743D" w:rsidRDefault="0084743D" w:rsidP="0084743D">
      <w:pPr>
        <w:spacing w:line="312" w:lineRule="exact"/>
        <w:rPr>
          <w:sz w:val="24"/>
          <w:szCs w:val="24"/>
          <w:lang w:val="sr-Cyrl-CS" w:eastAsia="de-DE"/>
        </w:rPr>
      </w:pPr>
      <w:r w:rsidRPr="00F25B6E">
        <w:rPr>
          <w:sz w:val="24"/>
          <w:szCs w:val="24"/>
          <w:lang w:val="sr-Cyrl-CS" w:eastAsia="de-DE"/>
        </w:rPr>
        <w:t xml:space="preserve"> </w:t>
      </w:r>
      <w:r w:rsidRPr="00F25B6E">
        <w:rPr>
          <w:sz w:val="24"/>
          <w:szCs w:val="24"/>
          <w:lang w:val="sr-Cyrl-CS" w:eastAsia="de-DE"/>
        </w:rPr>
        <w:tab/>
        <w:t xml:space="preserve">За спровођење овог закона обезбеђиваће се средства у буџету Републике Србије. </w:t>
      </w:r>
    </w:p>
    <w:p w:rsidR="0084743D" w:rsidRDefault="0084743D" w:rsidP="0084743D">
      <w:pPr>
        <w:spacing w:line="312" w:lineRule="exact"/>
        <w:rPr>
          <w:sz w:val="24"/>
          <w:szCs w:val="24"/>
          <w:lang w:val="sr-Cyrl-CS" w:eastAsia="de-DE"/>
        </w:rPr>
      </w:pPr>
    </w:p>
    <w:p w:rsidR="0084743D" w:rsidRPr="00F25B6E" w:rsidRDefault="0084743D" w:rsidP="0084743D">
      <w:pPr>
        <w:spacing w:line="312" w:lineRule="exact"/>
        <w:rPr>
          <w:sz w:val="24"/>
          <w:szCs w:val="24"/>
          <w:lang w:val="sr-Cyrl-CS" w:eastAsia="de-DE"/>
        </w:rPr>
      </w:pPr>
    </w:p>
    <w:p w:rsidR="0084743D" w:rsidRDefault="0084743D" w:rsidP="0084743D">
      <w:pPr>
        <w:pStyle w:val="BodyText"/>
        <w:rPr>
          <w:sz w:val="24"/>
          <w:szCs w:val="24"/>
          <w:lang w:val="sr-Cyrl-RS" w:eastAsia="de-DE"/>
        </w:rPr>
      </w:pPr>
      <w:r w:rsidRPr="00F25B6E">
        <w:rPr>
          <w:sz w:val="24"/>
          <w:szCs w:val="24"/>
          <w:lang w:val="sr-Cyrl-CS" w:eastAsia="de-DE"/>
        </w:rPr>
        <w:t>V</w:t>
      </w:r>
      <w:r>
        <w:rPr>
          <w:sz w:val="24"/>
          <w:szCs w:val="24"/>
          <w:lang w:val="sr-Latn-RS" w:eastAsia="de-DE"/>
        </w:rPr>
        <w:t xml:space="preserve">. </w:t>
      </w:r>
      <w:r>
        <w:rPr>
          <w:sz w:val="24"/>
          <w:szCs w:val="24"/>
          <w:lang w:val="sr-Cyrl-RS" w:eastAsia="de-DE"/>
        </w:rPr>
        <w:t>РАЗЛОЗИ ЗА ДОНОШЕЊЕ ЗАКОНА ПО ХИТНОМ ПОСТУПКУ</w:t>
      </w:r>
    </w:p>
    <w:p w:rsidR="0084743D" w:rsidRPr="00F55D1E" w:rsidRDefault="0084743D" w:rsidP="0084743D">
      <w:pPr>
        <w:pStyle w:val="BodyText"/>
        <w:rPr>
          <w:rFonts w:cs="Times New Roman"/>
          <w:sz w:val="24"/>
          <w:szCs w:val="24"/>
          <w:lang w:val="sr-Cyrl-RS"/>
        </w:rPr>
      </w:pPr>
      <w:r>
        <w:rPr>
          <w:sz w:val="24"/>
          <w:szCs w:val="24"/>
          <w:lang w:val="sr-Cyrl-RS" w:eastAsia="de-DE"/>
        </w:rPr>
        <w:tab/>
        <w:t xml:space="preserve">Разлози за доношење овог закона по хитном поступку, сагласно члану 167. Пословника Народне скупштине </w:t>
      </w:r>
      <w:r w:rsidRPr="00F55D1E">
        <w:rPr>
          <w:sz w:val="24"/>
          <w:szCs w:val="24"/>
          <w:lang w:val="sr-Cyrl-RS" w:eastAsia="de-DE"/>
        </w:rPr>
        <w:t>(„Службени гласник РС</w:t>
      </w:r>
      <w:r w:rsidRPr="00F55D1E">
        <w:rPr>
          <w:bCs w:val="0"/>
          <w:color w:val="000000"/>
          <w:sz w:val="24"/>
          <w:szCs w:val="24"/>
          <w:lang w:val="sr-Cyrl-CS" w:eastAsia="sr-Latn-CS"/>
        </w:rPr>
        <w:t>”</w:t>
      </w:r>
      <w:r>
        <w:rPr>
          <w:sz w:val="24"/>
          <w:szCs w:val="24"/>
          <w:lang w:val="sr-Cyrl-RS" w:eastAsia="de-DE"/>
        </w:rPr>
        <w:t xml:space="preserve">, број 20/12 </w:t>
      </w:r>
      <w:r w:rsidRPr="00F55D1E">
        <w:rPr>
          <w:sz w:val="20"/>
          <w:lang w:val="sr-Cyrl-RS" w:eastAsia="de-DE"/>
        </w:rPr>
        <w:t>–</w:t>
      </w:r>
      <w:r>
        <w:rPr>
          <w:sz w:val="24"/>
          <w:szCs w:val="24"/>
          <w:lang w:val="sr-Cyrl-RS" w:eastAsia="de-DE"/>
        </w:rPr>
        <w:t xml:space="preserve"> пречишћен текст), произлазе из чињенице да је потребно обезбедити да средства зајма буду благовремено на располагању Републици Србији.</w:t>
      </w:r>
    </w:p>
    <w:p w:rsidR="0084743D" w:rsidRDefault="0084743D" w:rsidP="0084743D"/>
    <w:p w:rsidR="00D271CE" w:rsidRPr="0084743D" w:rsidRDefault="00D271CE" w:rsidP="0084743D">
      <w:bookmarkStart w:id="0" w:name="_GoBack"/>
      <w:bookmarkEnd w:id="0"/>
    </w:p>
    <w:sectPr w:rsidR="00D271CE" w:rsidRPr="0084743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130E" w:rsidRDefault="00F4130E">
      <w:r>
        <w:separator/>
      </w:r>
    </w:p>
  </w:endnote>
  <w:endnote w:type="continuationSeparator" w:id="0">
    <w:p w:rsidR="00F4130E" w:rsidRDefault="00F41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69D4" w:rsidRDefault="00222F0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39</w:t>
    </w:r>
    <w:r>
      <w:rPr>
        <w:rStyle w:val="PageNumber"/>
      </w:rPr>
      <w:fldChar w:fldCharType="end"/>
    </w:r>
  </w:p>
  <w:p w:rsidR="00FB69D4" w:rsidRDefault="0084743D">
    <w:pPr>
      <w:pStyle w:val="Footer"/>
      <w:ind w:right="360"/>
    </w:pPr>
  </w:p>
  <w:p w:rsidR="00FB69D4" w:rsidRDefault="0084743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69D4" w:rsidRDefault="00222F0F">
    <w:pPr>
      <w:pStyle w:val="Footer"/>
      <w:spacing w:line="200" w:lineRule="exact"/>
      <w:jc w:val="left"/>
      <w:rPr>
        <w:rFonts w:ascii="Arial" w:hAnsi="Arial" w:cs="Arial"/>
        <w:sz w:val="16"/>
        <w:szCs w:val="16"/>
      </w:rPr>
    </w:pPr>
    <w:r>
      <w:rPr>
        <w:rFonts w:ascii="Arial" w:hAnsi="Arial" w:cs="Arial"/>
        <w:sz w:val="16"/>
        <w:szCs w:val="16"/>
      </w:rPr>
      <w:tab/>
    </w:r>
    <w:r>
      <w:rPr>
        <w:rStyle w:val="PageNumber"/>
        <w:sz w:val="16"/>
        <w:szCs w:val="16"/>
      </w:rPr>
      <w:fldChar w:fldCharType="begin"/>
    </w:r>
    <w:r>
      <w:rPr>
        <w:rStyle w:val="PageNumber"/>
        <w:sz w:val="16"/>
        <w:szCs w:val="16"/>
      </w:rPr>
      <w:instrText xml:space="preserve"> PAGE </w:instrText>
    </w:r>
    <w:r>
      <w:rPr>
        <w:rStyle w:val="PageNumber"/>
        <w:sz w:val="16"/>
        <w:szCs w:val="16"/>
      </w:rPr>
      <w:fldChar w:fldCharType="separate"/>
    </w:r>
    <w:r w:rsidR="0084743D">
      <w:rPr>
        <w:rStyle w:val="PageNumber"/>
        <w:noProof/>
        <w:sz w:val="16"/>
        <w:szCs w:val="16"/>
      </w:rPr>
      <w:t>2</w:t>
    </w:r>
    <w:r>
      <w:rPr>
        <w:rStyle w:val="PageNumbe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69D4" w:rsidRDefault="00222F0F">
    <w:pPr>
      <w:pStyle w:val="Footer"/>
      <w:spacing w:line="200" w:lineRule="exact"/>
      <w:jc w:val="left"/>
      <w:rPr>
        <w:rFonts w:ascii="Arial" w:hAnsi="Arial" w:cs="Arial"/>
        <w:sz w:val="16"/>
        <w:szCs w:val="16"/>
      </w:rPr>
    </w:pPr>
    <w:r>
      <w:rPr>
        <w:rFonts w:ascii="Arial" w:hAnsi="Arial" w:cs="Arial"/>
        <w:sz w:val="16"/>
        <w:szCs w:val="16"/>
      </w:rPr>
      <w:tab/>
    </w:r>
    <w:r>
      <w:rPr>
        <w:rStyle w:val="PageNumber"/>
        <w:sz w:val="16"/>
        <w:szCs w:val="16"/>
      </w:rPr>
      <w:fldChar w:fldCharType="begin"/>
    </w:r>
    <w:r>
      <w:rPr>
        <w:rStyle w:val="PageNumber"/>
        <w:sz w:val="16"/>
        <w:szCs w:val="16"/>
      </w:rPr>
      <w:instrText xml:space="preserve"> PAGE </w:instrText>
    </w:r>
    <w:r>
      <w:rPr>
        <w:rStyle w:val="PageNumber"/>
        <w:sz w:val="16"/>
        <w:szCs w:val="16"/>
      </w:rPr>
      <w:fldChar w:fldCharType="separate"/>
    </w:r>
    <w:r>
      <w:rPr>
        <w:rStyle w:val="PageNumber"/>
        <w:noProof/>
        <w:sz w:val="16"/>
        <w:szCs w:val="16"/>
      </w:rPr>
      <w:t>143</w:t>
    </w:r>
    <w:r>
      <w:rPr>
        <w:rStyle w:val="PageNumbe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130E" w:rsidRDefault="00F4130E">
      <w:r>
        <w:separator/>
      </w:r>
    </w:p>
  </w:footnote>
  <w:footnote w:type="continuationSeparator" w:id="0">
    <w:p w:rsidR="00F4130E" w:rsidRDefault="00F413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69D4" w:rsidRDefault="008474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69D4" w:rsidRDefault="0084743D"/>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69D4" w:rsidRDefault="008474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2051D6"/>
    <w:multiLevelType w:val="multilevel"/>
    <w:tmpl w:val="0B6817F4"/>
    <w:name w:val="num"/>
    <w:lvl w:ilvl="0">
      <w:start w:val="1"/>
      <w:numFmt w:val="decimal"/>
      <w:pStyle w:val="Num1"/>
      <w:lvlText w:val="%1."/>
      <w:lvlJc w:val="left"/>
      <w:pPr>
        <w:tabs>
          <w:tab w:val="num" w:pos="720"/>
        </w:tabs>
        <w:ind w:left="720" w:hanging="720"/>
      </w:pPr>
      <w:rPr>
        <w:rFonts w:hint="default"/>
      </w:rPr>
    </w:lvl>
    <w:lvl w:ilvl="1">
      <w:start w:val="1"/>
      <w:numFmt w:val="decimal"/>
      <w:pStyle w:val="Num2"/>
      <w:lvlText w:val="%1.%2-"/>
      <w:lvlJc w:val="left"/>
      <w:pPr>
        <w:tabs>
          <w:tab w:val="num" w:pos="720"/>
        </w:tabs>
        <w:ind w:left="720" w:hanging="720"/>
      </w:pPr>
      <w:rPr>
        <w:rFonts w:hint="default"/>
      </w:rPr>
    </w:lvl>
    <w:lvl w:ilvl="2">
      <w:start w:val="1"/>
      <w:numFmt w:val="upperRoman"/>
      <w:pStyle w:val="Num3"/>
      <w:lvlText w:val="%3."/>
      <w:lvlJc w:val="left"/>
      <w:pPr>
        <w:ind w:left="0" w:firstLine="0"/>
      </w:pPr>
      <w:rPr>
        <w:rFonts w:hint="default"/>
      </w:rPr>
    </w:lvl>
    <w:lvl w:ilvl="3">
      <w:start w:val="1"/>
      <w:numFmt w:val="lowerLetter"/>
      <w:pStyle w:val="Num4"/>
      <w:lvlText w:val="(%4)"/>
      <w:lvlJc w:val="left"/>
      <w:pPr>
        <w:tabs>
          <w:tab w:val="num" w:pos="720"/>
        </w:tabs>
        <w:ind w:left="720" w:hanging="720"/>
      </w:pPr>
      <w:rPr>
        <w:rFonts w:hint="default"/>
      </w:rPr>
    </w:lvl>
    <w:lvl w:ilvl="4">
      <w:start w:val="10"/>
      <w:numFmt w:val="lowerRoman"/>
      <w:pStyle w:val="Num5"/>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0"/>
    <w:lvlOverride w:ilvl="0">
      <w:startOverride w:val="50"/>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6BFF"/>
    <w:rsid w:val="000F6048"/>
    <w:rsid w:val="00222F0F"/>
    <w:rsid w:val="002758F2"/>
    <w:rsid w:val="00276BFF"/>
    <w:rsid w:val="002C0F4E"/>
    <w:rsid w:val="0046008E"/>
    <w:rsid w:val="005A0939"/>
    <w:rsid w:val="00744AC7"/>
    <w:rsid w:val="0084743D"/>
    <w:rsid w:val="009F3400"/>
    <w:rsid w:val="00AA68D1"/>
    <w:rsid w:val="00D271CE"/>
    <w:rsid w:val="00D5109B"/>
    <w:rsid w:val="00F335CD"/>
    <w:rsid w:val="00F4130E"/>
    <w:rsid w:val="00F56767"/>
    <w:rsid w:val="00FF0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C6F87"/>
  <w15:chartTrackingRefBased/>
  <w15:docId w15:val="{34E23B4A-54E2-4F5B-A4BA-C571F7389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6767"/>
    <w:pPr>
      <w:spacing w:after="0" w:line="240" w:lineRule="auto"/>
      <w:jc w:val="both"/>
    </w:pPr>
    <w:rPr>
      <w:rFonts w:ascii="Times New Roman" w:eastAsia="Times New Roman" w:hAnsi="Times New Roman" w:cs="Times New Roman"/>
      <w:szCs w:val="20"/>
      <w:lang w:val="sr-Cyrl-RS"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CT"/>
    <w:link w:val="BodyTextChar"/>
    <w:rsid w:val="00276BFF"/>
    <w:pPr>
      <w:spacing w:after="240" w:line="240" w:lineRule="auto"/>
      <w:jc w:val="both"/>
    </w:pPr>
    <w:rPr>
      <w:rFonts w:ascii="Times New Roman" w:eastAsia="Times New Roman" w:hAnsi="Times New Roman" w:cs="Arial"/>
      <w:bCs/>
      <w:szCs w:val="20"/>
      <w:lang w:val="en-GB" w:eastAsia="fr-FR"/>
    </w:rPr>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276BFF"/>
    <w:rPr>
      <w:rFonts w:ascii="Times New Roman" w:eastAsia="Times New Roman" w:hAnsi="Times New Roman" w:cs="Arial"/>
      <w:bCs/>
      <w:szCs w:val="20"/>
      <w:lang w:val="en-GB" w:eastAsia="fr-FR"/>
    </w:rPr>
  </w:style>
  <w:style w:type="paragraph" w:styleId="Footer">
    <w:name w:val="footer"/>
    <w:basedOn w:val="Normal"/>
    <w:link w:val="FooterChar"/>
    <w:uiPriority w:val="99"/>
    <w:rsid w:val="00276BFF"/>
    <w:pPr>
      <w:tabs>
        <w:tab w:val="center" w:pos="4536"/>
        <w:tab w:val="right" w:pos="9072"/>
      </w:tabs>
    </w:pPr>
  </w:style>
  <w:style w:type="character" w:customStyle="1" w:styleId="FooterChar">
    <w:name w:val="Footer Char"/>
    <w:basedOn w:val="DefaultParagraphFont"/>
    <w:link w:val="Footer"/>
    <w:uiPriority w:val="99"/>
    <w:rsid w:val="00276BFF"/>
    <w:rPr>
      <w:rFonts w:ascii="Times New Roman" w:eastAsia="Times New Roman" w:hAnsi="Times New Roman" w:cs="Times New Roman"/>
      <w:szCs w:val="20"/>
      <w:lang w:val="sr-Cyrl-RS" w:eastAsia="fr-FR"/>
    </w:rPr>
  </w:style>
  <w:style w:type="character" w:styleId="PageNumber">
    <w:name w:val="page number"/>
    <w:basedOn w:val="DefaultParagraphFont"/>
    <w:rsid w:val="00276BFF"/>
  </w:style>
  <w:style w:type="paragraph" w:styleId="Header">
    <w:name w:val="header"/>
    <w:basedOn w:val="Normal"/>
    <w:link w:val="HeaderChar"/>
    <w:rsid w:val="00276BFF"/>
    <w:pPr>
      <w:tabs>
        <w:tab w:val="center" w:pos="4536"/>
        <w:tab w:val="right" w:pos="9072"/>
      </w:tabs>
    </w:pPr>
  </w:style>
  <w:style w:type="character" w:customStyle="1" w:styleId="HeaderChar">
    <w:name w:val="Header Char"/>
    <w:basedOn w:val="DefaultParagraphFont"/>
    <w:link w:val="Header"/>
    <w:rsid w:val="00276BFF"/>
    <w:rPr>
      <w:rFonts w:ascii="Times New Roman" w:eastAsia="Times New Roman" w:hAnsi="Times New Roman" w:cs="Times New Roman"/>
      <w:szCs w:val="20"/>
      <w:lang w:val="sr-Cyrl-RS" w:eastAsia="fr-FR"/>
    </w:rPr>
  </w:style>
  <w:style w:type="paragraph" w:customStyle="1" w:styleId="Num1">
    <w:name w:val="Num1"/>
    <w:rsid w:val="00276BFF"/>
    <w:pPr>
      <w:numPr>
        <w:numId w:val="1"/>
      </w:numPr>
      <w:spacing w:before="120" w:after="240" w:line="260" w:lineRule="atLeast"/>
      <w:jc w:val="both"/>
    </w:pPr>
    <w:rPr>
      <w:rFonts w:ascii="Times New Roman" w:eastAsia="Calibri" w:hAnsi="Times New Roman" w:cs="Times New Roman"/>
      <w:lang w:val="fr"/>
    </w:rPr>
  </w:style>
  <w:style w:type="paragraph" w:customStyle="1" w:styleId="Num2">
    <w:name w:val="Num2"/>
    <w:rsid w:val="00276BFF"/>
    <w:pPr>
      <w:numPr>
        <w:ilvl w:val="1"/>
        <w:numId w:val="1"/>
      </w:numPr>
      <w:spacing w:after="240" w:line="240" w:lineRule="auto"/>
      <w:jc w:val="both"/>
    </w:pPr>
    <w:rPr>
      <w:rFonts w:ascii="Times New Roman" w:eastAsia="Calibri" w:hAnsi="Times New Roman" w:cs="Times New Roman"/>
      <w:lang w:val="fr"/>
    </w:rPr>
  </w:style>
  <w:style w:type="paragraph" w:customStyle="1" w:styleId="Num3">
    <w:name w:val="Num3"/>
    <w:rsid w:val="00276BFF"/>
    <w:pPr>
      <w:numPr>
        <w:ilvl w:val="2"/>
        <w:numId w:val="1"/>
      </w:numPr>
      <w:spacing w:after="240" w:line="240" w:lineRule="auto"/>
      <w:jc w:val="both"/>
    </w:pPr>
    <w:rPr>
      <w:rFonts w:ascii="Times New Roman" w:eastAsia="Calibri" w:hAnsi="Times New Roman" w:cs="Times New Roman"/>
      <w:lang w:val="fr"/>
    </w:rPr>
  </w:style>
  <w:style w:type="paragraph" w:customStyle="1" w:styleId="Num4">
    <w:name w:val="Num4"/>
    <w:rsid w:val="00276BFF"/>
    <w:pPr>
      <w:numPr>
        <w:ilvl w:val="3"/>
        <w:numId w:val="1"/>
      </w:numPr>
      <w:spacing w:after="240" w:line="240" w:lineRule="auto"/>
      <w:jc w:val="both"/>
    </w:pPr>
    <w:rPr>
      <w:rFonts w:ascii="Times New Roman" w:eastAsia="Calibri" w:hAnsi="Times New Roman" w:cs="Times New Roman"/>
      <w:lang w:val="fr"/>
    </w:rPr>
  </w:style>
  <w:style w:type="paragraph" w:customStyle="1" w:styleId="Num5">
    <w:name w:val="Num5"/>
    <w:rsid w:val="00276BFF"/>
    <w:pPr>
      <w:numPr>
        <w:ilvl w:val="4"/>
        <w:numId w:val="1"/>
      </w:numPr>
      <w:spacing w:after="240" w:line="240" w:lineRule="auto"/>
      <w:jc w:val="both"/>
    </w:pPr>
    <w:rPr>
      <w:rFonts w:ascii="Times New Roman" w:eastAsia="Calibri" w:hAnsi="Times New Roman" w:cs="Times New Roman"/>
      <w:lang w:val="fr"/>
    </w:rPr>
  </w:style>
  <w:style w:type="paragraph" w:styleId="BalloonText">
    <w:name w:val="Balloon Text"/>
    <w:basedOn w:val="Normal"/>
    <w:link w:val="BalloonTextChar"/>
    <w:uiPriority w:val="99"/>
    <w:semiHidden/>
    <w:unhideWhenUsed/>
    <w:rsid w:val="002C0F4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0F4E"/>
    <w:rPr>
      <w:rFonts w:ascii="Segoe UI" w:eastAsia="Times New Roman" w:hAnsi="Segoe UI" w:cs="Segoe UI"/>
      <w:sz w:val="18"/>
      <w:szCs w:val="18"/>
      <w:lang w:val="sr-Cyrl-RS"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1044</Words>
  <Characters>5952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PDA</dc:creator>
  <cp:keywords/>
  <dc:description/>
  <cp:lastModifiedBy>Daktilobiro09</cp:lastModifiedBy>
  <cp:revision>11</cp:revision>
  <cp:lastPrinted>2021-06-02T09:48:00Z</cp:lastPrinted>
  <dcterms:created xsi:type="dcterms:W3CDTF">2021-06-08T10:51:00Z</dcterms:created>
  <dcterms:modified xsi:type="dcterms:W3CDTF">2021-06-10T15:38:00Z</dcterms:modified>
</cp:coreProperties>
</file>