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8"/>
        <w:gridCol w:w="516"/>
        <w:gridCol w:w="5714"/>
        <w:gridCol w:w="1048"/>
      </w:tblGrid>
      <w:tr w:rsidR="001C1D50" w:rsidRPr="008A0109" w:rsidTr="00B04662">
        <w:tc>
          <w:tcPr>
            <w:tcW w:w="0" w:type="auto"/>
            <w:shd w:val="clear" w:color="auto" w:fill="auto"/>
            <w:vAlign w:val="center"/>
            <w:hideMark/>
          </w:tcPr>
          <w:p w:rsidR="00B04662" w:rsidRPr="008A0109" w:rsidRDefault="00B04662" w:rsidP="00B04662">
            <w:pPr>
              <w:spacing w:before="120" w:after="120" w:line="312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12.</w:t>
            </w:r>
            <w:r w:rsidR="001C1D50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0</w:t>
            </w: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1.2012</w:t>
            </w:r>
            <w:r w:rsidR="001C1D50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  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04662" w:rsidRPr="008A0109" w:rsidRDefault="001C1D50" w:rsidP="00B04662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spacing w:before="120" w:after="120" w:line="312" w:lineRule="atLeast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EН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04662" w:rsidRPr="008A0109" w:rsidRDefault="001C1D50" w:rsidP="001C1D50">
            <w:pPr>
              <w:spacing w:before="120" w:after="120" w:line="312" w:lineRule="atLeast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Службени гласник Европске уније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04662" w:rsidRPr="008A0109" w:rsidRDefault="00AB73B0" w:rsidP="00B04662">
            <w:pPr>
              <w:spacing w:before="120" w:after="120" w:line="312" w:lineRule="atLeast"/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Л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8/38</w:t>
            </w:r>
          </w:p>
        </w:tc>
      </w:tr>
    </w:tbl>
    <w:p w:rsidR="00B04662" w:rsidRPr="008A0109" w:rsidRDefault="007119F8" w:rsidP="00B04662">
      <w:pPr>
        <w:shd w:val="clear" w:color="auto" w:fill="FFFFFF"/>
        <w:spacing w:before="60" w:after="60" w:line="240" w:lineRule="auto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pict>
          <v:rect id="_x0000_i1025" style="width:645pt;height:.75pt" o:hrpct="0" o:hralign="center" o:hrstd="t" o:hrnoshade="t" o:hr="t" fillcolor="black" stroked="f"/>
        </w:pict>
      </w:r>
    </w:p>
    <w:p w:rsidR="00B04662" w:rsidRPr="00DD3AE7" w:rsidRDefault="001C1D50" w:rsidP="00B04662">
      <w:pPr>
        <w:shd w:val="clear" w:color="auto" w:fill="FFFFFF"/>
        <w:spacing w:before="24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ОДЛУКА бр.</w:t>
      </w:r>
      <w:r w:rsidR="00B04662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1/2011 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ЗАЈЕДНИЧКОГ </w:t>
      </w:r>
      <w:r w:rsidR="00ED518A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ОДБОРА ОСНОВАНОГ </w:t>
      </w:r>
      <w:r w:rsidR="00E0799A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Latn-CS"/>
        </w:rPr>
        <w:t>INTERBUS</w:t>
      </w:r>
      <w:r w:rsidR="00ED518A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СПОРАЗУМ</w:t>
      </w:r>
      <w:r w:rsidR="00DD3AE7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ОМ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О МЕЂУНАРОДНОМ ПОВРЕМЕНОМ ПРЕВОЗУ ПУТНИКА АУТОБУСИМА</w:t>
      </w:r>
      <w:r w:rsidR="00B04662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</w:t>
      </w:r>
      <w:r w:rsidR="00DD3AE7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</w:t>
      </w:r>
    </w:p>
    <w:p w:rsidR="00B04662" w:rsidRPr="008A0109" w:rsidRDefault="001C1D50" w:rsidP="00B04662">
      <w:pPr>
        <w:shd w:val="clear" w:color="auto" w:fill="FFFFFF"/>
        <w:spacing w:before="24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од </w:t>
      </w:r>
      <w:r w:rsidR="00B04662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11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. новембра</w:t>
      </w:r>
      <w:r w:rsidR="00B04662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2011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. </w:t>
      </w:r>
    </w:p>
    <w:p w:rsidR="00B04662" w:rsidRPr="008A0109" w:rsidRDefault="00844E37" w:rsidP="00B04662">
      <w:pPr>
        <w:shd w:val="clear" w:color="auto" w:fill="FFFFFF"/>
        <w:spacing w:before="24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о доношењу пословника и прилагођавању </w:t>
      </w:r>
      <w:r w:rsidR="00DD3AE7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Анекса</w:t>
      </w:r>
      <w:r w:rsidR="00ED518A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1 Споразума</w:t>
      </w:r>
      <w:r w:rsidR="001C1D50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у погледу услова који важе за 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превознике у </w:t>
      </w:r>
      <w:r w:rsidR="002B7913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превозу путника у 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друмском </w:t>
      </w:r>
      <w:r w:rsidR="00881CFB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саобраћају</w:t>
      </w:r>
      <w:r w:rsidR="00B04662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,</w:t>
      </w:r>
      <w:r w:rsidR="00881CFB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</w:t>
      </w:r>
      <w:r w:rsidR="00DD3AE7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Анекса</w:t>
      </w:r>
      <w:r w:rsidR="00881CFB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</w:t>
      </w:r>
      <w:r w:rsidR="00B04662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2</w:t>
      </w:r>
      <w:r w:rsidR="00ED518A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Споразума</w:t>
      </w:r>
      <w:r w:rsidR="00881CFB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у вези с</w:t>
      </w:r>
      <w:r w:rsidR="00E0799A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Latn-CS"/>
        </w:rPr>
        <w:t>a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техничким</w:t>
      </w:r>
      <w:r w:rsidR="00881CFB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стандард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им</w:t>
      </w:r>
      <w:r w:rsidR="00881CFB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а који важе за аутобусе и захтев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им</w:t>
      </w:r>
      <w:r w:rsidR="00881CFB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а 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у погледу социјалних одредби</w:t>
      </w:r>
      <w:r w:rsidR="00881CFB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из члана</w:t>
      </w:r>
      <w:r w:rsidR="00ED518A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8 Споразум</w:t>
      </w:r>
      <w:r w:rsidR="00881CFB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а</w:t>
      </w:r>
    </w:p>
    <w:p w:rsidR="00B04662" w:rsidRPr="008A0109" w:rsidRDefault="00881CFB" w:rsidP="00B04662">
      <w:pPr>
        <w:shd w:val="clear" w:color="auto" w:fill="FFFFFF"/>
        <w:spacing w:before="24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(2012/25/EУ</w:t>
      </w:r>
      <w:r w:rsidR="00B04662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)</w:t>
      </w:r>
    </w:p>
    <w:p w:rsidR="00B04662" w:rsidRPr="008A0109" w:rsidRDefault="00881CFB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ЗАЈЕДНИЧКИ ОДБОР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,</w:t>
      </w:r>
    </w:p>
    <w:p w:rsidR="00B04662" w:rsidRPr="008A0109" w:rsidRDefault="00844E37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у</w:t>
      </w:r>
      <w:r w:rsidR="00122D1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зимајући у обзир </w:t>
      </w:r>
      <w:r w:rsidR="00E0799A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Latn-CS"/>
        </w:rPr>
        <w:t>Interbus</w:t>
      </w:r>
      <w:r w:rsidR="00ED518A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споразум</w:t>
      </w:r>
      <w:r w:rsidR="00881CF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о међународном повременом превозу путника аутобусима </w:t>
      </w:r>
      <w:hyperlink r:id="rId4" w:anchor="ntr1-L_2012008EN.01003801-E0001" w:history="1"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sz w:val="27"/>
            <w:szCs w:val="27"/>
            <w:u w:val="single"/>
            <w:lang w:val="sr-Cyrl-RS"/>
          </w:rPr>
          <w:t> (</w:t>
        </w:r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sz w:val="19"/>
            <w:szCs w:val="19"/>
            <w:vertAlign w:val="superscript"/>
            <w:lang w:val="sr-Cyrl-RS"/>
          </w:rPr>
          <w:t>1</w:t>
        </w:r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sz w:val="27"/>
            <w:szCs w:val="27"/>
            <w:u w:val="single"/>
            <w:lang w:val="sr-Cyrl-RS"/>
          </w:rPr>
          <w:t>)</w:t>
        </w:r>
      </w:hyperlink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, </w:t>
      </w:r>
      <w:r w:rsidR="00881CF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а посебно 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његове ч</w:t>
      </w:r>
      <w:r w:rsidR="00122D1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ланове 23 и 24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,</w:t>
      </w:r>
    </w:p>
    <w:p w:rsidR="00B04662" w:rsidRPr="008A0109" w:rsidRDefault="00122D1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будући да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9126"/>
      </w:tblGrid>
      <w:tr w:rsidR="00B04662" w:rsidRPr="008A0109" w:rsidTr="00B04662">
        <w:tc>
          <w:tcPr>
            <w:tcW w:w="0" w:type="auto"/>
            <w:shd w:val="clear" w:color="auto" w:fill="auto"/>
            <w:hideMark/>
          </w:tcPr>
          <w:p w:rsidR="00B04662" w:rsidRPr="008A0109" w:rsidRDefault="00B04662" w:rsidP="00B04662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(1)</w:t>
            </w:r>
          </w:p>
        </w:tc>
        <w:tc>
          <w:tcPr>
            <w:tcW w:w="0" w:type="auto"/>
            <w:shd w:val="clear" w:color="auto" w:fill="auto"/>
            <w:hideMark/>
          </w:tcPr>
          <w:p w:rsidR="00B04662" w:rsidRPr="008A0109" w:rsidRDefault="00E71FA8" w:rsidP="003C789C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У складу са ч</w:t>
            </w:r>
            <w:r w:rsidR="00122D1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ланом 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23</w:t>
            </w:r>
            <w:r w:rsidR="00844E37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став 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3</w:t>
            </w:r>
            <w:r w:rsidR="00844E37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  <w:r w:rsidR="00E079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Interbus</w:t>
            </w:r>
            <w:r w:rsidR="00ED518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споразума</w:t>
            </w:r>
            <w:r w:rsidR="00122D1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о међународном повременом превозу путника аутобусима 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(</w:t>
            </w:r>
            <w:r w:rsidR="00ED518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у даљем тексту </w:t>
            </w:r>
            <w:r w:rsidR="00E079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‘</w:t>
            </w:r>
            <w:r w:rsidR="00ED518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Споразум</w:t>
            </w:r>
            <w:r w:rsidR="00E079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’</w:t>
            </w:r>
            <w:r w:rsidR="00122D1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), Заједнички одбор </w:t>
            </w:r>
            <w:r w:rsidR="00844E37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мора </w:t>
            </w:r>
            <w:r w:rsidR="00122D1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да донесе свој пословник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</w:p>
        </w:tc>
      </w:tr>
    </w:tbl>
    <w:p w:rsidR="00B04662" w:rsidRPr="008A0109" w:rsidRDefault="00B04662" w:rsidP="00B046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vanish/>
          <w:color w:val="444444"/>
          <w:sz w:val="27"/>
          <w:szCs w:val="27"/>
          <w:lang w:val="sr-Cyrl-RS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9126"/>
      </w:tblGrid>
      <w:tr w:rsidR="00B04662" w:rsidRPr="008A0109" w:rsidTr="00B04662">
        <w:tc>
          <w:tcPr>
            <w:tcW w:w="0" w:type="auto"/>
            <w:shd w:val="clear" w:color="auto" w:fill="auto"/>
            <w:hideMark/>
          </w:tcPr>
          <w:p w:rsidR="00B04662" w:rsidRPr="008A0109" w:rsidRDefault="00B04662" w:rsidP="00B04662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(2)</w:t>
            </w:r>
          </w:p>
        </w:tc>
        <w:tc>
          <w:tcPr>
            <w:tcW w:w="0" w:type="auto"/>
            <w:shd w:val="clear" w:color="auto" w:fill="auto"/>
            <w:hideMark/>
          </w:tcPr>
          <w:p w:rsidR="00B04662" w:rsidRPr="008A0109" w:rsidRDefault="00E71FA8" w:rsidP="008A0EAD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У складу са ч</w:t>
            </w:r>
            <w:r w:rsidR="00122D1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ланом 24</w:t>
            </w:r>
            <w:r w:rsidR="00844E37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став </w:t>
            </w:r>
            <w:r w:rsidR="00122D1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2</w:t>
            </w:r>
            <w:r w:rsidR="00844E37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. тачка </w:t>
            </w:r>
            <w:r w:rsidR="00ED518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(ц) Споразума</w:t>
            </w:r>
            <w:r w:rsidR="00122D1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, Заједнички одбор је одговоран </w:t>
            </w:r>
            <w:r w:rsidR="00897DE3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за прилагођавање </w:t>
            </w:r>
            <w:r w:rsidR="00DD3A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Анекса</w:t>
            </w:r>
            <w:r w:rsidR="00ED518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1 Споразума</w:t>
            </w:r>
            <w:r w:rsidR="00122D1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у </w:t>
            </w:r>
            <w:r w:rsidR="00897DE3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вези с</w:t>
            </w:r>
            <w:r w:rsidR="008A0E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897DE3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условима </w:t>
            </w:r>
            <w:r w:rsidR="00122D1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који важе за </w:t>
            </w:r>
            <w:r w:rsidR="00897DE3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превознике</w:t>
            </w:r>
            <w:r w:rsidR="00122D1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у </w:t>
            </w:r>
            <w:r w:rsidR="002B7913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превозу путника у </w:t>
            </w:r>
            <w:r w:rsidR="00122D1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друмском саобраћају и </w:t>
            </w:r>
            <w:r w:rsidR="00DD3A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Анекса</w:t>
            </w:r>
            <w:r w:rsidR="00122D1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2 </w:t>
            </w:r>
            <w:r w:rsidR="00ED518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Споразума</w:t>
            </w:r>
            <w:r w:rsidR="00122D1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  <w:r w:rsidR="00897DE3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у вези с</w:t>
            </w:r>
            <w:r w:rsidR="00E079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897DE3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техничким стандардима </w:t>
            </w:r>
            <w:r w:rsidR="00122D1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који важе за аутобусе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. </w:t>
            </w:r>
            <w:r w:rsidR="00AB0A5B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Даље, Заједнички одбор је одговоран, у складу са </w:t>
            </w:r>
            <w:r w:rsidR="00897DE3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ч</w:t>
            </w:r>
            <w:r w:rsidR="00AB0A5B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ланом 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24</w:t>
            </w:r>
            <w:r w:rsidR="00897DE3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став 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2</w:t>
            </w:r>
            <w:r w:rsidR="00897DE3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. тачка 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(</w:t>
            </w:r>
            <w:r w:rsidR="00ED518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е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) </w:t>
            </w:r>
            <w:r w:rsidR="00ED518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Споразум</w:t>
            </w:r>
            <w:r w:rsidR="00AB0A5B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, </w:t>
            </w:r>
            <w:r w:rsidR="00897DE3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за прилагођавање захтева у погледу </w:t>
            </w:r>
            <w:r w:rsidR="00AB0A5B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соција</w:t>
            </w:r>
            <w:r w:rsidR="00D3156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лних одредби из члана 8 Споразума</w:t>
            </w:r>
            <w:r w:rsidR="00AB0A5B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  <w:r w:rsidR="00897DE3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ради укључења нових мера</w:t>
            </w:r>
            <w:r w:rsidR="00AB0A5B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које су </w:t>
            </w:r>
            <w:r w:rsidR="00AB0A5B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предузете у </w:t>
            </w:r>
            <w:r w:rsidR="00897DE3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Унији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,</w:t>
            </w:r>
          </w:p>
        </w:tc>
      </w:tr>
    </w:tbl>
    <w:p w:rsidR="00B04662" w:rsidRPr="008A0109" w:rsidRDefault="00AB0A5B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ОДЛУЧИО ЈЕ КАКО СЛЕДИ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:</w:t>
      </w:r>
    </w:p>
    <w:p w:rsidR="00B04662" w:rsidRPr="008A0109" w:rsidRDefault="00AB0A5B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Члан 1</w:t>
      </w:r>
    </w:p>
    <w:p w:rsidR="00B04662" w:rsidRPr="008A0109" w:rsidRDefault="00897DE3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Заједнички одбор доноси свој пословник, </w:t>
      </w:r>
      <w:r w:rsidR="00AB0A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како је наведено у </w:t>
      </w:r>
      <w:r w:rsidR="00DD3AE7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Анексу</w:t>
      </w:r>
      <w:r w:rsidR="00AB0A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  <w:r w:rsidR="00E0799A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Latn-CS"/>
        </w:rPr>
        <w:t>I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  <w:r w:rsidR="00AB0A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ов</w:t>
      </w:r>
      <w:r w:rsidR="00DD3AE7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е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  <w:r w:rsidR="00E0799A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длу</w:t>
      </w:r>
      <w:r w:rsidR="00DD3AE7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ке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024CB7" w:rsidRDefault="00024CB7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</w:p>
    <w:p w:rsidR="00024CB7" w:rsidRDefault="00024CB7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</w:p>
    <w:p w:rsidR="00024CB7" w:rsidRDefault="00024CB7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</w:p>
    <w:p w:rsidR="000D5D09" w:rsidRDefault="000D5D09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</w:p>
    <w:p w:rsidR="00B04662" w:rsidRPr="008A0109" w:rsidRDefault="00AB0A5B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 xml:space="preserve">Члан </w:t>
      </w:r>
      <w:r w:rsidR="00B04662"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2</w:t>
      </w:r>
    </w:p>
    <w:p w:rsidR="00B04662" w:rsidRPr="008A0109" w:rsidRDefault="009510C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Анекс</w:t>
      </w:r>
      <w:r w:rsidR="00AB0A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1 </w:t>
      </w:r>
      <w:r w:rsidR="00D31563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Споразума</w:t>
      </w:r>
      <w:r w:rsidR="00AB0A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у погледу </w:t>
      </w:r>
      <w:r w:rsidR="00AB0A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услова који важе за 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превознике </w:t>
      </w:r>
      <w:r w:rsidR="002B791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у превозу путника 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у </w:t>
      </w:r>
      <w:r w:rsidR="00AB0A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друмском саобраћају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и</w:t>
      </w:r>
      <w:r w:rsidR="00AB0A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Анекс</w:t>
      </w:r>
      <w:r w:rsidR="00AB0A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2 </w:t>
      </w:r>
      <w:r w:rsidR="00D31563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Споразума</w:t>
      </w:r>
      <w:r w:rsidR="00AB0A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у вези с</w:t>
      </w:r>
      <w:r w:rsidR="00E0799A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Latn-CS"/>
        </w:rPr>
        <w:t>a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техничким стандардима </w:t>
      </w:r>
      <w:r w:rsidR="00AB0A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који важе за аутобусе и захтев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им</w:t>
      </w:r>
      <w:r w:rsidR="00AB0A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а 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у погледу социјалних одредби</w:t>
      </w:r>
      <w:r w:rsidR="00AB0A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из члана 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8</w:t>
      </w:r>
      <w:r w:rsidR="00D31563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 Споразума</w:t>
      </w:r>
      <w:r w:rsidR="00AB0A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  <w:r w:rsidR="00E71FA8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овим се прилагођавају 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како </w:t>
      </w:r>
      <w:r w:rsidR="00AB0A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је наведено у </w:t>
      </w:r>
      <w:r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Анексу </w:t>
      </w:r>
      <w:r w:rsidR="00E0799A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Latn-CS"/>
        </w:rPr>
        <w:t>II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ов</w:t>
      </w:r>
      <w:r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е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  <w:r w:rsidR="00E0799A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Latn-CS"/>
        </w:rPr>
        <w:t>o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длу</w:t>
      </w:r>
      <w:r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ке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AB0A5B" w:rsidP="00B04662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Сачињено у Брис</w:t>
      </w:r>
      <w:r w:rsidR="00E71FA8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en-GB"/>
        </w:rPr>
        <w:t>e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лу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, 11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новембра 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2011.</w:t>
      </w:r>
    </w:p>
    <w:p w:rsidR="00B04662" w:rsidRPr="008A0109" w:rsidRDefault="002A5901" w:rsidP="00B04662">
      <w:pPr>
        <w:shd w:val="clear" w:color="auto" w:fill="FFFFFF"/>
        <w:spacing w:before="60" w:after="60" w:line="312" w:lineRule="atLeast"/>
        <w:jc w:val="center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 xml:space="preserve">Председавајући </w:t>
      </w:r>
    </w:p>
    <w:p w:rsidR="00B04662" w:rsidRPr="008A0109" w:rsidRDefault="00B04662" w:rsidP="00B04662">
      <w:pPr>
        <w:shd w:val="clear" w:color="auto" w:fill="FFFFFF"/>
        <w:spacing w:before="60" w:after="60" w:line="312" w:lineRule="atLeast"/>
        <w:jc w:val="center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Sz. SCHMIDT</w:t>
      </w:r>
    </w:p>
    <w:p w:rsidR="00B04662" w:rsidRPr="008A0109" w:rsidRDefault="002A5901" w:rsidP="00B04662">
      <w:pPr>
        <w:shd w:val="clear" w:color="auto" w:fill="FFFFFF"/>
        <w:spacing w:before="60" w:after="60" w:line="312" w:lineRule="atLeast"/>
        <w:jc w:val="center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 xml:space="preserve">Секретар </w:t>
      </w:r>
    </w:p>
    <w:p w:rsidR="00B04662" w:rsidRPr="008A0109" w:rsidRDefault="00B04662" w:rsidP="00B04662">
      <w:pPr>
        <w:shd w:val="clear" w:color="auto" w:fill="FFFFFF"/>
        <w:spacing w:before="60" w:after="60" w:line="312" w:lineRule="atLeast"/>
        <w:jc w:val="center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G. PATRIS</w:t>
      </w:r>
    </w:p>
    <w:p w:rsidR="00B04662" w:rsidRPr="008A0109" w:rsidRDefault="007119F8" w:rsidP="00B04662">
      <w:pPr>
        <w:shd w:val="clear" w:color="auto" w:fill="FFFFFF"/>
        <w:spacing w:before="240" w:after="60" w:line="240" w:lineRule="auto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pict>
          <v:rect id="_x0000_i1026" style="width:129pt;height:.75pt" o:hrpct="0" o:hrstd="t" o:hrnoshade="t" o:hr="t" fillcolor="black" stroked="f"/>
        </w:pict>
      </w:r>
    </w:p>
    <w:p w:rsidR="00B04662" w:rsidRPr="008A0109" w:rsidRDefault="007119F8" w:rsidP="00B04662">
      <w:pPr>
        <w:shd w:val="clear" w:color="auto" w:fill="FFFFFF"/>
        <w:spacing w:before="60" w:after="6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lang w:val="sr-Cyrl-RS"/>
        </w:rPr>
      </w:pPr>
      <w:hyperlink r:id="rId5" w:anchor="ntc1-L_2012008EN.01003801-E0001" w:history="1"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u w:val="single"/>
            <w:lang w:val="sr-Cyrl-RS"/>
          </w:rPr>
          <w:t>(</w:t>
        </w:r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sz w:val="15"/>
            <w:szCs w:val="15"/>
            <w:vertAlign w:val="superscript"/>
            <w:lang w:val="sr-Cyrl-RS"/>
          </w:rPr>
          <w:t>1</w:t>
        </w:r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u w:val="single"/>
            <w:lang w:val="sr-Cyrl-RS"/>
          </w:rPr>
          <w:t>)</w:t>
        </w:r>
      </w:hyperlink>
      <w:r w:rsidR="00B04662" w:rsidRPr="008A0109">
        <w:rPr>
          <w:rFonts w:ascii="Times New Roman" w:eastAsia="Times New Roman" w:hAnsi="Times New Roman" w:cs="Times New Roman"/>
          <w:noProof/>
          <w:color w:val="444444"/>
          <w:lang w:val="sr-Cyrl-RS"/>
        </w:rPr>
        <w:t>  </w:t>
      </w:r>
      <w:hyperlink r:id="rId6" w:history="1"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u w:val="single"/>
            <w:lang w:val="sr-Cyrl-RS"/>
          </w:rPr>
          <w:t xml:space="preserve">OJ L 321, 26.11.2002, </w:t>
        </w:r>
        <w:r w:rsidR="00E71FA8">
          <w:rPr>
            <w:rFonts w:ascii="Times New Roman" w:eastAsia="Times New Roman" w:hAnsi="Times New Roman" w:cs="Times New Roman"/>
            <w:noProof/>
            <w:color w:val="800080"/>
            <w:u w:val="single"/>
            <w:lang w:val="sr-Cyrl-RS"/>
          </w:rPr>
          <w:t>ст</w:t>
        </w:r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u w:val="single"/>
            <w:lang w:val="sr-Cyrl-RS"/>
          </w:rPr>
          <w:t>p. 13</w:t>
        </w:r>
      </w:hyperlink>
      <w:r w:rsidR="00B04662" w:rsidRPr="008A0109">
        <w:rPr>
          <w:rFonts w:ascii="Times New Roman" w:eastAsia="Times New Roman" w:hAnsi="Times New Roman" w:cs="Times New Roman"/>
          <w:noProof/>
          <w:color w:val="444444"/>
          <w:lang w:val="sr-Cyrl-RS"/>
        </w:rPr>
        <w:t>.</w:t>
      </w:r>
    </w:p>
    <w:p w:rsidR="00B04662" w:rsidRPr="008A0109" w:rsidRDefault="007119F8" w:rsidP="00B0466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pict>
          <v:rect id="_x0000_i1027" style="width:64.5pt;height:.75pt" o:hrpct="0" o:hralign="center" o:hrstd="t" o:hrnoshade="t" o:hr="t" fillcolor="black" stroked="f"/>
        </w:pict>
      </w:r>
    </w:p>
    <w:p w:rsidR="00B04662" w:rsidRPr="008A0EAD" w:rsidRDefault="009510C2" w:rsidP="00B04662">
      <w:pPr>
        <w:shd w:val="clear" w:color="auto" w:fill="FFFFFF"/>
        <w:spacing w:before="24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АНЕКС </w:t>
      </w:r>
      <w:r w:rsidR="008A0EAD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Latn-CS"/>
        </w:rPr>
        <w:t>I</w:t>
      </w:r>
    </w:p>
    <w:p w:rsidR="00B04662" w:rsidRPr="008A0109" w:rsidRDefault="002A5901" w:rsidP="00222DBC">
      <w:pPr>
        <w:shd w:val="clear" w:color="auto" w:fill="FFFFFF"/>
        <w:spacing w:before="24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Пословник Заједни</w:t>
      </w:r>
      <w:r w:rsidR="00155106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чког одбора основаног </w:t>
      </w:r>
      <w:r w:rsidR="008A0EAD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Latn-CS"/>
        </w:rPr>
        <w:t>Interbus</w:t>
      </w:r>
      <w:r w:rsidR="00155106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споразумом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 о међународном повременом превозу путника аутобусима</w:t>
      </w:r>
    </w:p>
    <w:p w:rsidR="00B04662" w:rsidRPr="008A0109" w:rsidRDefault="002A5901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 xml:space="preserve">Члан </w:t>
      </w:r>
      <w:r w:rsidR="00B04662"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1</w:t>
      </w:r>
    </w:p>
    <w:p w:rsidR="00B04662" w:rsidRPr="008A0109" w:rsidRDefault="002A5901" w:rsidP="00B04662">
      <w:pPr>
        <w:shd w:val="clear" w:color="auto" w:fill="FFFFFF"/>
        <w:spacing w:before="6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Назив Заједничког одбора</w:t>
      </w:r>
    </w:p>
    <w:p w:rsidR="00B04662" w:rsidRPr="008A0109" w:rsidRDefault="002A5901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Заједнички одб</w:t>
      </w:r>
      <w:r w:rsidR="00155106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ор основан чланом 23</w:t>
      </w:r>
      <w:r w:rsidR="00024CB7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Latn-CS"/>
        </w:rPr>
        <w:t xml:space="preserve"> Interbus</w:t>
      </w:r>
      <w:r w:rsidR="00155106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споразума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о међународном повременом превозу путника аутобусима даље у тексту назива се </w:t>
      </w:r>
      <w:r w:rsidR="00024CB7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‘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Одбор</w:t>
      </w:r>
      <w:r w:rsidR="00024CB7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’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2A5901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 xml:space="preserve">Члан </w:t>
      </w:r>
      <w:r w:rsidR="00B04662"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2</w:t>
      </w:r>
    </w:p>
    <w:p w:rsidR="00B04662" w:rsidRPr="008A0109" w:rsidRDefault="002A5901" w:rsidP="00B04662">
      <w:pPr>
        <w:shd w:val="clear" w:color="auto" w:fill="FFFFFF"/>
        <w:spacing w:before="6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Председавање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1.   </w:t>
      </w:r>
      <w:r w:rsidR="002A5901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Одбором</w:t>
      </w:r>
      <w:r w:rsidR="00252B9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у име Европске уније</w:t>
      </w:r>
      <w:r w:rsidR="002A5901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председава представник Европске комисије 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(</w:t>
      </w:r>
      <w:r w:rsidR="002A5901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у даљем тексту </w:t>
      </w:r>
      <w:r w:rsidR="00065431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‘</w:t>
      </w:r>
      <w:r w:rsidR="002A5901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Комисија</w:t>
      </w:r>
      <w:r w:rsidR="00065431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’</w:t>
      </w:r>
      <w:r w:rsidR="00252B9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)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2.   </w:t>
      </w:r>
      <w:r w:rsidR="00252B9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Шеф делегације Уније, или према потреби његов заменик, обавља д</w:t>
      </w:r>
      <w:r w:rsidR="002A5901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ужности </w:t>
      </w:r>
      <w:r w:rsidR="00151334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</w:t>
      </w:r>
      <w:r w:rsidR="00ED1469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редседника </w:t>
      </w:r>
      <w:r w:rsidR="002A5901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Одбора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3.   </w:t>
      </w:r>
      <w:r w:rsidR="002A5901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Председ</w:t>
      </w:r>
      <w:r w:rsidR="00ED1469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ник </w:t>
      </w:r>
      <w:r w:rsidR="002A5901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управља радом Одбора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222DBC" w:rsidRDefault="00222DBC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</w:p>
    <w:p w:rsidR="00B04662" w:rsidRPr="008A0109" w:rsidRDefault="002A5901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lastRenderedPageBreak/>
        <w:t xml:space="preserve">Члан </w:t>
      </w:r>
      <w:r w:rsidR="00B04662"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3</w:t>
      </w:r>
    </w:p>
    <w:p w:rsidR="00B04662" w:rsidRPr="008A0109" w:rsidRDefault="002A5901" w:rsidP="00B04662">
      <w:pPr>
        <w:shd w:val="clear" w:color="auto" w:fill="FFFFFF"/>
        <w:spacing w:before="6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Делегације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1.   </w:t>
      </w:r>
      <w:r w:rsidR="00155106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Стране за које је Споразум</w:t>
      </w:r>
      <w:r w:rsidR="00546C97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ступио на снагу (у даљем тексту </w:t>
      </w:r>
      <w:r w:rsidR="000D5D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‘</w:t>
      </w:r>
      <w:r w:rsidR="00546C97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стране</w:t>
      </w:r>
      <w:r w:rsidR="000D5D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’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) </w:t>
      </w:r>
      <w:r w:rsidR="00546C97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именују своје представнике у Одбор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</w:t>
      </w:r>
      <w:r w:rsidR="00546C97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Делегацију Уније чине представници Комиси</w:t>
      </w:r>
      <w:r w:rsidR="00ED1469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је којима помажу представници </w:t>
      </w:r>
      <w:r w:rsidR="00151334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држава чланица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2.   </w:t>
      </w:r>
      <w:r w:rsidR="00546C97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Свака страна именује шефа и, где је то неопходно, заменика шефа своје делегације</w:t>
      </w:r>
      <w:r w:rsidR="00ED1469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3.   </w:t>
      </w:r>
      <w:r w:rsidR="00546C97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Свака страна може имен</w:t>
      </w:r>
      <w:r w:rsidR="00ED1469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овати нове представнике у Одбор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</w:t>
      </w:r>
      <w:r w:rsidR="00546C97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О свакој таквој промени </w:t>
      </w:r>
      <w:r w:rsidR="004B45DF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се без одлагања и писаним путем </w:t>
      </w:r>
      <w:r w:rsidR="00546C97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обавештава Секретар Одбора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4.   </w:t>
      </w:r>
      <w:r w:rsidR="004B45DF" w:rsidRPr="008D0970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На састанцима Одбора могу учествовати представници Генералног секретаријата Савета Европске уније као посматрачи</w:t>
      </w:r>
      <w:r w:rsidRPr="008D0970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  <w:r w:rsidR="004B45DF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Председ</w:t>
      </w:r>
      <w:r w:rsidR="00ED1469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ник може</w:t>
      </w:r>
      <w:r w:rsidR="004B45DF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, уз сагл</w:t>
      </w:r>
      <w:r w:rsidR="00ED1469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асност осталих шефова делегација</w:t>
      </w:r>
      <w:r w:rsidR="004B45DF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, </w:t>
      </w:r>
      <w:r w:rsidR="00ED1469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на састанке Одбора </w:t>
      </w:r>
      <w:r w:rsidR="004B45DF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позвати особе које нису чланови делегација како би пружиле информације о </w:t>
      </w:r>
      <w:r w:rsidR="00ED1469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појединим </w:t>
      </w:r>
      <w:r w:rsidR="004B45DF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темама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5.   </w:t>
      </w:r>
      <w:r w:rsidR="004B45DF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Стране </w:t>
      </w:r>
      <w:r w:rsidR="00ED1469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најмање недељу дана пре састанка </w:t>
      </w:r>
      <w:r w:rsidR="004B45DF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обавештавају Секретара Одбора о саставу своје делегације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  <w:r w:rsidR="004B45DF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</w:p>
    <w:p w:rsidR="00B04662" w:rsidRPr="008A0109" w:rsidRDefault="00E06CC6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 xml:space="preserve">Члан </w:t>
      </w:r>
      <w:r w:rsidR="00B04662"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4</w:t>
      </w:r>
    </w:p>
    <w:p w:rsidR="00B04662" w:rsidRPr="008A0109" w:rsidRDefault="00E06CC6" w:rsidP="00B04662">
      <w:pPr>
        <w:shd w:val="clear" w:color="auto" w:fill="FFFFFF"/>
        <w:spacing w:before="6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Секретаријат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1.   </w:t>
      </w:r>
      <w:r w:rsidR="00034324" w:rsidRPr="008D0970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Представник </w:t>
      </w:r>
      <w:r w:rsidR="00151334" w:rsidRPr="008D0970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Комисије </w:t>
      </w:r>
      <w:r w:rsidR="00AE3CE5" w:rsidRPr="008D0970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осигурава </w:t>
      </w:r>
      <w:r w:rsidR="00034324" w:rsidRPr="008D0970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услуге секретара Одбора</w:t>
      </w:r>
      <w:r w:rsidRPr="008D0970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  <w:r w:rsidR="00034324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Секретара именује </w:t>
      </w:r>
      <w:r w:rsidR="00151334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</w:t>
      </w:r>
      <w:r w:rsidR="00AE3CE5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редседник </w:t>
      </w:r>
      <w:r w:rsidR="00034324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Одбора и он </w:t>
      </w:r>
      <w:r w:rsidR="00AE3CE5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ће своје </w:t>
      </w:r>
      <w:r w:rsidR="00034324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дужности </w:t>
      </w:r>
      <w:r w:rsidR="00AE3CE5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вршити </w:t>
      </w:r>
      <w:r w:rsidR="00034324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све до именовања новог </w:t>
      </w:r>
      <w:r w:rsidR="00151334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</w:t>
      </w:r>
      <w:r w:rsidR="00034324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екретара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</w:t>
      </w:r>
      <w:r w:rsidR="00AE3CE5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Председник</w:t>
      </w:r>
      <w:r w:rsidR="00151334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другим странама објављује име С</w:t>
      </w:r>
      <w:r w:rsidR="00AE3CE5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екретара и његове податке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2.   </w:t>
      </w:r>
      <w:r w:rsidR="00034324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Секретар је одговоран за комуникацију између делегација, укључујући </w:t>
      </w:r>
      <w:r w:rsidR="00AE3CE5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доставу </w:t>
      </w:r>
      <w:r w:rsidR="00034324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докумената и врши надзор секретарских дужности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034324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 xml:space="preserve">Члан </w:t>
      </w:r>
      <w:r w:rsidR="00B04662"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5</w:t>
      </w:r>
    </w:p>
    <w:p w:rsidR="00B04662" w:rsidRPr="008A0109" w:rsidRDefault="00034324" w:rsidP="00B04662">
      <w:pPr>
        <w:shd w:val="clear" w:color="auto" w:fill="FFFFFF"/>
        <w:spacing w:before="6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Састанци Одбора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1.   </w:t>
      </w:r>
      <w:r w:rsidR="00034324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Одбор се састаје на захтев најмање једне стране. Председ</w:t>
      </w:r>
      <w:r w:rsidR="00F128A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ник </w:t>
      </w:r>
      <w:r w:rsidR="00034324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сазива Одбор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2.   </w:t>
      </w:r>
      <w:r w:rsidR="00034324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Председ</w:t>
      </w:r>
      <w:r w:rsidR="00F128A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ник </w:t>
      </w:r>
      <w:r w:rsidR="00034324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шаље обавештење о састанку, заједно с нацртом дневног реда и документима за састанак, </w:t>
      </w:r>
      <w:r w:rsidR="00F128A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шефовима других делегација </w:t>
      </w:r>
      <w:r w:rsidR="007463B1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најмање 15 радних дана пре почетка састанка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  <w:r w:rsidR="00F128A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</w:p>
    <w:p w:rsidR="00B04662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3.   </w:t>
      </w:r>
      <w:r w:rsidR="007463B1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</w:t>
      </w:r>
      <w:r w:rsidR="00F128A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вака с</w:t>
      </w:r>
      <w:r w:rsidR="007463B1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трана може </w:t>
      </w:r>
      <w:r w:rsidR="00F128A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ради хитности појединог питања затражити од </w:t>
      </w:r>
      <w:r w:rsidR="00151334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</w:t>
      </w:r>
      <w:r w:rsidR="00F128A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редседника да скрати </w:t>
      </w:r>
      <w:r w:rsidR="007463B1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период обавештавања из става 2.</w:t>
      </w:r>
    </w:p>
    <w:p w:rsidR="0029744D" w:rsidRPr="008A0109" w:rsidRDefault="0029744D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lastRenderedPageBreak/>
        <w:t>4.   </w:t>
      </w:r>
      <w:r w:rsidR="007463B1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Састанци Одбора нису јавни, осим ако </w:t>
      </w:r>
      <w:r w:rsidR="00D273A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шефови делегација не одлуче другачије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5.   </w:t>
      </w:r>
      <w:r w:rsidR="007463B1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Одбор се састаје у Брис</w:t>
      </w:r>
      <w:r w:rsidR="00151334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е</w:t>
      </w:r>
      <w:r w:rsidR="007463B1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лу, </w:t>
      </w:r>
      <w:r w:rsidR="001530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осим ако се стране не </w:t>
      </w:r>
      <w:r w:rsidR="00D273A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договоре </w:t>
      </w:r>
      <w:r w:rsidR="0015305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да се састану другде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15305B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 xml:space="preserve">Члан </w:t>
      </w:r>
      <w:r w:rsidR="00B04662"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6</w:t>
      </w:r>
    </w:p>
    <w:p w:rsidR="00B04662" w:rsidRPr="008A0109" w:rsidRDefault="0015305B" w:rsidP="00B04662">
      <w:pPr>
        <w:shd w:val="clear" w:color="auto" w:fill="FFFFFF"/>
        <w:spacing w:before="6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Дневни ред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1.   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Председ</w:t>
      </w:r>
      <w:r w:rsidR="00CE018E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ник</w:t>
      </w:r>
      <w:r w:rsidR="005B4E73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, уз помоћ Секретара, саставља нацрт дневног реда за сваки састанак и након саветовања са шефовима других делегација одређује место и време састанка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</w:t>
      </w:r>
      <w:r w:rsidR="00CE018E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Председник шаље привремени дневни ред другим шефовима делегација најмање 15 радних дана пре почетка састанка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</w:t>
      </w:r>
      <w:r w:rsidR="00CE018E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Дневном реду се прилажу сви неопходни радни документи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F527A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Latn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2.   </w:t>
      </w:r>
      <w:r w:rsidR="00CE018E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Рок за обавештавање одређен у ставу 1. не важи за хи</w:t>
      </w:r>
      <w:r w:rsidR="008F527A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тне састанке сазване у складу с</w:t>
      </w:r>
      <w:r w:rsidR="00CE018E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чланом 5 став 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3.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3.   </w:t>
      </w:r>
      <w:r w:rsidR="0008559B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Свака страна може да предложи да се на привремени дневни ред уврсти једна или више тачака</w:t>
      </w:r>
      <w:r w:rsidR="008F527A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, </w:t>
      </w:r>
      <w:r w:rsidR="008F527A" w:rsidRPr="008F527A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најкасније 24 сата пре почетка састанка</w:t>
      </w:r>
      <w:r w:rsidRPr="008F527A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  <w:r w:rsidR="00065EF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Захтеви да се тачке уврсте на дневни ред се заједно с разлогом у писаном облику шаљу Председнику.</w:t>
      </w:r>
      <w:r w:rsidR="008F527A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4.   </w:t>
      </w:r>
      <w:r w:rsidR="00065EF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На почетку састанка, Одбор доноси дневни ред. Одбор може одлучити да на дневни ред уврст</w:t>
      </w:r>
      <w:r w:rsidR="00C92E63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и</w:t>
      </w:r>
      <w:r w:rsidR="00065EF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неку тачку која није на </w:t>
      </w:r>
      <w:r w:rsidR="00222DBC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предложеном</w:t>
      </w:r>
      <w:r w:rsidR="00065EF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дневном реду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065EF0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 xml:space="preserve">Члан </w:t>
      </w:r>
      <w:r w:rsidR="00B04662"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7</w:t>
      </w:r>
    </w:p>
    <w:p w:rsidR="00B04662" w:rsidRPr="008A0109" w:rsidRDefault="00065EF0" w:rsidP="00B04662">
      <w:pPr>
        <w:shd w:val="clear" w:color="auto" w:fill="FFFFFF"/>
        <w:spacing w:before="6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Доношење аката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1.   </w:t>
      </w:r>
      <w:r w:rsidR="00065EF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У складу са ч</w:t>
      </w:r>
      <w:r w:rsidR="009A26AD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ланом 23 ставови 5. и 6. Споразум</w:t>
      </w:r>
      <w:r w:rsidR="00065EF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а, присутне стране доносе одлуке Одбора једногласно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</w:t>
      </w:r>
      <w:r w:rsidR="00065EF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Препоруке, а посебно о</w:t>
      </w:r>
      <w:r w:rsidR="003A5BDB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не из члана 24 став 2. тачка (г) Споразума</w:t>
      </w:r>
      <w:r w:rsidR="00065EF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, делегације које представљају стране доносе </w:t>
      </w:r>
      <w:r w:rsidR="00A20C58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се </w:t>
      </w:r>
      <w:r w:rsidR="00065EF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консензусом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</w:t>
      </w:r>
      <w:r w:rsidR="00065EF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Одлуке и препоруке насловљене су </w:t>
      </w:r>
      <w:r w:rsidR="007119F8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‘</w:t>
      </w:r>
      <w:r w:rsidR="00065EF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Одлука</w:t>
      </w:r>
      <w:r w:rsidR="007119F8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‘</w:t>
      </w:r>
      <w:r w:rsidR="00065EF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или </w:t>
      </w:r>
      <w:r w:rsidR="007119F8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‘</w:t>
      </w:r>
      <w:r w:rsidR="00065EF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Препорука</w:t>
      </w:r>
      <w:r w:rsidR="007119F8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‘</w:t>
      </w:r>
      <w:r w:rsidR="00065EF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, </w:t>
      </w:r>
      <w:r w:rsidR="00D13F6D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које следи серијски број, датум њиховог доношења и навођење о садржају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2.   </w:t>
      </w:r>
      <w:r w:rsidR="00D13F6D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Одлуке и препоруке Одбора потписују Председник и Секретар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</w:t>
      </w:r>
      <w:r w:rsidR="00D13F6D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Секретар их шаље другим шефовима делегација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3.   </w:t>
      </w:r>
      <w:r w:rsidR="00D13F6D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Свака страна може одлучити да објави било који акт који је донео Одбор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7119F8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4.   </w:t>
      </w:r>
      <w:r w:rsidR="007F281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Акти Одбора се могу донети писаним поступком ако се тако договоре шефови делегације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</w:t>
      </w:r>
      <w:r w:rsidR="007F281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Председник предлаже нацрт акта другим шефовима делегације који у свом одговору наводе да ли прихватају нацрт или не, да ли предлажу измене и допуне нацрта или захтевају још времена за разматрање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</w:t>
      </w:r>
      <w:r w:rsidR="007F281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Ако се нацрт </w:t>
      </w:r>
      <w:r w:rsidR="00A20C58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усвоји</w:t>
      </w:r>
      <w:r w:rsidR="007F281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, </w:t>
      </w:r>
    </w:p>
    <w:p w:rsidR="007119F8" w:rsidRDefault="007119F8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</w:p>
    <w:p w:rsidR="007119F8" w:rsidRDefault="007119F8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</w:p>
    <w:p w:rsidR="00B04662" w:rsidRPr="008A0109" w:rsidRDefault="007F2810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lastRenderedPageBreak/>
        <w:t>Председник у складу са ставовима 1. и 2. завршно обликује одлуку или препоруку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5.   </w:t>
      </w:r>
      <w:r w:rsidR="007F281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Препоруке и одлуке </w:t>
      </w:r>
      <w:r w:rsidR="00A20C58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се </w:t>
      </w:r>
      <w:r w:rsidR="007F281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састављају на енглеском, француском и немачком језику, при чему су сви текстови једнако веродостојни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</w:t>
      </w:r>
      <w:r w:rsidR="007F281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Свака страна је одговорна за исправан превод препорука и одлука на свој службени језик или језике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</w:t>
      </w:r>
      <w:r w:rsidR="007F281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Превод на друге језике Уније обезбеђује Комисија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7F2810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 xml:space="preserve">Члан </w:t>
      </w:r>
      <w:r w:rsidR="00B04662"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8</w:t>
      </w:r>
    </w:p>
    <w:p w:rsidR="00B04662" w:rsidRPr="008A0109" w:rsidRDefault="007F2810" w:rsidP="00B04662">
      <w:pPr>
        <w:shd w:val="clear" w:color="auto" w:fill="FFFFFF"/>
        <w:spacing w:before="6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Записник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1.   </w:t>
      </w:r>
      <w:r w:rsidR="007F2810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Секретар, </w:t>
      </w:r>
      <w:r w:rsidR="002C63E6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под одговорношћу Председника, саставља нацрт записника за сваки састанак Одбора у року од 15 радних дана након састанка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2.   </w:t>
      </w:r>
      <w:r w:rsidR="002C63E6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Записник, по правилу, за сваку тачку дневног реда наводи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"/>
        <w:gridCol w:w="8995"/>
      </w:tblGrid>
      <w:tr w:rsidR="00B04662" w:rsidRPr="008A0109" w:rsidTr="00B04662">
        <w:tc>
          <w:tcPr>
            <w:tcW w:w="0" w:type="auto"/>
            <w:shd w:val="clear" w:color="auto" w:fill="auto"/>
            <w:hideMark/>
          </w:tcPr>
          <w:p w:rsidR="00B04662" w:rsidRPr="008A0109" w:rsidRDefault="00B04662" w:rsidP="00B04662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—</w:t>
            </w:r>
          </w:p>
        </w:tc>
        <w:tc>
          <w:tcPr>
            <w:tcW w:w="0" w:type="auto"/>
            <w:shd w:val="clear" w:color="auto" w:fill="auto"/>
            <w:hideMark/>
          </w:tcPr>
          <w:p w:rsidR="00B04662" w:rsidRPr="008A0109" w:rsidRDefault="002C63E6" w:rsidP="002C63E6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Податке о документима који су поднесени Одбору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,</w:t>
            </w:r>
          </w:p>
        </w:tc>
      </w:tr>
    </w:tbl>
    <w:p w:rsidR="00B04662" w:rsidRPr="008A0109" w:rsidRDefault="00B04662" w:rsidP="00B046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vanish/>
          <w:color w:val="444444"/>
          <w:sz w:val="27"/>
          <w:szCs w:val="27"/>
          <w:lang w:val="sr-Cyrl-RS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8976"/>
      </w:tblGrid>
      <w:tr w:rsidR="008A0109" w:rsidRPr="008A0109" w:rsidTr="00B04662">
        <w:tc>
          <w:tcPr>
            <w:tcW w:w="0" w:type="auto"/>
            <w:shd w:val="clear" w:color="auto" w:fill="auto"/>
            <w:hideMark/>
          </w:tcPr>
          <w:p w:rsidR="00B04662" w:rsidRPr="008A0109" w:rsidRDefault="00B04662" w:rsidP="00B04662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—</w:t>
            </w:r>
          </w:p>
        </w:tc>
        <w:tc>
          <w:tcPr>
            <w:tcW w:w="0" w:type="auto"/>
            <w:shd w:val="clear" w:color="auto" w:fill="auto"/>
            <w:hideMark/>
          </w:tcPr>
          <w:p w:rsidR="00B04662" w:rsidRPr="008A0109" w:rsidRDefault="002C63E6" w:rsidP="002C63E6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Изјаве за које је страна захтевала да се забележе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,</w:t>
            </w:r>
          </w:p>
        </w:tc>
      </w:tr>
    </w:tbl>
    <w:p w:rsidR="00B04662" w:rsidRPr="008A0109" w:rsidRDefault="00B04662" w:rsidP="00B046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vanish/>
          <w:color w:val="444444"/>
          <w:sz w:val="27"/>
          <w:szCs w:val="27"/>
          <w:lang w:val="sr-Cyrl-RS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8989"/>
      </w:tblGrid>
      <w:tr w:rsidR="002C63E6" w:rsidRPr="008A0109" w:rsidTr="00B04662">
        <w:tc>
          <w:tcPr>
            <w:tcW w:w="0" w:type="auto"/>
            <w:shd w:val="clear" w:color="auto" w:fill="auto"/>
            <w:hideMark/>
          </w:tcPr>
          <w:p w:rsidR="00B04662" w:rsidRPr="008A0109" w:rsidRDefault="00B04662" w:rsidP="00B04662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—</w:t>
            </w:r>
          </w:p>
        </w:tc>
        <w:tc>
          <w:tcPr>
            <w:tcW w:w="0" w:type="auto"/>
            <w:shd w:val="clear" w:color="auto" w:fill="auto"/>
            <w:hideMark/>
          </w:tcPr>
          <w:p w:rsidR="00B04662" w:rsidRPr="008A0109" w:rsidRDefault="00A43A9F" w:rsidP="002C63E6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  <w:r w:rsidR="002C63E6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Донесене одлуке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, </w:t>
            </w:r>
            <w:r w:rsidR="002C63E6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препоруке и усвојене закључке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</w:p>
        </w:tc>
      </w:tr>
    </w:tbl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3.   </w:t>
      </w:r>
      <w:r w:rsidR="00A43A9F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Нацрт записника се у складу с</w:t>
      </w:r>
      <w:r w:rsidR="002C63E6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писаним постпуком из члана 7 став 4. подноси Одбору на одобрење. Ако тај поступак није завршен, Одбор усваја записник на следећем састанку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222DBC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4.   </w:t>
      </w:r>
      <w:r w:rsidR="0040675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Након што Одбор усвоји записник, потписују га Председник и Секретар, а Секретар га архивира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</w:t>
      </w:r>
      <w:r w:rsidR="0040675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Секретар шаље по један примерак другим шефовима делегације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406752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 xml:space="preserve">Члан </w:t>
      </w:r>
      <w:r w:rsidR="00B04662"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9</w:t>
      </w:r>
    </w:p>
    <w:p w:rsidR="00B04662" w:rsidRPr="008A0109" w:rsidRDefault="00406752" w:rsidP="00B04662">
      <w:pPr>
        <w:shd w:val="clear" w:color="auto" w:fill="FFFFFF"/>
        <w:spacing w:before="6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Поверљивост</w:t>
      </w:r>
    </w:p>
    <w:p w:rsidR="00B04662" w:rsidRPr="008A0109" w:rsidRDefault="0040675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Не доводећи у питање одредбу о објави аката из члана 7 став 3, већања на састанцима и документи Одбора су професионална тајна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406752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Чла</w:t>
      </w:r>
      <w:r w:rsidR="00991902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н</w:t>
      </w: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 xml:space="preserve"> </w:t>
      </w:r>
      <w:r w:rsidR="00B04662"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10</w:t>
      </w:r>
    </w:p>
    <w:p w:rsidR="00B04662" w:rsidRPr="008A0109" w:rsidRDefault="00406752" w:rsidP="00B04662">
      <w:pPr>
        <w:shd w:val="clear" w:color="auto" w:fill="FFFFFF"/>
        <w:spacing w:before="6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Трошкови</w:t>
      </w:r>
    </w:p>
    <w:p w:rsidR="00B04662" w:rsidRPr="008A0109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1.   </w:t>
      </w:r>
      <w:r w:rsidR="00566565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Свака стран</w:t>
      </w:r>
      <w:r w:rsidR="00AB5648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а</w:t>
      </w:r>
      <w:r w:rsidR="00566565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самостално сноси трошкове настале при учествовању на састанцима Одбора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Default="00B04662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2.   </w:t>
      </w:r>
      <w:r w:rsidR="00566565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Одбор одлучује о повраћају трошкова повезаних са службеним путовањима додељеним особама које позове Председник у складу са чланом 3 став 4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7119F8" w:rsidRDefault="007119F8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</w:p>
    <w:p w:rsidR="007119F8" w:rsidRPr="008A0109" w:rsidRDefault="007119F8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</w:p>
    <w:p w:rsidR="00B04662" w:rsidRPr="008A0109" w:rsidRDefault="00566565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lastRenderedPageBreak/>
        <w:t xml:space="preserve">Члан </w:t>
      </w:r>
      <w:r w:rsidR="00B04662"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11</w:t>
      </w:r>
    </w:p>
    <w:p w:rsidR="00B04662" w:rsidRPr="008A0109" w:rsidRDefault="00566565" w:rsidP="00B04662">
      <w:pPr>
        <w:shd w:val="clear" w:color="auto" w:fill="FFFFFF"/>
        <w:spacing w:before="6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Кореспонденција</w:t>
      </w:r>
    </w:p>
    <w:p w:rsidR="00B04662" w:rsidRPr="008A0109" w:rsidRDefault="00566565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Сва кореспонденција коју Председик Одбора пошаље или му је послата шаље се Секретару Одбора. Секретар свим делегацијама шаље примерак све</w:t>
      </w:r>
      <w:r w:rsidR="002A438F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кореспонденције у вези са Споразум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ом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566565" w:rsidP="00B04662">
      <w:pPr>
        <w:shd w:val="clear" w:color="auto" w:fill="FFFFFF"/>
        <w:spacing w:before="360" w:after="120" w:line="312" w:lineRule="atLeast"/>
        <w:jc w:val="center"/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 xml:space="preserve">Члан </w:t>
      </w:r>
      <w:r w:rsidR="00B04662" w:rsidRPr="008A0109">
        <w:rPr>
          <w:rFonts w:ascii="Times New Roman" w:eastAsia="Times New Roman" w:hAnsi="Times New Roman" w:cs="Times New Roman"/>
          <w:i/>
          <w:iCs/>
          <w:noProof/>
          <w:color w:val="444444"/>
          <w:sz w:val="27"/>
          <w:szCs w:val="27"/>
          <w:lang w:val="sr-Cyrl-RS"/>
        </w:rPr>
        <w:t>12</w:t>
      </w:r>
    </w:p>
    <w:p w:rsidR="00B04662" w:rsidRPr="008A0109" w:rsidRDefault="00566565" w:rsidP="00B04662">
      <w:pPr>
        <w:shd w:val="clear" w:color="auto" w:fill="FFFFFF"/>
        <w:spacing w:before="6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Језици</w:t>
      </w:r>
    </w:p>
    <w:p w:rsidR="00B04662" w:rsidRPr="008A0109" w:rsidRDefault="00566565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Одбор одлучује који се језици користе на састанцима и у документима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Страна која </w:t>
      </w:r>
      <w:r w:rsidR="00EA368A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која одржава састанак није обавезна да осигура усмено превођење на друге језике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.</w:t>
      </w:r>
    </w:p>
    <w:p w:rsidR="00B04662" w:rsidRPr="008A0109" w:rsidRDefault="007119F8" w:rsidP="00B0466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pict>
          <v:rect id="_x0000_i1028" style="width:64.5pt;height:.75pt" o:hrpct="0" o:hralign="center" o:hrstd="t" o:hrnoshade="t" o:hr="t" fillcolor="black" stroked="f"/>
        </w:pict>
      </w:r>
    </w:p>
    <w:p w:rsidR="00B04662" w:rsidRPr="007119F8" w:rsidRDefault="005D50C4" w:rsidP="00B04662">
      <w:pPr>
        <w:shd w:val="clear" w:color="auto" w:fill="FFFFFF"/>
        <w:spacing w:before="240" w:after="120" w:line="312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АНЕКС </w:t>
      </w:r>
      <w:r w:rsidR="007119F8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Latn-CS"/>
        </w:rPr>
        <w:t>II</w:t>
      </w:r>
    </w:p>
    <w:p w:rsidR="00B04662" w:rsidRPr="008A0109" w:rsidRDefault="00EA368A" w:rsidP="00B04662">
      <w:pPr>
        <w:shd w:val="clear" w:color="auto" w:fill="FFFFFF"/>
        <w:spacing w:before="240" w:after="120" w:line="312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Прилагођавање </w:t>
      </w:r>
      <w:r w:rsidR="005D50C4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Анекса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</w:t>
      </w:r>
      <w:r w:rsidR="00B04662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1 </w:t>
      </w:r>
      <w:r w:rsidR="001E06A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Споразума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у вези с</w:t>
      </w:r>
      <w:r w:rsidR="001E06A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а</w:t>
      </w: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условима за превознике у </w:t>
      </w:r>
      <w:r w:rsidR="00D94EF8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превозу путника у друмском саобраћају</w:t>
      </w:r>
      <w:r w:rsidR="00B04662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, </w:t>
      </w:r>
      <w:r w:rsidR="005D50C4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Анекса</w:t>
      </w:r>
      <w:r w:rsidR="00D94EF8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</w:t>
      </w:r>
      <w:r w:rsidR="00B04662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2 </w:t>
      </w:r>
      <w:r w:rsidR="001E06A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Споразума</w:t>
      </w:r>
      <w:r w:rsidR="00D94EF8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у вези с</w:t>
      </w:r>
      <w:r w:rsidR="001E06A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а</w:t>
      </w:r>
      <w:r w:rsidR="00D94EF8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техничким стандардима који важе за аутобусе и захтевима у погледу соција</w:t>
      </w:r>
      <w:r w:rsidR="001E06A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лних одредби из члана 8 Споразума</w:t>
      </w:r>
      <w:r w:rsidR="00D94EF8"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 xml:space="preserve"> </w:t>
      </w:r>
      <w:hyperlink r:id="rId7" w:anchor="ntr1-L_2012008EN.01004201-E0001" w:history="1">
        <w:r w:rsidR="00B04662" w:rsidRPr="008A0109">
          <w:rPr>
            <w:rFonts w:ascii="Times New Roman" w:eastAsia="Times New Roman" w:hAnsi="Times New Roman" w:cs="Times New Roman"/>
            <w:b/>
            <w:bCs/>
            <w:noProof/>
            <w:color w:val="800080"/>
            <w:sz w:val="27"/>
            <w:szCs w:val="27"/>
            <w:u w:val="single"/>
            <w:lang w:val="sr-Cyrl-RS"/>
          </w:rPr>
          <w:t> (</w:t>
        </w:r>
        <w:r w:rsidR="00B04662" w:rsidRPr="008A0109">
          <w:rPr>
            <w:rFonts w:ascii="Times New Roman" w:eastAsia="Times New Roman" w:hAnsi="Times New Roman" w:cs="Times New Roman"/>
            <w:b/>
            <w:bCs/>
            <w:noProof/>
            <w:color w:val="800080"/>
            <w:sz w:val="19"/>
            <w:szCs w:val="19"/>
            <w:vertAlign w:val="superscript"/>
            <w:lang w:val="sr-Cyrl-RS"/>
          </w:rPr>
          <w:t>1</w:t>
        </w:r>
        <w:r w:rsidR="00B04662" w:rsidRPr="008A0109">
          <w:rPr>
            <w:rFonts w:ascii="Times New Roman" w:eastAsia="Times New Roman" w:hAnsi="Times New Roman" w:cs="Times New Roman"/>
            <w:b/>
            <w:bCs/>
            <w:noProof/>
            <w:color w:val="800080"/>
            <w:sz w:val="27"/>
            <w:szCs w:val="27"/>
            <w:u w:val="single"/>
            <w:lang w:val="sr-Cyrl-RS"/>
          </w:rPr>
          <w:t>)</w:t>
        </w:r>
      </w:hyperlink>
    </w:p>
    <w:p w:rsidR="00B04662" w:rsidRPr="008A0109" w:rsidRDefault="00B04662" w:rsidP="00B04662">
      <w:pPr>
        <w:shd w:val="clear" w:color="auto" w:fill="FFFFFF"/>
        <w:spacing w:before="240" w:after="120" w:line="312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1.</w:t>
      </w:r>
      <w:r w:rsidR="00822411" w:rsidRPr="008A0109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 xml:space="preserve"> Прилагођавање </w:t>
      </w:r>
      <w:r w:rsidR="005D50C4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>Анекса</w:t>
      </w:r>
      <w:r w:rsidR="00822411" w:rsidRPr="008A0109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 xml:space="preserve"> </w:t>
      </w:r>
      <w:r w:rsidR="005D50C4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>1</w:t>
      </w:r>
      <w:r w:rsidRPr="008A0109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 xml:space="preserve"> </w:t>
      </w:r>
      <w:r w:rsidR="001E06A9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>Споразума</w:t>
      </w:r>
      <w:r w:rsidR="00822411" w:rsidRPr="008A0109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 xml:space="preserve"> у вези с</w:t>
      </w:r>
      <w:r w:rsidR="001E06A9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>а</w:t>
      </w:r>
      <w:r w:rsidR="00822411" w:rsidRPr="008A0109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 xml:space="preserve"> условима који важе за превозника у превозу путника у друмском саобраћају</w:t>
      </w:r>
    </w:p>
    <w:p w:rsidR="00B04662" w:rsidRPr="008A0109" w:rsidRDefault="00822411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Следећи акт Уније додаје се </w:t>
      </w:r>
      <w:r w:rsidR="005D50C4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Анексу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1 </w:t>
      </w:r>
      <w:r w:rsidR="001E06A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Споразума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:</w:t>
      </w:r>
    </w:p>
    <w:p w:rsidR="00B04662" w:rsidRPr="008A0109" w:rsidRDefault="00822411" w:rsidP="00B04662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„Уредба (ЕЗ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) 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бр. 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1071/2009 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Европског парламента и Савета од 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21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октобра 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2009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. о успостављању заједничких правила која се тичу услова за обављање делатности превозника у друмском саобраћају те стављању ван снаге Директиве Савета 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96/26/E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З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 xml:space="preserve"> (</w:t>
      </w:r>
      <w:hyperlink r:id="rId8" w:history="1"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sz w:val="27"/>
            <w:szCs w:val="27"/>
            <w:u w:val="single"/>
            <w:lang w:val="sr-Cyrl-RS"/>
          </w:rPr>
          <w:t xml:space="preserve">OJ L 300, 14.11.2009, </w:t>
        </w:r>
        <w:r w:rsidR="004432DE" w:rsidRPr="008A0109">
          <w:rPr>
            <w:rFonts w:ascii="Times New Roman" w:eastAsia="Times New Roman" w:hAnsi="Times New Roman" w:cs="Times New Roman"/>
            <w:noProof/>
            <w:color w:val="800080"/>
            <w:sz w:val="27"/>
            <w:szCs w:val="27"/>
            <w:u w:val="single"/>
            <w:lang w:val="sr-Cyrl-RS"/>
          </w:rPr>
          <w:t>стр</w:t>
        </w:r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sz w:val="27"/>
            <w:szCs w:val="27"/>
            <w:u w:val="single"/>
            <w:lang w:val="sr-Cyrl-RS"/>
          </w:rPr>
          <w:t>. 51</w:t>
        </w:r>
      </w:hyperlink>
      <w:r w:rsidR="00B04662"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).</w:t>
      </w:r>
      <w:r w:rsidRPr="008A0109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t>“</w:t>
      </w:r>
    </w:p>
    <w:p w:rsidR="00B04662" w:rsidRPr="008A0109" w:rsidRDefault="00B04662" w:rsidP="00B04662">
      <w:pPr>
        <w:shd w:val="clear" w:color="auto" w:fill="FFFFFF"/>
        <w:spacing w:before="240" w:after="120" w:line="312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t>2.   </w:t>
      </w:r>
      <w:r w:rsidR="00822411" w:rsidRPr="008A0109">
        <w:rPr>
          <w:rFonts w:ascii="Times New Roman" w:eastAsia="Times New Roman" w:hAnsi="Times New Roman" w:cs="Times New Roman"/>
          <w:b/>
          <w:bCs/>
          <w:i/>
          <w:noProof/>
          <w:color w:val="444444"/>
          <w:sz w:val="27"/>
          <w:szCs w:val="27"/>
          <w:lang w:val="sr-Cyrl-RS"/>
        </w:rPr>
        <w:t>Прилаго</w:t>
      </w:r>
      <w:r w:rsidR="00822411" w:rsidRPr="008A0109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 xml:space="preserve">ђавање </w:t>
      </w:r>
      <w:r w:rsidR="005D50C4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>Анекса</w:t>
      </w:r>
      <w:r w:rsidR="00822411" w:rsidRPr="008A0109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 xml:space="preserve"> </w:t>
      </w:r>
      <w:r w:rsidRPr="008A0109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 xml:space="preserve">2 </w:t>
      </w:r>
      <w:r w:rsidR="001E06A9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>Споразума</w:t>
      </w:r>
      <w:r w:rsidR="00822411" w:rsidRPr="008A0109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 xml:space="preserve"> у вези с</w:t>
      </w:r>
      <w:r w:rsidR="007119F8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Latn-CS"/>
        </w:rPr>
        <w:t>a</w:t>
      </w:r>
      <w:r w:rsidR="00822411" w:rsidRPr="008A0109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 xml:space="preserve"> техничким стандардима који важе за аутобусе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9226"/>
      </w:tblGrid>
      <w:tr w:rsidR="00B04662" w:rsidRPr="008A0109" w:rsidTr="00B04662">
        <w:tc>
          <w:tcPr>
            <w:tcW w:w="0" w:type="auto"/>
            <w:shd w:val="clear" w:color="auto" w:fill="auto"/>
            <w:hideMark/>
          </w:tcPr>
          <w:p w:rsidR="00B04662" w:rsidRPr="008A0109" w:rsidRDefault="00B04662" w:rsidP="00B04662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0" w:type="auto"/>
            <w:shd w:val="clear" w:color="auto" w:fill="auto"/>
            <w:hideMark/>
          </w:tcPr>
          <w:p w:rsidR="00B04662" w:rsidRPr="008A0109" w:rsidRDefault="001E06A9" w:rsidP="00B04662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У члану 1 </w:t>
            </w:r>
            <w:r w:rsidR="005D50C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Анекса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2 Споразума</w:t>
            </w:r>
            <w:r w:rsidR="00822411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, тачке 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(a), (</w:t>
            </w:r>
            <w:r w:rsidR="00822411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б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),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ц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) </w:t>
            </w:r>
            <w:r w:rsidR="00822411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и 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д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) </w:t>
            </w:r>
            <w:r w:rsidR="00822411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замењују се следећим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: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"/>
              <w:gridCol w:w="8959"/>
            </w:tblGrid>
            <w:tr w:rsidR="00B04662" w:rsidRPr="008A0109"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B04662" w:rsidP="00B0466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(a)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822411" w:rsidP="00B0466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</w:t>
                  </w:r>
                  <w:r w:rsidR="004432DE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Технички прегледи моторних возила и њихових приколица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:</w:t>
                  </w: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"/>
                    <w:gridCol w:w="8719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4432DE" w:rsidP="004432DE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Директива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2009/40/E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З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 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Европског парламента и Савета од 0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6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. маја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2009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.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 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о техничким прегледима моторних возила и њихових приколица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(</w:t>
                        </w:r>
                        <w:hyperlink r:id="rId9" w:history="1"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 xml:space="preserve">OJ L 141, 6.6.2009, </w:t>
                          </w:r>
                          <w:r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стр</w:t>
                          </w:r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. 12</w:t>
                          </w:r>
                        </w:hyperlink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),</w:t>
                        </w: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vanish/>
                      <w:sz w:val="24"/>
                      <w:szCs w:val="24"/>
                      <w:lang w:val="sr-Cyrl-RS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"/>
                    <w:gridCol w:w="8719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4432DE" w:rsidP="004432DE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Директива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2000/30/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ЕЗ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 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Европског парламента и Савета од 0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6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. јуна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2000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. о инспекцијском надзору на путу о утврђивању техничке </w:t>
                        </w:r>
                        <w:r w:rsidR="005204FF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и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справности комерцијалних 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lastRenderedPageBreak/>
                          <w:t xml:space="preserve">возила која обављају саобраћај у Заједници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(</w:t>
                        </w:r>
                        <w:hyperlink r:id="rId10" w:history="1"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 xml:space="preserve">OJ L 203, 10.8.2000, </w:t>
                          </w:r>
                          <w:r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стр</w:t>
                          </w:r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. 1</w:t>
                          </w:r>
                        </w:hyperlink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) 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како је измењена и допуњена Директивом Комисије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2003/26/E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З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 (</w:t>
                        </w:r>
                        <w:hyperlink r:id="rId11" w:history="1"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 xml:space="preserve">OJ L 90, 8.4.2003, </w:t>
                          </w:r>
                          <w:r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стр</w:t>
                          </w:r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. 37</w:t>
                          </w:r>
                        </w:hyperlink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);</w:t>
                        </w: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:rsidR="00B04662" w:rsidRPr="008A0109" w:rsidRDefault="00B04662" w:rsidP="00B0466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vanish/>
                <w:sz w:val="24"/>
                <w:szCs w:val="24"/>
                <w:lang w:val="sr-Cyrl-RS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2"/>
              <w:gridCol w:w="8944"/>
            </w:tblGrid>
            <w:tr w:rsidR="00B04662" w:rsidRPr="008A0109"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B04662" w:rsidP="004432DE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</w:t>
                  </w:r>
                  <w:r w:rsidR="004432DE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б</w:t>
                  </w:r>
                  <w:r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)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4432DE" w:rsidP="00B0466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Уређаји за ограничење брзине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:</w:t>
                  </w: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"/>
                    <w:gridCol w:w="8704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4432DE" w:rsidP="008A0109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Директива Савета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92/6/EE</w:t>
                        </w:r>
                        <w:r w:rsidR="008A0109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З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 </w:t>
                        </w:r>
                        <w:r w:rsidR="008A0109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од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10</w:t>
                        </w:r>
                        <w:r w:rsidR="008A0109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. фебруара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1992</w:t>
                        </w:r>
                        <w:r w:rsidR="008A0109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. о уградњи и употреби уређаја за ограничење брзине за одређене категорије моторних возила у Заједници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(</w:t>
                        </w:r>
                        <w:hyperlink r:id="rId12" w:history="1"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 xml:space="preserve">OJ L 57, 2.3.1992, </w:t>
                          </w:r>
                          <w:r w:rsidR="008A0109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стр</w:t>
                          </w:r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. 27</w:t>
                          </w:r>
                        </w:hyperlink>
                        <w:r w:rsidR="008A0109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), како је последњи пут измењена и допуњена </w:t>
                        </w:r>
                        <w:r w:rsid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Директивом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2002/85/E</w:t>
                        </w:r>
                        <w:r w:rsid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З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 </w:t>
                        </w:r>
                        <w:r w:rsid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Европског парламента и Савета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(</w:t>
                        </w:r>
                        <w:hyperlink r:id="rId13" w:history="1"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 xml:space="preserve">OJ L 327, 4.12.2002, </w:t>
                          </w:r>
                          <w:r w:rsid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стр</w:t>
                          </w:r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. 8</w:t>
                          </w:r>
                        </w:hyperlink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);</w:t>
                        </w: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:rsidR="00B04662" w:rsidRPr="008A0109" w:rsidRDefault="00B04662" w:rsidP="00B0466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vanish/>
                <w:sz w:val="24"/>
                <w:szCs w:val="24"/>
                <w:lang w:val="sr-Cyrl-RS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9"/>
              <w:gridCol w:w="8937"/>
            </w:tblGrid>
            <w:tr w:rsidR="00B04662" w:rsidRPr="008A0109"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B04662" w:rsidP="008A0109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</w:t>
                  </w:r>
                  <w:r w:rsidR="00885AC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ц</w:t>
                  </w:r>
                  <w:r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)</w:t>
                  </w:r>
                  <w:r w:rsid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8A0109" w:rsidP="00B0466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Највеће дозвољене димензије и тежине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:</w:t>
                  </w: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"/>
                    <w:gridCol w:w="8697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8A0109" w:rsidP="00D85B8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Директива Савета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96/53/E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З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од 25. јула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1996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. о утврђивању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 </w:t>
                        </w:r>
                        <w:r w:rsidR="00D85B82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највећих дозвољених димензија у унутрашњем и међународном саобраћају за одређена друмска возила која обављају саобраћај унутар Заједнице и највећих дозвољених тежина у међународном саобраћају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(</w:t>
                        </w:r>
                        <w:hyperlink r:id="rId14" w:history="1"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 xml:space="preserve">OJ L 235, 17.9.1996, </w:t>
                          </w:r>
                          <w:r w:rsidR="00D85B82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стр</w:t>
                          </w:r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. 59</w:t>
                          </w:r>
                        </w:hyperlink>
                        <w:r w:rsidR="00D85B82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), како је последњи пут измењена и допуњена Директивом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2002/7/E</w:t>
                        </w:r>
                        <w:r w:rsidR="00D85B82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З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 </w:t>
                        </w:r>
                        <w:r w:rsidR="00D85B82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Европског парламента и Савета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(</w:t>
                        </w:r>
                        <w:hyperlink r:id="rId15" w:history="1"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 xml:space="preserve">OJ L 67, 9.3.2002, </w:t>
                          </w:r>
                          <w:r w:rsidR="00D85B82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ст</w:t>
                          </w:r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p. 47</w:t>
                          </w:r>
                        </w:hyperlink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),</w:t>
                        </w: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vanish/>
                      <w:sz w:val="24"/>
                      <w:szCs w:val="24"/>
                      <w:lang w:val="sr-Cyrl-RS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"/>
                    <w:gridCol w:w="8697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D85B82" w:rsidP="00BD4794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Директива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97/27/E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З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Европског парламента и Савета од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22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. јула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1997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. о масама и димензијама одређених категорија моторних возила и њихових приколица и измени и допуни Директиве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70/156/EE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З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 (</w:t>
                        </w:r>
                        <w:hyperlink r:id="rId16" w:history="1"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 xml:space="preserve">OJ L 233, 25.8.1997,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ст</w:t>
                          </w:r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p. 1</w:t>
                          </w:r>
                        </w:hyperlink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)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како је измењена </w:t>
                        </w:r>
                        <w:r w:rsidR="00BD4794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и допуњена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Директивом Комисије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2003/19/E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З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 (</w:t>
                        </w:r>
                        <w:hyperlink r:id="rId17" w:history="1"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 xml:space="preserve">OJ L 79, 26.3.2003,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ст</w:t>
                          </w:r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p. 6</w:t>
                          </w:r>
                        </w:hyperlink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);</w:t>
                        </w: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:rsidR="00B04662" w:rsidRPr="008A0109" w:rsidRDefault="00B04662" w:rsidP="00B0466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vanish/>
                <w:sz w:val="24"/>
                <w:szCs w:val="24"/>
                <w:lang w:val="sr-Cyrl-RS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2"/>
              <w:gridCol w:w="8944"/>
            </w:tblGrid>
            <w:tr w:rsidR="00B04662" w:rsidRPr="008A0109"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B04662" w:rsidP="00D85B8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</w:t>
                  </w:r>
                  <w:r w:rsidR="00885AC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д</w:t>
                  </w:r>
                  <w:r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)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D85B82" w:rsidP="00B0466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Уређаји за бележење у друмском саобраћају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:</w:t>
                  </w: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"/>
                    <w:gridCol w:w="8704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D85B82" w:rsidP="00BD4794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Уредба Савета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(EE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З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)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бр.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3821/85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од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20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. децембра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1985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. о опреми за бележење у друмском саобраћају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(</w:t>
                        </w:r>
                        <w:hyperlink r:id="rId18" w:history="1"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 xml:space="preserve">OJ L 370, 31.12.1985,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ст</w:t>
                          </w:r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p. 8</w:t>
                          </w:r>
                        </w:hyperlink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)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како је последњи пут измењена и допуњена Уредбом Комисије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(E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У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)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бр.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1266/2009 (</w:t>
                        </w:r>
                        <w:hyperlink r:id="rId19" w:history="1"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 xml:space="preserve">OJ L 339, 22.12.2009,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ст</w:t>
                          </w:r>
                          <w:r w:rsidR="00B04662" w:rsidRPr="008A0109">
                            <w:rPr>
                              <w:rFonts w:ascii="Times New Roman" w:eastAsia="Times New Roman" w:hAnsi="Times New Roman" w:cs="Times New Roman"/>
                              <w:noProof/>
                              <w:color w:val="800080"/>
                              <w:sz w:val="24"/>
                              <w:szCs w:val="24"/>
                              <w:u w:val="single"/>
                              <w:lang w:val="sr-Cyrl-RS"/>
                            </w:rPr>
                            <w:t>p. 3</w:t>
                          </w:r>
                        </w:hyperlink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)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или истоветним правилима утврђеним </w:t>
                        </w:r>
                        <w:r w:rsidR="00BD4794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Европским споразумом о раду посаде на возилима која обављају међународне друмске превозе </w:t>
                        </w:r>
                        <w:r w:rsidR="00BD4794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en-GB"/>
                          </w:rPr>
                          <w:t>(</w:t>
                        </w:r>
                        <w:r w:rsidRPr="00BD4794">
                          <w:rPr>
                            <w:rFonts w:ascii="Times New Roman" w:eastAsia="Times New Roman" w:hAnsi="Times New Roman" w:cs="Times New Roman"/>
                            <w:i/>
                            <w:noProof/>
                            <w:sz w:val="24"/>
                            <w:szCs w:val="24"/>
                            <w:lang w:val="sr-Cyrl-RS"/>
                          </w:rPr>
                          <w:t>АЕ</w:t>
                        </w:r>
                        <w:r w:rsidR="00BD4794" w:rsidRPr="00BD4794">
                          <w:rPr>
                            <w:rFonts w:ascii="Times New Roman" w:eastAsia="Times New Roman" w:hAnsi="Times New Roman" w:cs="Times New Roman"/>
                            <w:i/>
                            <w:noProof/>
                            <w:sz w:val="24"/>
                            <w:szCs w:val="24"/>
                            <w:lang w:val="en-GB"/>
                          </w:rPr>
                          <w:t>TR</w:t>
                        </w:r>
                        <w:r w:rsidR="00BD4794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 споразум</w:t>
                        </w:r>
                        <w:r w:rsidR="00BD4794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en-GB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 и његовим Протоколима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“</w:t>
                        </w: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:rsidR="00B04662" w:rsidRPr="008A0109" w:rsidRDefault="00B04662" w:rsidP="00B0466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</w:tr>
    </w:tbl>
    <w:p w:rsidR="00B04662" w:rsidRPr="008A0109" w:rsidRDefault="00B04662" w:rsidP="00B046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vanish/>
          <w:color w:val="444444"/>
          <w:sz w:val="27"/>
          <w:szCs w:val="27"/>
          <w:lang w:val="sr-Cyrl-RS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9226"/>
      </w:tblGrid>
      <w:tr w:rsidR="00B04662" w:rsidRPr="008A0109" w:rsidTr="00B04662">
        <w:tc>
          <w:tcPr>
            <w:tcW w:w="0" w:type="auto"/>
            <w:shd w:val="clear" w:color="auto" w:fill="auto"/>
            <w:hideMark/>
          </w:tcPr>
          <w:p w:rsidR="00B04662" w:rsidRPr="008A0109" w:rsidRDefault="00B04662" w:rsidP="00B04662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0" w:type="auto"/>
            <w:shd w:val="clear" w:color="auto" w:fill="auto"/>
            <w:hideMark/>
          </w:tcPr>
          <w:p w:rsidR="00B04662" w:rsidRPr="008A0109" w:rsidRDefault="00D85B82" w:rsidP="00B04662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Члан 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  <w:r w:rsidR="005D50C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Анекса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2 </w:t>
            </w:r>
            <w:r w:rsidR="006E3AB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Споразума</w:t>
            </w:r>
            <w:r w:rsidR="007119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мења се како следи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: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"/>
              <w:gridCol w:w="8959"/>
            </w:tblGrid>
            <w:tr w:rsidR="00B04662" w:rsidRPr="008A0109"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B04662" w:rsidP="00B0466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(a)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5A51CC" w:rsidP="00B0466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Следећи текст додаје се након првог става и пре табеле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:</w:t>
                  </w: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"/>
                    <w:gridCol w:w="8899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D4794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'</w:t>
                        </w:r>
                        <w:r w:rsidR="005A51CC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Емисије издувних гасова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:</w: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8659"/>
                        </w:tblGrid>
                        <w:tr w:rsidR="00B04662" w:rsidRPr="008A0109"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04662" w:rsidP="00B046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5A51CC" w:rsidP="00BD4794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Директива Савета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88/77/EE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0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3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децембра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1987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о усклађивању законодавства </w:t>
                              </w:r>
                              <w:r w:rsidR="0015133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држава чланица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о мерама које треба предузети против емисије гасних и загађујућих честица из мотора с компресивним паљењем за примену у возилима, и емисиј</w:t>
                              </w:r>
                              <w:r w:rsidR="00BD479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гасова-загађивача из мотора са спољним извором паљења који као гориво користе природни гас или течни нафтни гас за примену у возилима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(</w:t>
                              </w:r>
                              <w:hyperlink r:id="rId20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36, 9.2.1988,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33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, како је последњи пут измењена и допуњена Директивом Комисије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2001/27/E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(</w:t>
                              </w:r>
                              <w:hyperlink r:id="rId21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107, 18.4.2001,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10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),</w:t>
                              </w:r>
                            </w:p>
                          </w:tc>
                        </w:tr>
                      </w:tbl>
                      <w:p w:rsidR="00B04662" w:rsidRPr="008A0109" w:rsidRDefault="00B04662" w:rsidP="00B046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/>
                            <w:vanish/>
                            <w:sz w:val="24"/>
                            <w:szCs w:val="24"/>
                            <w:lang w:val="sr-Cyrl-RS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8659"/>
                        </w:tblGrid>
                        <w:tr w:rsidR="00B04662" w:rsidRPr="008A0109"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04662" w:rsidP="00B046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5A51CC" w:rsidP="00BD4794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Директива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2005/55/E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Европског парламента и Савета од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28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септембра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2005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о усклађивању законодавства </w:t>
                              </w:r>
                              <w:r w:rsidR="0015133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држава чланица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о мерама које треба предузети против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lastRenderedPageBreak/>
                                <w:t>емисије гасних и загађујућих честица из мотора с компресивним паљењем за примену у возилима и емисиј</w:t>
                              </w:r>
                              <w:r w:rsidR="00BD479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гасова-загађивача из мотора са спољним извором паљења који као гориво користе природни гас или течни нафтни гас за примену у возилима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(</w:t>
                              </w:r>
                              <w:hyperlink r:id="rId22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275, 20.10.2005,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1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, како је последњи пут измењена и допуњена Директивом Комисије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2008/74/E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(</w:t>
                              </w:r>
                              <w:hyperlink r:id="rId23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192, 19.7.2008,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51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),</w:t>
                              </w:r>
                            </w:p>
                          </w:tc>
                        </w:tr>
                      </w:tbl>
                      <w:p w:rsidR="00B04662" w:rsidRPr="008A0109" w:rsidRDefault="00B04662" w:rsidP="00B046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/>
                            <w:vanish/>
                            <w:sz w:val="24"/>
                            <w:szCs w:val="24"/>
                            <w:lang w:val="sr-Cyrl-RS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8659"/>
                        </w:tblGrid>
                        <w:tr w:rsidR="00B04662" w:rsidRPr="008A0109"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04662" w:rsidP="00B046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43921" w:rsidP="00B43921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Уредба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(E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)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бр.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595/2009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Европског парламента и Савета од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18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јуна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2009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о хомологацији типа мотроних возила и мотора с обзиром на емисије из тешких теретних возила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(</w:t>
                              </w:r>
                              <w:r w:rsidR="00B04662" w:rsidRPr="00BD4794">
                                <w:rPr>
                                  <w:rFonts w:ascii="Times New Roman" w:eastAsia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EURO VI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)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и приступу информацијама о поправци возила и одржавању и измени и допуни Уредбе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(E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)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бр.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715/2007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и Директиве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2007/46/E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и стављању ван снаге Директива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80/1269/EE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, 2005/55/E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и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2005/78/E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(</w:t>
                              </w:r>
                              <w:hyperlink r:id="rId24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188, 18.7.2009,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1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);</w:t>
                              </w:r>
                            </w:p>
                          </w:tc>
                        </w:tr>
                      </w:tbl>
                      <w:p w:rsidR="00B04662" w:rsidRPr="008A0109" w:rsidRDefault="00B04662" w:rsidP="00B046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vanish/>
                      <w:sz w:val="24"/>
                      <w:szCs w:val="24"/>
                      <w:lang w:val="sr-Cyrl-RS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"/>
                    <w:gridCol w:w="8899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43921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Дим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:</w: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8659"/>
                        </w:tblGrid>
                        <w:tr w:rsidR="00B04662" w:rsidRPr="008A0109"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04662" w:rsidP="00B046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43921" w:rsidP="004C2750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Директива Савета 72/306/EEЗ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од 0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августа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1972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.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 w:rsidR="004C2750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о усклађивању законодавства </w:t>
                              </w:r>
                              <w:r w:rsidR="0015133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држава чланица</w:t>
                              </w:r>
                              <w:r w:rsidR="004C2750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у односу на мере које треба предузети против емисије загађивача из дизел мотора возила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(</w:t>
                              </w:r>
                              <w:hyperlink r:id="rId25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190, 20.8.1972, </w:t>
                                </w:r>
                                <w:r w:rsidR="004C2750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1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</w:t>
                              </w:r>
                              <w:r w:rsidR="004C2750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, како је последњи пут измењена и допуњена Директивом Комисије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2005/21/E</w:t>
                              </w:r>
                              <w:r w:rsidR="004C2750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(</w:t>
                              </w:r>
                              <w:hyperlink r:id="rId26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61, 8.3.2005, </w:t>
                                </w:r>
                                <w:r w:rsidR="004C2750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25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);</w:t>
                              </w:r>
                            </w:p>
                          </w:tc>
                        </w:tr>
                      </w:tbl>
                      <w:p w:rsidR="00B04662" w:rsidRPr="008A0109" w:rsidRDefault="00B04662" w:rsidP="00B046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vanish/>
                      <w:sz w:val="24"/>
                      <w:szCs w:val="24"/>
                      <w:lang w:val="sr-Cyrl-RS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"/>
                    <w:gridCol w:w="8899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4C2750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Емисије буке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:</w: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8659"/>
                        </w:tblGrid>
                        <w:tr w:rsidR="00B04662" w:rsidRPr="008A0109"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04662" w:rsidP="00B046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4C2750" w:rsidP="004C2750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Директива Савета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70/157/EE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д 06. фебруара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1970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о усклађивању законодавства </w:t>
                              </w:r>
                              <w:r w:rsidR="0015133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држава чланица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у односу на дозвољени ниво буке и издувни систем моторних возила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(</w:t>
                              </w:r>
                              <w:hyperlink r:id="rId27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OJ L 42, 23.2.1970, p. 16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)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како је последњи пут измењена и допуњена Директивом Комисије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2007/34/E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(</w:t>
                              </w:r>
                              <w:hyperlink r:id="rId28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155, 15.6.2007,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49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);</w:t>
                              </w:r>
                            </w:p>
                          </w:tc>
                        </w:tr>
                      </w:tbl>
                      <w:p w:rsidR="00B04662" w:rsidRPr="008A0109" w:rsidRDefault="00B04662" w:rsidP="00B046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vanish/>
                      <w:sz w:val="24"/>
                      <w:szCs w:val="24"/>
                      <w:lang w:val="sr-Cyrl-RS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"/>
                    <w:gridCol w:w="8899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4C2750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Уређаји за кочење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:</w: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8659"/>
                        </w:tblGrid>
                        <w:tr w:rsidR="00B04662" w:rsidRPr="008A0109"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04662" w:rsidP="00B046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4C2750" w:rsidP="004C2750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Директива Савета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71/320/EE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од 26. јула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1971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.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о усклађивању законодавства </w:t>
                              </w:r>
                              <w:r w:rsidR="0015133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држава чланица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у односу на уређаје за кочење одређених категорија моторних возила и њихових приколица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(</w:t>
                              </w:r>
                              <w:hyperlink r:id="rId29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202, 6.9.1971,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37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)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како је последњи пут измењена и допуњена Директивом Комисије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2002/78/E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(</w:t>
                              </w:r>
                              <w:hyperlink r:id="rId30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267, 4.10.2002,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23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);</w:t>
                              </w:r>
                            </w:p>
                          </w:tc>
                        </w:tr>
                      </w:tbl>
                      <w:p w:rsidR="00B04662" w:rsidRPr="008A0109" w:rsidRDefault="00B04662" w:rsidP="00B046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vanish/>
                      <w:sz w:val="24"/>
                      <w:szCs w:val="24"/>
                      <w:lang w:val="sr-Cyrl-RS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"/>
                    <w:gridCol w:w="8899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4C2750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Гуме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:</w: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8659"/>
                        </w:tblGrid>
                        <w:tr w:rsidR="00B04662" w:rsidRPr="008A0109"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04662" w:rsidP="00B046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4A2672" w:rsidP="00C632A7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Директива Савета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92/23/EE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31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марта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1992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.</w:t>
                              </w:r>
                              <w:r w:rsidR="00E904F7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о гумама за моторна возила и њихов</w:t>
                              </w:r>
                              <w:r w:rsidR="00C632A7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их приколица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и о њиховој уградњи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(</w:t>
                              </w:r>
                              <w:hyperlink r:id="rId31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129, 14.5.1992,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95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)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како је последњи пут измењена и допуњена Директивом Комисије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2005/11/E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(</w:t>
                              </w:r>
                              <w:hyperlink r:id="rId32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46, 17.2.2005,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42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);</w:t>
                              </w:r>
                            </w:p>
                          </w:tc>
                        </w:tr>
                      </w:tbl>
                      <w:p w:rsidR="00B04662" w:rsidRPr="008A0109" w:rsidRDefault="00B04662" w:rsidP="00B046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vanish/>
                      <w:sz w:val="24"/>
                      <w:szCs w:val="24"/>
                      <w:lang w:val="sr-Cyrl-RS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"/>
                    <w:gridCol w:w="8899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4A267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Уређаји за осветљење и светлосну сигнализацију возила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:</w: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8659"/>
                        </w:tblGrid>
                        <w:tr w:rsidR="00B04662" w:rsidRPr="008A0109"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04662" w:rsidP="00B046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0144B7" w:rsidP="00756AF4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Директива Савета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76/756/EE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од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27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јула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1976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. о усклађива</w:t>
                              </w:r>
                              <w:r w:rsidR="00756AF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њу законодавства </w:t>
                              </w:r>
                              <w:r w:rsidR="0015133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држава чланица</w:t>
                              </w:r>
                              <w:r w:rsidR="00756AF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 w:rsidR="00756AF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у односу на уградњу уређаја за осветљење и светлосну сигнализацију возила на моторна возила и њихове приколице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(</w:t>
                              </w:r>
                              <w:hyperlink r:id="rId33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262, 27.9.1976, </w:t>
                                </w:r>
                                <w:r w:rsidR="00756AF4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1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) </w:t>
                              </w:r>
                              <w:r w:rsidR="00756AF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како је последњи пут измењена и допуњена Директивом Комисије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2008/89/EC (</w:t>
                              </w:r>
                              <w:hyperlink r:id="rId34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257, 25.9.2008, </w:t>
                                </w:r>
                                <w:r w:rsidR="00756AF4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14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);</w:t>
                              </w:r>
                            </w:p>
                          </w:tc>
                        </w:tr>
                      </w:tbl>
                      <w:p w:rsidR="00B04662" w:rsidRPr="008A0109" w:rsidRDefault="00B04662" w:rsidP="00B046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vanish/>
                      <w:sz w:val="24"/>
                      <w:szCs w:val="24"/>
                      <w:lang w:val="sr-Cyrl-RS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"/>
                    <w:gridCol w:w="8899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152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Резервоар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:</w: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8659"/>
                        </w:tblGrid>
                        <w:tr w:rsidR="00B04662" w:rsidRPr="008A0109"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04662" w:rsidP="00B046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15262" w:rsidP="00B152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Директива Савета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70/221/EE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З од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марта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1970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о усклађивању законодавства </w:t>
                              </w:r>
                              <w:r w:rsidR="0015133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држава чланица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у односу на резервоаре текућег горива и задњу заштиту од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подлетања за моторна возила и њихове приколице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(</w:t>
                              </w:r>
                              <w:hyperlink r:id="rId35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76, 6.4.1970,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23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)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како је последњи пут измењена и допуњена Директивом Комисије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2006/20/E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(</w:t>
                              </w:r>
                              <w:hyperlink r:id="rId36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48, 18.2.2006,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16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);</w:t>
                              </w:r>
                            </w:p>
                          </w:tc>
                        </w:tr>
                      </w:tbl>
                      <w:p w:rsidR="00B04662" w:rsidRPr="008A0109" w:rsidRDefault="00B04662" w:rsidP="00B046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vanish/>
                      <w:sz w:val="24"/>
                      <w:szCs w:val="24"/>
                      <w:lang w:val="sr-Cyrl-RS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"/>
                    <w:gridCol w:w="8899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152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Ретровизори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:</w: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8659"/>
                        </w:tblGrid>
                        <w:tr w:rsidR="00B04662" w:rsidRPr="008A0109"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04662" w:rsidP="00B046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15262" w:rsidP="009E7C76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Директива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2003/97/E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Европског парламента и Савета од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10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. новембра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2003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.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 w:rsidR="009E7C76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о усклађивању законодавства </w:t>
                              </w:r>
                              <w:r w:rsidR="0015133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држава чланица</w:t>
                              </w:r>
                              <w:r w:rsidR="009E7C76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у односу на хомологацију типа уређаја за </w:t>
                              </w:r>
                              <w:r w:rsidR="009E7C76" w:rsidRPr="00E904F7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индиректно гледање</w:t>
                              </w:r>
                              <w:r w:rsidR="009E7C76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и возила опремљена тим уређајима, измени </w:t>
                              </w:r>
                              <w:r w:rsidR="00C632A7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и допуни </w:t>
                              </w:r>
                              <w:r w:rsidR="009E7C76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Директиве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70/156/EE</w:t>
                              </w:r>
                              <w:r w:rsidR="009E7C76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 w:rsidR="00C632A7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и стављању</w:t>
                              </w:r>
                              <w:r w:rsidR="009E7C76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ван снаге Директиве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71/127/EE</w:t>
                              </w:r>
                              <w:r w:rsidR="009E7C76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(</w:t>
                              </w:r>
                              <w:hyperlink r:id="rId37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25, 29.1.2004, </w:t>
                                </w:r>
                                <w:r w:rsidR="009E7C76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1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</w:t>
                              </w:r>
                              <w:r w:rsidR="00C632A7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,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 w:rsidR="009E7C76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како је последњи пут измењена и допуњена Директивом Комисије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2005/27/E</w:t>
                              </w:r>
                              <w:r w:rsidR="009E7C76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(</w:t>
                              </w:r>
                              <w:hyperlink r:id="rId38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81, 30.3.2005, </w:t>
                                </w:r>
                                <w:r w:rsidR="009E7C76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44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);</w:t>
                              </w:r>
                            </w:p>
                          </w:tc>
                        </w:tr>
                      </w:tbl>
                      <w:p w:rsidR="00B04662" w:rsidRPr="008A0109" w:rsidRDefault="00B04662" w:rsidP="00B046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vanish/>
                      <w:sz w:val="24"/>
                      <w:szCs w:val="24"/>
                      <w:lang w:val="sr-Cyrl-RS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"/>
                    <w:gridCol w:w="8899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C00375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Сигурносни појасеви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—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уградња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:</w: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8659"/>
                        </w:tblGrid>
                        <w:tr w:rsidR="00B04662" w:rsidRPr="008A0109"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04662" w:rsidP="00B046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C00375" w:rsidP="00C00375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Директива Савета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77/541/EE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д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28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.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јуна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1977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о усклађивању законодавства </w:t>
                              </w:r>
                              <w:r w:rsidR="0015133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држава чланица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у односу на сигурносне појасеве и системе за држање путника моторних возила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(</w:t>
                              </w:r>
                              <w:hyperlink r:id="rId39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220, 29.8.1977,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95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)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како је последњи пут измењена и допуњена Директивом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2005/40/E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Европског парламента и Савета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(</w:t>
                              </w:r>
                              <w:hyperlink r:id="rId40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255, 30.9.2005,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146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);</w:t>
                              </w:r>
                            </w:p>
                          </w:tc>
                        </w:tr>
                      </w:tbl>
                      <w:p w:rsidR="00B04662" w:rsidRPr="008A0109" w:rsidRDefault="00B04662" w:rsidP="00B046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vanish/>
                      <w:sz w:val="24"/>
                      <w:szCs w:val="24"/>
                      <w:lang w:val="sr-Cyrl-RS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"/>
                    <w:gridCol w:w="8899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C00375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Сигурностни појасеви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— </w:t>
                        </w:r>
                        <w:r w:rsidR="00021B5F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прикључци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 сигурносних појасева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:</w: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8659"/>
                        </w:tblGrid>
                        <w:tr w:rsidR="00B04662" w:rsidRPr="008A0109"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04662" w:rsidP="00B046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C00375" w:rsidP="00C632A7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Директива Савета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76/115/EE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18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децембра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1975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о усклађивању законодавства </w:t>
                              </w:r>
                              <w:r w:rsidR="0015133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држава чланица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у односу на сидришта сигурносних појасева моторних возила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(</w:t>
                              </w:r>
                              <w:hyperlink r:id="rId41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24, 30.1.1976,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6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)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како је последњи пут измењена и допуњена Директивом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2005/41/E</w:t>
                              </w:r>
                              <w:r w:rsidR="00A13D43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З Европског парламента и Савета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(</w:t>
                              </w:r>
                              <w:hyperlink r:id="rId42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255, 30.9.2005, </w:t>
                                </w:r>
                                <w:r w:rsidR="00A13D43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149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);</w:t>
                              </w:r>
                            </w:p>
                          </w:tc>
                        </w:tr>
                      </w:tbl>
                      <w:p w:rsidR="00B04662" w:rsidRPr="008A0109" w:rsidRDefault="00B04662" w:rsidP="00B046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vanish/>
                      <w:sz w:val="24"/>
                      <w:szCs w:val="24"/>
                      <w:lang w:val="sr-Cyrl-RS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"/>
                    <w:gridCol w:w="8899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A13D43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Седишта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:</w: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8659"/>
                        </w:tblGrid>
                        <w:tr w:rsidR="00B04662" w:rsidRPr="008A0109"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04662" w:rsidP="00B046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A13D43" w:rsidP="00A13D43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Директива Савета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74/408/EE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22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en-GB"/>
                                </w:rPr>
                                <w:t xml:space="preserve">.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јула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1974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en-GB"/>
                                </w:rPr>
                                <w:t>.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о усклађивању законодавства </w:t>
                              </w:r>
                              <w:r w:rsidR="00151334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држава чланица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у односу на унутрашњу опрему моторних возила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(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чврстоћа седишта и њихових сидришта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 (</w:t>
                              </w:r>
                              <w:hyperlink r:id="rId43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221, 12.8.1974,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1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)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како је последњи пут измењена и допуњена Директивом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2005/39/E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Европског парламента и Савета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(</w:t>
                              </w:r>
                              <w:hyperlink r:id="rId44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255, 30.9.2005,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143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);</w:t>
                              </w:r>
                            </w:p>
                          </w:tc>
                        </w:tr>
                      </w:tbl>
                      <w:p w:rsidR="00B04662" w:rsidRPr="008A0109" w:rsidRDefault="00B04662" w:rsidP="00B046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vanish/>
                      <w:sz w:val="24"/>
                      <w:szCs w:val="24"/>
                      <w:lang w:val="sr-Cyrl-RS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"/>
                    <w:gridCol w:w="8899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367FBD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Унутрашња конструкција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противпожарна заштита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):</w: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8659"/>
                        </w:tblGrid>
                        <w:tr w:rsidR="00B04662" w:rsidRPr="008A0109"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04662" w:rsidP="00B046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367FBD" w:rsidP="00367FBD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Директива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95/28/E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Европског парламента и Савета од 24. октобра 1995. о понашању материјала при горењу који се употребљавају у унутрашњој конструкцији одређених категорија моторних возила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(</w:t>
                              </w:r>
                              <w:hyperlink r:id="rId45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281, 23.11.1995,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1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);</w:t>
                              </w:r>
                            </w:p>
                          </w:tc>
                        </w:tr>
                      </w:tbl>
                      <w:p w:rsidR="00B04662" w:rsidRPr="008A0109" w:rsidRDefault="00B04662" w:rsidP="00B046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vanish/>
                      <w:sz w:val="24"/>
                      <w:szCs w:val="24"/>
                      <w:lang w:val="sr-Cyrl-RS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"/>
                    <w:gridCol w:w="8899"/>
                  </w:tblGrid>
                  <w:tr w:rsidR="00B04662" w:rsidRPr="008A0109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B04662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:rsidR="00B04662" w:rsidRPr="008A0109" w:rsidRDefault="00367FBD" w:rsidP="00B04662">
                        <w:pPr>
                          <w:spacing w:before="120" w:after="0" w:line="312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Унутрашњи распоред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излази у случају опасности, доступност, димензије седишта, отпорност надоградње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 xml:space="preserve">,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итд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  <w:t>.):</w: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8659"/>
                        </w:tblGrid>
                        <w:tr w:rsidR="00B04662" w:rsidRPr="008A0109"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Pr="008A0109" w:rsidRDefault="00B04662" w:rsidP="00B04662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lastRenderedPageBreak/>
                                <w:t>—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B04662" w:rsidRDefault="00367FBD" w:rsidP="00367FBD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Директива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2001/85/E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Европског парламента и Савета од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новембра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2001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. у односу на посебне одредбе за возила која се употребљавају за превоз путника и која имају, осим возачевог, више од осам седишта те о измени и допуни Директива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70/156/EE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и 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97/27/E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З</w:t>
                              </w:r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 xml:space="preserve"> (</w:t>
                              </w:r>
                              <w:hyperlink r:id="rId46" w:history="1"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 xml:space="preserve">OJ L 42, 13.2.2002,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ст</w:t>
                                </w:r>
                                <w:r w:rsidR="00B04662" w:rsidRPr="008A0109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color w:val="800080"/>
                                    <w:sz w:val="24"/>
                                    <w:szCs w:val="24"/>
                                    <w:u w:val="single"/>
                                    <w:lang w:val="sr-Cyrl-RS"/>
                                  </w:rPr>
                                  <w:t>p. 1</w:t>
                                </w:r>
                              </w:hyperlink>
                              <w:r w:rsidR="00B04662" w:rsidRPr="008A0109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  <w:t>).’;</w:t>
                              </w:r>
                            </w:p>
                            <w:p w:rsidR="0085658B" w:rsidRDefault="0085658B" w:rsidP="00367FBD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</w:p>
                            <w:p w:rsidR="0085658B" w:rsidRPr="008A0109" w:rsidRDefault="0085658B" w:rsidP="00367FBD">
                              <w:pPr>
                                <w:spacing w:before="120" w:after="0" w:line="312" w:lineRule="atLeast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</w:p>
                          </w:tc>
                        </w:tr>
                      </w:tbl>
                      <w:p w:rsidR="00B04662" w:rsidRPr="008A0109" w:rsidRDefault="00B04662" w:rsidP="00B046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sr-Cyrl-RS"/>
                          </w:rPr>
                        </w:pP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:rsidR="00B04662" w:rsidRPr="008A0109" w:rsidRDefault="00B04662" w:rsidP="00B0466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vanish/>
                <w:sz w:val="24"/>
                <w:szCs w:val="24"/>
                <w:lang w:val="sr-Cyrl-RS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2"/>
              <w:gridCol w:w="8944"/>
            </w:tblGrid>
            <w:tr w:rsidR="00B04662" w:rsidRPr="008A0109"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367FBD" w:rsidP="0085658B">
                  <w:pPr>
                    <w:spacing w:before="120" w:after="0" w:line="312" w:lineRule="atLeast"/>
                    <w:ind w:right="-345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(б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B04662" w:rsidRDefault="00367FBD" w:rsidP="00B0466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Табела се замењује следећом табелом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:</w:t>
                  </w:r>
                </w:p>
                <w:p w:rsidR="0085658B" w:rsidRPr="008A0109" w:rsidRDefault="0085658B" w:rsidP="00B0466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</w:p>
                <w:tbl>
                  <w:tblPr>
                    <w:tblW w:w="5000" w:type="pc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37"/>
                    <w:gridCol w:w="3450"/>
                    <w:gridCol w:w="1941"/>
                  </w:tblGrid>
                  <w:tr w:rsidR="00C73543" w:rsidRPr="008A0109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A76545" w:rsidP="00A76545">
                        <w:pPr>
                          <w:spacing w:before="60" w:after="60" w:line="312" w:lineRule="atLeast"/>
                          <w:ind w:right="195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lang w:val="sr-Cyrl-RS"/>
                          </w:rPr>
                          <w:t>'Наслов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A76545" w:rsidP="00A76545">
                        <w:pPr>
                          <w:spacing w:before="60" w:after="60" w:line="312" w:lineRule="atLeast"/>
                          <w:ind w:right="195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lang w:val="sr-Cyrl-RS"/>
                          </w:rPr>
                          <w:t>Правилник UN-ECE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lang w:val="sr-Cyrl-RS"/>
                          </w:rPr>
                          <w:t>/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lang w:val="sr-Cyrl-RS"/>
                          </w:rPr>
                          <w:t>последњи низ измена и допуна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A76545" w:rsidP="00B04662">
                        <w:pPr>
                          <w:spacing w:before="60" w:after="60" w:line="312" w:lineRule="atLeast"/>
                          <w:ind w:right="195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lang w:val="sr-Cyrl-RS"/>
                          </w:rPr>
                          <w:t>Акт Уније</w:t>
                        </w:r>
                      </w:p>
                      <w:p w:rsidR="00B04662" w:rsidRPr="008A0109" w:rsidRDefault="00B04662" w:rsidP="00A76545">
                        <w:pPr>
                          <w:spacing w:before="60" w:after="60" w:line="312" w:lineRule="atLeast"/>
                          <w:ind w:right="195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lang w:val="sr-Cyrl-RS"/>
                          </w:rPr>
                          <w:t>(</w:t>
                        </w:r>
                        <w:r w:rsidR="00A7654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lang w:val="sr-Cyrl-RS"/>
                          </w:rPr>
                          <w:t>изворни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lang w:val="sr-Cyrl-RS"/>
                          </w:rPr>
                          <w:t>-</w:t>
                        </w:r>
                        <w:r w:rsidR="00A7654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lang w:val="sr-Cyrl-RS"/>
                          </w:rPr>
                          <w:t>последњи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lang w:val="sr-Cyrl-RS"/>
                          </w:rPr>
                          <w:t>)</w:t>
                        </w:r>
                      </w:p>
                    </w:tc>
                  </w:tr>
                  <w:tr w:rsidR="00C73543" w:rsidRPr="008A0109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A76545" w:rsidP="00A76545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Емисије издувних гасова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49/01</w:t>
                        </w:r>
                      </w:p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49/02, </w:t>
                        </w:r>
                        <w:r w:rsidR="00A76545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хомологација 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A</w:t>
                        </w:r>
                      </w:p>
                      <w:p w:rsidR="00B04662" w:rsidRPr="008A0109" w:rsidRDefault="00B04662" w:rsidP="00A76545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49/02, </w:t>
                        </w:r>
                        <w:r w:rsidR="00A76545" w:rsidRPr="00A76545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хомологација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</w:t>
                        </w:r>
                        <w:r w:rsidR="00A76545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AB216E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88/77/EE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  <w:p w:rsidR="00B04662" w:rsidRPr="008A0109" w:rsidRDefault="00AB216E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Директива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2001/27/E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  <w:p w:rsidR="00B04662" w:rsidRPr="008A0109" w:rsidRDefault="00AB216E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AB216E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2005/55/E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  <w:p w:rsidR="00B04662" w:rsidRPr="008A0109" w:rsidRDefault="00AB216E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AB216E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2008/74/E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  <w:p w:rsidR="00B04662" w:rsidRPr="008A0109" w:rsidRDefault="00AB216E" w:rsidP="00AB216E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Уредба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(E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)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бр.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595/2009</w:t>
                        </w:r>
                      </w:p>
                    </w:tc>
                  </w:tr>
                  <w:tr w:rsidR="00C73543" w:rsidRPr="008A0109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AB216E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24/03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AB216E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AB216E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72/306/EE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  <w:p w:rsidR="00B04662" w:rsidRPr="008A0109" w:rsidRDefault="00AB216E" w:rsidP="00AB216E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AB216E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2005/21/E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</w:tc>
                  </w:tr>
                  <w:tr w:rsidR="00C73543" w:rsidRPr="008A0109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AB216E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Емисије буке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51/02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AB216E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AB216E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70/157/EE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  <w:p w:rsidR="00B04662" w:rsidRPr="008A0109" w:rsidRDefault="00AB216E" w:rsidP="00AB216E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AB216E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2007/34/E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</w:tc>
                  </w:tr>
                  <w:tr w:rsidR="00C73543" w:rsidRPr="008A0109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AB216E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Уређаји за кочење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13/11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AB216E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AB216E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71/320/EE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  <w:p w:rsidR="00B04662" w:rsidRPr="008A0109" w:rsidRDefault="00AB216E" w:rsidP="00AB216E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AB216E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lastRenderedPageBreak/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2002/78/E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</w:tc>
                  </w:tr>
                  <w:tr w:rsidR="00C73543" w:rsidRPr="008A0109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AB216E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lastRenderedPageBreak/>
                          <w:t>Гуме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AB216E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AB216E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92/23/EE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  <w:p w:rsidR="00B04662" w:rsidRPr="008A0109" w:rsidRDefault="00AB216E" w:rsidP="00AB216E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AB216E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2005/11/E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</w:tc>
                  </w:tr>
                  <w:tr w:rsidR="00C73543" w:rsidRPr="008A0109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072AB7" w:rsidRDefault="00072AB7" w:rsidP="00072AB7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Latn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Уређаји за осветљење и светлосну сигнализацију возила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48/01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C73543" w:rsidRDefault="00C73543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76/756/EE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  <w:p w:rsidR="00B04662" w:rsidRPr="008A0109" w:rsidRDefault="00C73543" w:rsidP="00C73543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2008/89/E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</w:tc>
                  </w:tr>
                  <w:tr w:rsidR="00C73543" w:rsidRPr="008A0109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C73543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Резервоар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34/02</w:t>
                        </w:r>
                      </w:p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67/01</w:t>
                        </w:r>
                      </w:p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C73543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70/221/EE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  <w:p w:rsidR="00B04662" w:rsidRPr="008A0109" w:rsidRDefault="00C73543" w:rsidP="00C73543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2006/20/E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</w:tc>
                  </w:tr>
                  <w:tr w:rsidR="00C73543" w:rsidRPr="008A0109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C73543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Ретровизори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46/01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C73543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2003/97/E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  <w:p w:rsidR="00B04662" w:rsidRPr="008A0109" w:rsidRDefault="00C73543" w:rsidP="00C73543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Директива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2005/27/E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</w:tc>
                  </w:tr>
                  <w:tr w:rsidR="00C73543" w:rsidRPr="008A0109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C73543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Сигурносни појасеви </w:t>
                        </w:r>
                        <w:r w:rsidRP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—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уградња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16/06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C73543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77/541/EE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  <w:p w:rsidR="00B04662" w:rsidRPr="008A0109" w:rsidRDefault="00C73543" w:rsidP="00C73543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2005/40/E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</w:tc>
                  </w:tr>
                  <w:tr w:rsidR="00C73543" w:rsidRPr="008A0109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C73543" w:rsidP="00C73543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Сигурносни појасеви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— </w:t>
                        </w:r>
                        <w:r w:rsidR="007E3867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прикључци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14/07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C73543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76/115/EE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  <w:p w:rsidR="00B04662" w:rsidRPr="008A0109" w:rsidRDefault="00C73543" w:rsidP="00C73543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2005/41/E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</w:tc>
                  </w:tr>
                  <w:tr w:rsidR="00C73543" w:rsidRPr="008A0109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C73543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Седишта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17/08</w:t>
                        </w:r>
                      </w:p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80/01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C73543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74/408/EE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  <w:p w:rsidR="00B04662" w:rsidRPr="008A0109" w:rsidRDefault="00C73543" w:rsidP="00C73543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2005/39/E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</w:tc>
                  </w:tr>
                  <w:tr w:rsidR="00C73543" w:rsidRPr="008A0109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C73543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lastRenderedPageBreak/>
                          <w:t>Унутрашња конструкција</w:t>
                        </w:r>
                      </w:p>
                      <w:p w:rsidR="00B04662" w:rsidRPr="008A0109" w:rsidRDefault="00B04662" w:rsidP="00C73543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(</w:t>
                        </w:r>
                        <w:r w:rsid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противпожарна заштита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C73543" w:rsidP="00C73543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 95/28/E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</w:tc>
                  </w:tr>
                  <w:tr w:rsidR="00C73543" w:rsidRPr="008A0109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C73543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Унутрашњи распоред</w:t>
                        </w:r>
                      </w:p>
                      <w:p w:rsidR="00B04662" w:rsidRPr="008A0109" w:rsidRDefault="00B04662" w:rsidP="00C73543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(</w:t>
                        </w:r>
                        <w:r w:rsid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излази у случају опасности, доступност, димензије седишта</w:t>
                        </w: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107.02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C73543" w:rsidRDefault="00C73543" w:rsidP="00C73543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en-GB"/>
                          </w:rPr>
                        </w:pPr>
                        <w:r w:rsidRPr="00C73543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 xml:space="preserve">Директива </w:t>
                        </w:r>
                        <w:r w:rsidR="00B04662"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2001/85/E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</w:t>
                        </w:r>
                      </w:p>
                    </w:tc>
                  </w:tr>
                  <w:tr w:rsidR="00C73543" w:rsidRPr="008A0109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C73543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Заштита од превртања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B04662" w:rsidP="00B04662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 w:rsidRPr="008A0109"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66.01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B04662" w:rsidRPr="008A0109" w:rsidRDefault="00C73543" w:rsidP="00C73543">
                        <w:pPr>
                          <w:spacing w:before="60" w:after="60" w:line="312" w:lineRule="atLeast"/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lang w:val="sr-Cyrl-RS"/>
                          </w:rPr>
                          <w:t>Директива 2001/85/EЗ'</w:t>
                        </w:r>
                      </w:p>
                    </w:tc>
                  </w:tr>
                </w:tbl>
                <w:p w:rsidR="00B04662" w:rsidRPr="008A0109" w:rsidRDefault="00B04662" w:rsidP="00B046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:rsidR="00B04662" w:rsidRPr="008A0109" w:rsidRDefault="00B04662" w:rsidP="00B0466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</w:tr>
    </w:tbl>
    <w:p w:rsidR="00B04662" w:rsidRPr="008A0109" w:rsidRDefault="00B04662" w:rsidP="00B04662">
      <w:pPr>
        <w:shd w:val="clear" w:color="auto" w:fill="FFFFFF"/>
        <w:spacing w:before="240" w:after="120" w:line="312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</w:pPr>
      <w:r w:rsidRPr="008A0109">
        <w:rPr>
          <w:rFonts w:ascii="Times New Roman" w:eastAsia="Times New Roman" w:hAnsi="Times New Roman" w:cs="Times New Roman"/>
          <w:b/>
          <w:bCs/>
          <w:noProof/>
          <w:color w:val="444444"/>
          <w:sz w:val="27"/>
          <w:szCs w:val="27"/>
          <w:lang w:val="sr-Cyrl-RS"/>
        </w:rPr>
        <w:lastRenderedPageBreak/>
        <w:t>3.   </w:t>
      </w:r>
      <w:r w:rsidR="00C73543" w:rsidRPr="00C73543">
        <w:rPr>
          <w:rFonts w:ascii="Times New Roman" w:eastAsia="Times New Roman" w:hAnsi="Times New Roman" w:cs="Times New Roman"/>
          <w:b/>
          <w:bCs/>
          <w:i/>
          <w:noProof/>
          <w:color w:val="444444"/>
          <w:sz w:val="27"/>
          <w:szCs w:val="27"/>
          <w:lang w:val="sr-Cyrl-RS"/>
        </w:rPr>
        <w:t>У</w:t>
      </w:r>
      <w:r w:rsidR="00C73543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 xml:space="preserve">склађивање захтева у погледу социјалних одредби из члана </w:t>
      </w:r>
      <w:r w:rsidRPr="008A0109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>8</w:t>
      </w:r>
      <w:r w:rsidR="007E3867">
        <w:rPr>
          <w:rFonts w:ascii="Times New Roman" w:eastAsia="Times New Roman" w:hAnsi="Times New Roman" w:cs="Times New Roman"/>
          <w:b/>
          <w:bCs/>
          <w:i/>
          <w:iCs/>
          <w:noProof/>
          <w:color w:val="444444"/>
          <w:sz w:val="27"/>
          <w:szCs w:val="27"/>
          <w:lang w:val="sr-Cyrl-RS"/>
        </w:rPr>
        <w:t xml:space="preserve"> Споразума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9226"/>
      </w:tblGrid>
      <w:tr w:rsidR="00B04662" w:rsidRPr="008A0109" w:rsidTr="00B04662">
        <w:tc>
          <w:tcPr>
            <w:tcW w:w="0" w:type="auto"/>
            <w:shd w:val="clear" w:color="auto" w:fill="auto"/>
            <w:hideMark/>
          </w:tcPr>
          <w:p w:rsidR="00B04662" w:rsidRPr="008A0109" w:rsidRDefault="00B04662" w:rsidP="00B04662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0" w:type="auto"/>
            <w:shd w:val="clear" w:color="auto" w:fill="auto"/>
            <w:hideMark/>
          </w:tcPr>
          <w:p w:rsidR="00B04662" w:rsidRPr="008A0109" w:rsidRDefault="005154FA" w:rsidP="00E61DDC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E904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Због објављивања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Директиве 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2000/30/E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З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бришу се члан 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8 </w:t>
            </w:r>
            <w:r w:rsidR="005D50C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Анекса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2 </w:t>
            </w:r>
            <w:r w:rsidR="007E38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Споразума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, </w:t>
            </w:r>
            <w:r w:rsidR="005D50C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Анекс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  <w:r w:rsidR="005D50C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II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a </w:t>
            </w:r>
            <w:r w:rsidR="007E38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Споразума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и </w:t>
            </w:r>
            <w:r w:rsidR="005D50C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Анекс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  <w:r w:rsidR="005D50C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б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  <w:r w:rsidR="007E38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Споразума</w:t>
            </w:r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</w:p>
        </w:tc>
      </w:tr>
    </w:tbl>
    <w:p w:rsidR="00B04662" w:rsidRPr="008A0109" w:rsidRDefault="00B04662" w:rsidP="00B046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vanish/>
          <w:color w:val="444444"/>
          <w:sz w:val="27"/>
          <w:szCs w:val="27"/>
          <w:lang w:val="sr-Cyrl-RS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9226"/>
      </w:tblGrid>
      <w:tr w:rsidR="00B04662" w:rsidRPr="008A0109" w:rsidTr="00B04662">
        <w:tc>
          <w:tcPr>
            <w:tcW w:w="0" w:type="auto"/>
            <w:shd w:val="clear" w:color="auto" w:fill="auto"/>
            <w:hideMark/>
          </w:tcPr>
          <w:p w:rsidR="00B04662" w:rsidRPr="008A0109" w:rsidRDefault="00B04662" w:rsidP="00B04662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0" w:type="auto"/>
            <w:shd w:val="clear" w:color="auto" w:fill="auto"/>
            <w:hideMark/>
          </w:tcPr>
          <w:p w:rsidR="00B04662" w:rsidRPr="008A0109" w:rsidRDefault="005154FA" w:rsidP="00B04662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Акти У</w:t>
            </w:r>
            <w:r w:rsidR="007E38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није наведени у члану 8</w:t>
            </w:r>
            <w:bookmarkStart w:id="0" w:name="_GoBack"/>
            <w:bookmarkEnd w:id="0"/>
            <w:r w:rsidR="007E38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Споразума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замењују се следећим актима Уније</w:t>
            </w:r>
            <w:hyperlink r:id="rId47" w:anchor="ntr2-L_2012008EN.01004201-E0002" w:history="1">
              <w:r w:rsidR="00B04662" w:rsidRPr="008A0109">
                <w:rPr>
                  <w:rFonts w:ascii="Times New Roman" w:eastAsia="Times New Roman" w:hAnsi="Times New Roman" w:cs="Times New Roman"/>
                  <w:noProof/>
                  <w:color w:val="800080"/>
                  <w:sz w:val="24"/>
                  <w:szCs w:val="24"/>
                  <w:u w:val="single"/>
                  <w:lang w:val="sr-Cyrl-RS"/>
                </w:rPr>
                <w:t> (</w:t>
              </w:r>
              <w:r w:rsidR="00B04662" w:rsidRPr="008A0109">
                <w:rPr>
                  <w:rFonts w:ascii="Times New Roman" w:eastAsia="Times New Roman" w:hAnsi="Times New Roman" w:cs="Times New Roman"/>
                  <w:noProof/>
                  <w:color w:val="800080"/>
                  <w:sz w:val="17"/>
                  <w:szCs w:val="17"/>
                  <w:vertAlign w:val="superscript"/>
                  <w:lang w:val="sr-Cyrl-RS"/>
                </w:rPr>
                <w:t>2</w:t>
              </w:r>
              <w:r w:rsidR="00B04662" w:rsidRPr="008A0109">
                <w:rPr>
                  <w:rFonts w:ascii="Times New Roman" w:eastAsia="Times New Roman" w:hAnsi="Times New Roman" w:cs="Times New Roman"/>
                  <w:noProof/>
                  <w:color w:val="800080"/>
                  <w:sz w:val="24"/>
                  <w:szCs w:val="24"/>
                  <w:u w:val="single"/>
                  <w:lang w:val="sr-Cyrl-RS"/>
                </w:rPr>
                <w:t>)</w:t>
              </w:r>
            </w:hyperlink>
            <w:r w:rsidR="00B04662" w:rsidRPr="008A0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: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4"/>
              <w:gridCol w:w="8942"/>
            </w:tblGrid>
            <w:tr w:rsidR="00B04662" w:rsidRPr="008A0109"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5154FA" w:rsidP="00B0466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'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—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5154FA" w:rsidP="005154FA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Уредба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бр.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561/2006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Европског парламента и Савета од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15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. марта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2006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. о усклађивању одређеног социјалног законодавства које се односи на друмски саобраћај и о измени и допуни Уредби Савета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(EE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бр.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3821/85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и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бр.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2135/98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те о стављању ван снаге Уредбе Савета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(EE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бр.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3820/85 (</w:t>
                  </w:r>
                  <w:hyperlink r:id="rId48" w:history="1"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 xml:space="preserve">OJ L 102, 11.4.2006, </w:t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ст</w:t>
                    </w:r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p. 1</w:t>
                    </w:r>
                  </w:hyperlink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како је последњи пут измењена и допуњена Уредбом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бр.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1073/2009 (</w:t>
                  </w:r>
                  <w:hyperlink r:id="rId49" w:history="1"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 xml:space="preserve">OJ L 300, 14.11.2009, </w:t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ст</w:t>
                    </w:r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p. 88</w:t>
                    </w:r>
                  </w:hyperlink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),</w:t>
                  </w:r>
                </w:p>
              </w:tc>
            </w:tr>
          </w:tbl>
          <w:p w:rsidR="00B04662" w:rsidRPr="008A0109" w:rsidRDefault="00B04662" w:rsidP="00B0466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vanish/>
                <w:sz w:val="24"/>
                <w:szCs w:val="24"/>
                <w:lang w:val="sr-Cyrl-RS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986"/>
            </w:tblGrid>
            <w:tr w:rsidR="00B04662" w:rsidRPr="008A0109"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B04662" w:rsidP="00B0466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—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404E8E" w:rsidP="00006DC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Уредба Савета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(EE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бр.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3821/85 o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д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20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. децембра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1985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.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о уређајима за бележење у друмском саобраћају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</w:t>
                  </w:r>
                  <w:hyperlink r:id="rId50" w:history="1"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 xml:space="preserve">OJ L 370, 31.12.1985, </w:t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ст</w:t>
                    </w:r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p. 8</w:t>
                    </w:r>
                  </w:hyperlink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како је последњи пут измењена и допуњена Уредбом Комисије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(E</w:t>
                  </w:r>
                  <w:r w:rsidR="00006DC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У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бр.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1266/2009 (</w:t>
                  </w:r>
                  <w:hyperlink r:id="rId51" w:history="1"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 xml:space="preserve">OJ L 339, 22.12.2009, </w:t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ст</w:t>
                    </w:r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p. 3</w:t>
                    </w:r>
                  </w:hyperlink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),</w:t>
                  </w:r>
                </w:p>
              </w:tc>
            </w:tr>
          </w:tbl>
          <w:p w:rsidR="00B04662" w:rsidRPr="008A0109" w:rsidRDefault="00B04662" w:rsidP="00B0466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vanish/>
                <w:sz w:val="24"/>
                <w:szCs w:val="24"/>
                <w:lang w:val="sr-Cyrl-RS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986"/>
            </w:tblGrid>
            <w:tr w:rsidR="00B04662" w:rsidRPr="008A0109"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B04662" w:rsidP="00B0466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—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404E8E" w:rsidP="00404E8E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Директива 2006/22/EЗ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Европског парламента и Савета од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15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. марта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2006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. о минималним условима за спровођење Уредби Савета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(EE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бр.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3820/85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и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(EE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бр.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3821/85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о социјалном законодавству </w:t>
                  </w:r>
                  <w:r w:rsidR="00006DC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оје се односи на делатности друмског саобраћаја и о стављању ван снаге Директиве Савета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88/599/EE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(</w:t>
                  </w:r>
                  <w:hyperlink r:id="rId52" w:history="1"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 xml:space="preserve">OJ L 102, 11.4.2006, </w:t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ст</w:t>
                    </w:r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p. 35</w:t>
                    </w:r>
                  </w:hyperlink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како је последњи пут измењена и допуњена Директивом Комисије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2009/5/E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(</w:t>
                  </w:r>
                  <w:hyperlink r:id="rId53" w:history="1"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 xml:space="preserve">OJ L 29, 31.1.2009, </w:t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ст</w:t>
                    </w:r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p. 45</w:t>
                    </w:r>
                  </w:hyperlink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),</w:t>
                  </w:r>
                </w:p>
              </w:tc>
            </w:tr>
          </w:tbl>
          <w:p w:rsidR="00B04662" w:rsidRPr="008A0109" w:rsidRDefault="00B04662" w:rsidP="00B0466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vanish/>
                <w:sz w:val="24"/>
                <w:szCs w:val="24"/>
                <w:lang w:val="sr-Cyrl-RS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986"/>
            </w:tblGrid>
            <w:tr w:rsidR="00B04662" w:rsidRPr="008A0109"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B04662" w:rsidP="00B0466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—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41613B" w:rsidP="0041613B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Директива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2003/88/E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Европског парламента и Савета од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. новембра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2003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.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о одређеним видовима организације радног времена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</w:t>
                  </w:r>
                  <w:hyperlink r:id="rId54" w:history="1"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 xml:space="preserve">OJ L 299, 18.11.2003, </w:t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ст</w:t>
                    </w:r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p. 9</w:t>
                    </w:r>
                  </w:hyperlink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),</w:t>
                  </w:r>
                </w:p>
              </w:tc>
            </w:tr>
          </w:tbl>
          <w:p w:rsidR="00B04662" w:rsidRPr="008A0109" w:rsidRDefault="00B04662" w:rsidP="00B0466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vanish/>
                <w:sz w:val="24"/>
                <w:szCs w:val="24"/>
                <w:lang w:val="sr-Cyrl-RS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986"/>
            </w:tblGrid>
            <w:tr w:rsidR="00B04662" w:rsidRPr="008A0109"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B04662" w:rsidP="00B0466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—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41613B" w:rsidP="0041613B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Директива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2002/15/E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Европског парламента и Савета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11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. марта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2002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. о организацији радног времена особа које обављају мобилне делатности друмског саобраћаја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(</w:t>
                  </w:r>
                  <w:hyperlink r:id="rId55" w:history="1"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 xml:space="preserve">OJ L 80, 23.3.2002, </w:t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ст</w:t>
                    </w:r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p. 35</w:t>
                    </w:r>
                  </w:hyperlink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),</w:t>
                  </w:r>
                </w:p>
              </w:tc>
            </w:tr>
          </w:tbl>
          <w:p w:rsidR="00B04662" w:rsidRPr="008A0109" w:rsidRDefault="00B04662" w:rsidP="00B0466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vanish/>
                <w:sz w:val="24"/>
                <w:szCs w:val="24"/>
                <w:lang w:val="sr-Cyrl-RS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986"/>
            </w:tblGrid>
            <w:tr w:rsidR="00B04662" w:rsidRPr="008A0109"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B04662" w:rsidP="00B04662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—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B04662" w:rsidRPr="008A0109" w:rsidRDefault="005A4EDE" w:rsidP="005A4EDE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Директива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2003/59/E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Европског парламента и Савета од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15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. јула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2003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.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о почетним квалификацијама и периодичном оспособљавању возача одређених друмских возила за превоз робе или путника, и о измени и допуни Уредбе Савета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(EE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бр.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3820/85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и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lastRenderedPageBreak/>
                    <w:t xml:space="preserve">Директиве Савета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91/439/EE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те о стављању ван снаге Директиве Савета 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76/914/EE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З</w:t>
                  </w:r>
                  <w:r w:rsidR="00B04662" w:rsidRPr="008A010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 xml:space="preserve"> (</w:t>
                  </w:r>
                  <w:hyperlink r:id="rId56" w:history="1"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 xml:space="preserve">OJ L 226, 10.9.2003, </w:t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ст</w:t>
                    </w:r>
                    <w:r w:rsidR="00B04662" w:rsidRPr="008A0109">
                      <w:rPr>
                        <w:rFonts w:ascii="Times New Roman" w:eastAsia="Times New Roman" w:hAnsi="Times New Roman" w:cs="Times New Roman"/>
                        <w:noProof/>
                        <w:color w:val="800080"/>
                        <w:sz w:val="24"/>
                        <w:szCs w:val="24"/>
                        <w:u w:val="single"/>
                        <w:lang w:val="sr-Cyrl-RS"/>
                      </w:rPr>
                      <w:t>p. 4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sr-Cyrl-RS"/>
                    </w:rPr>
                    <w:t>).'</w:t>
                  </w:r>
                </w:p>
              </w:tc>
            </w:tr>
          </w:tbl>
          <w:p w:rsidR="00B04662" w:rsidRPr="008A0109" w:rsidRDefault="00B04662" w:rsidP="00B0466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</w:tr>
    </w:tbl>
    <w:p w:rsidR="00B04662" w:rsidRPr="008A0109" w:rsidRDefault="007119F8" w:rsidP="00B04662">
      <w:pPr>
        <w:shd w:val="clear" w:color="auto" w:fill="FFFFFF"/>
        <w:spacing w:before="240" w:after="60" w:line="240" w:lineRule="auto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lastRenderedPageBreak/>
        <w:pict>
          <v:rect id="_x0000_i1029" style="width:129pt;height:.75pt" o:hrpct="0" o:hrstd="t" o:hrnoshade="t" o:hr="t" fillcolor="black" stroked="f"/>
        </w:pict>
      </w:r>
    </w:p>
    <w:p w:rsidR="00B04662" w:rsidRPr="008A0109" w:rsidRDefault="007119F8" w:rsidP="00B04662">
      <w:pPr>
        <w:shd w:val="clear" w:color="auto" w:fill="FFFFFF"/>
        <w:spacing w:before="60" w:after="6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lang w:val="sr-Cyrl-RS"/>
        </w:rPr>
      </w:pPr>
      <w:hyperlink r:id="rId57" w:anchor="ntc1-L_2012008EN.01004201-E0001" w:history="1"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u w:val="single"/>
            <w:lang w:val="sr-Cyrl-RS"/>
          </w:rPr>
          <w:t>(</w:t>
        </w:r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sz w:val="15"/>
            <w:szCs w:val="15"/>
            <w:vertAlign w:val="superscript"/>
            <w:lang w:val="sr-Cyrl-RS"/>
          </w:rPr>
          <w:t>1</w:t>
        </w:r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u w:val="single"/>
            <w:lang w:val="sr-Cyrl-RS"/>
          </w:rPr>
          <w:t>)</w:t>
        </w:r>
      </w:hyperlink>
      <w:r w:rsidR="005A4EDE">
        <w:rPr>
          <w:rFonts w:ascii="Times New Roman" w:eastAsia="Times New Roman" w:hAnsi="Times New Roman" w:cs="Times New Roman"/>
          <w:noProof/>
          <w:color w:val="444444"/>
          <w:lang w:val="sr-Cyrl-RS"/>
        </w:rPr>
        <w:t xml:space="preserve">  Ажурирање аката узима у обзир нове мере које је усвојила Европска унија до 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lang w:val="sr-Cyrl-RS"/>
        </w:rPr>
        <w:t>31</w:t>
      </w:r>
      <w:r w:rsidR="005A4EDE">
        <w:rPr>
          <w:rFonts w:ascii="Times New Roman" w:eastAsia="Times New Roman" w:hAnsi="Times New Roman" w:cs="Times New Roman"/>
          <w:noProof/>
          <w:color w:val="444444"/>
          <w:lang w:val="sr-Cyrl-RS"/>
        </w:rPr>
        <w:t xml:space="preserve">. децембра 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lang w:val="sr-Cyrl-RS"/>
        </w:rPr>
        <w:t>2009.</w:t>
      </w:r>
    </w:p>
    <w:p w:rsidR="00B04662" w:rsidRPr="008A0109" w:rsidRDefault="007119F8" w:rsidP="00B04662">
      <w:pPr>
        <w:shd w:val="clear" w:color="auto" w:fill="FFFFFF"/>
        <w:spacing w:before="60" w:after="60" w:line="312" w:lineRule="atLeast"/>
        <w:jc w:val="both"/>
        <w:rPr>
          <w:rFonts w:ascii="Times New Roman" w:eastAsia="Times New Roman" w:hAnsi="Times New Roman" w:cs="Times New Roman"/>
          <w:noProof/>
          <w:color w:val="444444"/>
          <w:lang w:val="sr-Cyrl-RS"/>
        </w:rPr>
      </w:pPr>
      <w:hyperlink r:id="rId58" w:anchor="ntc2-L_2012008EN.01004201-E0002" w:history="1"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u w:val="single"/>
            <w:lang w:val="sr-Cyrl-RS"/>
          </w:rPr>
          <w:t>(</w:t>
        </w:r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sz w:val="15"/>
            <w:szCs w:val="15"/>
            <w:vertAlign w:val="superscript"/>
            <w:lang w:val="sr-Cyrl-RS"/>
          </w:rPr>
          <w:t>2</w:t>
        </w:r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u w:val="single"/>
            <w:lang w:val="sr-Cyrl-RS"/>
          </w:rPr>
          <w:t>)</w:t>
        </w:r>
      </w:hyperlink>
      <w:r w:rsidR="005A4EDE">
        <w:rPr>
          <w:rFonts w:ascii="Times New Roman" w:eastAsia="Times New Roman" w:hAnsi="Times New Roman" w:cs="Times New Roman"/>
          <w:noProof/>
          <w:color w:val="444444"/>
          <w:lang w:val="sr-Cyrl-RS"/>
        </w:rPr>
        <w:t xml:space="preserve">  Ажурирање аката узима у обзир нове мере које је усвојила Европска унија до 31- децембра </w:t>
      </w:r>
      <w:r w:rsidR="00B04662" w:rsidRPr="008A0109">
        <w:rPr>
          <w:rFonts w:ascii="Times New Roman" w:eastAsia="Times New Roman" w:hAnsi="Times New Roman" w:cs="Times New Roman"/>
          <w:noProof/>
          <w:color w:val="444444"/>
          <w:lang w:val="sr-Cyrl-RS"/>
        </w:rPr>
        <w:t>2009.</w:t>
      </w:r>
    </w:p>
    <w:p w:rsidR="00B04662" w:rsidRPr="008A0109" w:rsidRDefault="007119F8" w:rsidP="00B0466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</w:pPr>
      <w:r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val="sr-Cyrl-RS"/>
        </w:rPr>
        <w:pict>
          <v:rect id="_x0000_i1030" style="width:129pt;height:.75pt" o:hrpct="0" o:hralign="center" o:hrstd="t" o:hrnoshade="t" o:hr="t" fillcolor="black" stroked="f"/>
        </w:pict>
      </w:r>
    </w:p>
    <w:p w:rsidR="003D17FF" w:rsidRPr="008A0109" w:rsidRDefault="007119F8" w:rsidP="00B04662">
      <w:pPr>
        <w:rPr>
          <w:noProof/>
          <w:lang w:val="sr-Cyrl-RS"/>
        </w:rPr>
      </w:pPr>
      <w:hyperlink r:id="rId59" w:anchor="document1" w:history="1">
        <w:r w:rsidR="00B04662" w:rsidRPr="008A0109">
          <w:rPr>
            <w:rFonts w:ascii="Times New Roman" w:eastAsia="Times New Roman" w:hAnsi="Times New Roman" w:cs="Times New Roman"/>
            <w:noProof/>
            <w:color w:val="800080"/>
            <w:sz w:val="27"/>
            <w:szCs w:val="27"/>
            <w:shd w:val="clear" w:color="auto" w:fill="FFFFFF"/>
            <w:lang w:val="sr-Cyrl-RS"/>
          </w:rPr>
          <w:br/>
        </w:r>
      </w:hyperlink>
    </w:p>
    <w:sectPr w:rsidR="003D17FF" w:rsidRPr="008A010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684"/>
    <w:rsid w:val="00006DC2"/>
    <w:rsid w:val="000144B7"/>
    <w:rsid w:val="00021B5F"/>
    <w:rsid w:val="00024CB7"/>
    <w:rsid w:val="00030D01"/>
    <w:rsid w:val="00034324"/>
    <w:rsid w:val="00065431"/>
    <w:rsid w:val="00065EF0"/>
    <w:rsid w:val="00072AB7"/>
    <w:rsid w:val="0008559B"/>
    <w:rsid w:val="000D5D09"/>
    <w:rsid w:val="00122D12"/>
    <w:rsid w:val="00151334"/>
    <w:rsid w:val="0015305B"/>
    <w:rsid w:val="00155106"/>
    <w:rsid w:val="001C1D50"/>
    <w:rsid w:val="001E06A9"/>
    <w:rsid w:val="00222DBC"/>
    <w:rsid w:val="00252B93"/>
    <w:rsid w:val="0026131C"/>
    <w:rsid w:val="0029744D"/>
    <w:rsid w:val="002A438F"/>
    <w:rsid w:val="002A5901"/>
    <w:rsid w:val="002B7913"/>
    <w:rsid w:val="002C63E6"/>
    <w:rsid w:val="00367FBD"/>
    <w:rsid w:val="003A5BDB"/>
    <w:rsid w:val="003C789C"/>
    <w:rsid w:val="003D17FF"/>
    <w:rsid w:val="00404E8E"/>
    <w:rsid w:val="00406752"/>
    <w:rsid w:val="0041613B"/>
    <w:rsid w:val="004432DE"/>
    <w:rsid w:val="00497436"/>
    <w:rsid w:val="004A2672"/>
    <w:rsid w:val="004B45DF"/>
    <w:rsid w:val="004C2750"/>
    <w:rsid w:val="00514B2A"/>
    <w:rsid w:val="005154FA"/>
    <w:rsid w:val="005204FF"/>
    <w:rsid w:val="00546C97"/>
    <w:rsid w:val="00566565"/>
    <w:rsid w:val="005A4EDE"/>
    <w:rsid w:val="005A51CC"/>
    <w:rsid w:val="005B4E73"/>
    <w:rsid w:val="005D50C4"/>
    <w:rsid w:val="0063447F"/>
    <w:rsid w:val="006E3AB6"/>
    <w:rsid w:val="007119F8"/>
    <w:rsid w:val="007463B1"/>
    <w:rsid w:val="00756AF4"/>
    <w:rsid w:val="007E3867"/>
    <w:rsid w:val="007F2810"/>
    <w:rsid w:val="00822411"/>
    <w:rsid w:val="00844E37"/>
    <w:rsid w:val="0085658B"/>
    <w:rsid w:val="00881CFB"/>
    <w:rsid w:val="00885AC5"/>
    <w:rsid w:val="00897DE3"/>
    <w:rsid w:val="008A0109"/>
    <w:rsid w:val="008A0EAD"/>
    <w:rsid w:val="008D0970"/>
    <w:rsid w:val="008F527A"/>
    <w:rsid w:val="009510C2"/>
    <w:rsid w:val="00991902"/>
    <w:rsid w:val="009A26AD"/>
    <w:rsid w:val="009E7C76"/>
    <w:rsid w:val="009F65B7"/>
    <w:rsid w:val="00A13D43"/>
    <w:rsid w:val="00A20C58"/>
    <w:rsid w:val="00A43A9F"/>
    <w:rsid w:val="00A76545"/>
    <w:rsid w:val="00AB0A5B"/>
    <w:rsid w:val="00AB216E"/>
    <w:rsid w:val="00AB5648"/>
    <w:rsid w:val="00AB73B0"/>
    <w:rsid w:val="00AE3CE5"/>
    <w:rsid w:val="00AE7157"/>
    <w:rsid w:val="00B04662"/>
    <w:rsid w:val="00B15262"/>
    <w:rsid w:val="00B43921"/>
    <w:rsid w:val="00BD4794"/>
    <w:rsid w:val="00C00375"/>
    <w:rsid w:val="00C632A7"/>
    <w:rsid w:val="00C73543"/>
    <w:rsid w:val="00C92E63"/>
    <w:rsid w:val="00C94684"/>
    <w:rsid w:val="00CE018E"/>
    <w:rsid w:val="00D13F6D"/>
    <w:rsid w:val="00D273A3"/>
    <w:rsid w:val="00D31563"/>
    <w:rsid w:val="00D85B82"/>
    <w:rsid w:val="00D94EF8"/>
    <w:rsid w:val="00DD3AE7"/>
    <w:rsid w:val="00E06CC6"/>
    <w:rsid w:val="00E0799A"/>
    <w:rsid w:val="00E1057E"/>
    <w:rsid w:val="00E61DDC"/>
    <w:rsid w:val="00E71FA8"/>
    <w:rsid w:val="00E904F7"/>
    <w:rsid w:val="00EA368A"/>
    <w:rsid w:val="00ED1469"/>
    <w:rsid w:val="00ED518A"/>
    <w:rsid w:val="00F1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01BAD"/>
  <w15:chartTrackingRefBased/>
  <w15:docId w15:val="{8B4EAF76-928F-4D8A-8B41-5968AD18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d-date">
    <w:name w:val="hd-date"/>
    <w:basedOn w:val="Normal"/>
    <w:rsid w:val="00B0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d-lg">
    <w:name w:val="hd-lg"/>
    <w:basedOn w:val="Normal"/>
    <w:rsid w:val="00B0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d-ti">
    <w:name w:val="hd-ti"/>
    <w:basedOn w:val="Normal"/>
    <w:rsid w:val="00B0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d-oj">
    <w:name w:val="hd-oj"/>
    <w:basedOn w:val="Normal"/>
    <w:rsid w:val="00B0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-ti">
    <w:name w:val="doc-ti"/>
    <w:basedOn w:val="Normal"/>
    <w:rsid w:val="00B0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B0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04662"/>
    <w:rPr>
      <w:color w:val="0000FF"/>
      <w:u w:val="single"/>
    </w:rPr>
  </w:style>
  <w:style w:type="character" w:customStyle="1" w:styleId="super">
    <w:name w:val="super"/>
    <w:basedOn w:val="DefaultParagraphFont"/>
    <w:rsid w:val="00B04662"/>
  </w:style>
  <w:style w:type="paragraph" w:customStyle="1" w:styleId="ti-art">
    <w:name w:val="ti-art"/>
    <w:basedOn w:val="Normal"/>
    <w:rsid w:val="00B0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gnatory">
    <w:name w:val="signatory"/>
    <w:basedOn w:val="Normal"/>
    <w:rsid w:val="00B0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alic">
    <w:name w:val="italic"/>
    <w:basedOn w:val="DefaultParagraphFont"/>
    <w:rsid w:val="00B04662"/>
  </w:style>
  <w:style w:type="paragraph" w:customStyle="1" w:styleId="note">
    <w:name w:val="note"/>
    <w:basedOn w:val="Normal"/>
    <w:rsid w:val="00B0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grseq-1">
    <w:name w:val="ti-grseq-1"/>
    <w:basedOn w:val="Normal"/>
    <w:rsid w:val="00B0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B04662"/>
  </w:style>
  <w:style w:type="paragraph" w:customStyle="1" w:styleId="sti-art">
    <w:name w:val="sti-art"/>
    <w:basedOn w:val="Normal"/>
    <w:rsid w:val="00B0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hdr">
    <w:name w:val="tbl-hdr"/>
    <w:basedOn w:val="Normal"/>
    <w:rsid w:val="00B0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xt">
    <w:name w:val="tbl-txt"/>
    <w:basedOn w:val="Normal"/>
    <w:rsid w:val="00B0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3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8449">
              <w:marLeft w:val="810"/>
              <w:marRight w:val="81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9122">
                  <w:marLeft w:val="4005"/>
                  <w:marRight w:val="8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8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ur-lex.europa.eu/legal-content/EN/AUTO/?uri=OJ:L:2002:327:TOC" TargetMode="External"/><Relationship Id="rId18" Type="http://schemas.openxmlformats.org/officeDocument/2006/relationships/hyperlink" Target="https://eur-lex.europa.eu/legal-content/EN/AUTO/?uri=OJ:L:1985:370:TOC" TargetMode="External"/><Relationship Id="rId26" Type="http://schemas.openxmlformats.org/officeDocument/2006/relationships/hyperlink" Target="https://eur-lex.europa.eu/legal-content/EN/AUTO/?uri=OJ:L:2005:061:TOC" TargetMode="External"/><Relationship Id="rId39" Type="http://schemas.openxmlformats.org/officeDocument/2006/relationships/hyperlink" Target="https://eur-lex.europa.eu/legal-content/EN/AUTO/?uri=OJ:L:1977:220:TOC" TargetMode="External"/><Relationship Id="rId21" Type="http://schemas.openxmlformats.org/officeDocument/2006/relationships/hyperlink" Target="https://eur-lex.europa.eu/legal-content/EN/AUTO/?uri=OJ:L:2001:107:TOC" TargetMode="External"/><Relationship Id="rId34" Type="http://schemas.openxmlformats.org/officeDocument/2006/relationships/hyperlink" Target="https://eur-lex.europa.eu/legal-content/EN/AUTO/?uri=OJ:L:2008:257:TOC" TargetMode="External"/><Relationship Id="rId42" Type="http://schemas.openxmlformats.org/officeDocument/2006/relationships/hyperlink" Target="https://eur-lex.europa.eu/legal-content/EN/AUTO/?uri=OJ:L:2005:255:TOC" TargetMode="External"/><Relationship Id="rId47" Type="http://schemas.openxmlformats.org/officeDocument/2006/relationships/hyperlink" Target="https://eur-lex.europa.eu/legal-content/EN/TXT/?uri=CELEX%3A22012D0025" TargetMode="External"/><Relationship Id="rId50" Type="http://schemas.openxmlformats.org/officeDocument/2006/relationships/hyperlink" Target="https://eur-lex.europa.eu/legal-content/EN/AUTO/?uri=OJ:L:1985:370:TOC" TargetMode="External"/><Relationship Id="rId55" Type="http://schemas.openxmlformats.org/officeDocument/2006/relationships/hyperlink" Target="https://eur-lex.europa.eu/legal-content/EN/AUTO/?uri=OJ:L:2002:080:TOC" TargetMode="External"/><Relationship Id="rId7" Type="http://schemas.openxmlformats.org/officeDocument/2006/relationships/hyperlink" Target="https://eur-lex.europa.eu/legal-content/EN/TXT/?uri=CELEX%3A22012D002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ur-lex.europa.eu/legal-content/EN/AUTO/?uri=OJ:L:1997:233:TOC" TargetMode="External"/><Relationship Id="rId20" Type="http://schemas.openxmlformats.org/officeDocument/2006/relationships/hyperlink" Target="https://eur-lex.europa.eu/legal-content/EN/AUTO/?uri=OJ:L:1988:036:TOC" TargetMode="External"/><Relationship Id="rId29" Type="http://schemas.openxmlformats.org/officeDocument/2006/relationships/hyperlink" Target="https://eur-lex.europa.eu/legal-content/EN/AUTO/?uri=OJ:L:1971:202:TOC" TargetMode="External"/><Relationship Id="rId41" Type="http://schemas.openxmlformats.org/officeDocument/2006/relationships/hyperlink" Target="https://eur-lex.europa.eu/legal-content/EN/AUTO/?uri=OJ:L:1976:024:TOC" TargetMode="External"/><Relationship Id="rId54" Type="http://schemas.openxmlformats.org/officeDocument/2006/relationships/hyperlink" Target="https://eur-lex.europa.eu/legal-content/EN/AUTO/?uri=OJ:L:2003:299:TOC" TargetMode="External"/><Relationship Id="rId1" Type="http://schemas.openxmlformats.org/officeDocument/2006/relationships/styles" Target="styles.xml"/><Relationship Id="rId6" Type="http://schemas.openxmlformats.org/officeDocument/2006/relationships/hyperlink" Target="https://eur-lex.europa.eu/legal-content/EN/AUTO/?uri=OJ:L:2002:321:TOC" TargetMode="External"/><Relationship Id="rId11" Type="http://schemas.openxmlformats.org/officeDocument/2006/relationships/hyperlink" Target="https://eur-lex.europa.eu/legal-content/EN/AUTO/?uri=OJ:L:2003:090:TOC" TargetMode="External"/><Relationship Id="rId24" Type="http://schemas.openxmlformats.org/officeDocument/2006/relationships/hyperlink" Target="https://eur-lex.europa.eu/legal-content/EN/AUTO/?uri=OJ:L:2009:188:TOC" TargetMode="External"/><Relationship Id="rId32" Type="http://schemas.openxmlformats.org/officeDocument/2006/relationships/hyperlink" Target="https://eur-lex.europa.eu/legal-content/EN/AUTO/?uri=OJ:L:2005:046:TOC" TargetMode="External"/><Relationship Id="rId37" Type="http://schemas.openxmlformats.org/officeDocument/2006/relationships/hyperlink" Target="https://eur-lex.europa.eu/legal-content/EN/AUTO/?uri=OJ:L:2004:025:TOC" TargetMode="External"/><Relationship Id="rId40" Type="http://schemas.openxmlformats.org/officeDocument/2006/relationships/hyperlink" Target="https://eur-lex.europa.eu/legal-content/EN/AUTO/?uri=OJ:L:2005:255:TOC" TargetMode="External"/><Relationship Id="rId45" Type="http://schemas.openxmlformats.org/officeDocument/2006/relationships/hyperlink" Target="https://eur-lex.europa.eu/legal-content/EN/AUTO/?uri=OJ:L:1995:281:TOC" TargetMode="External"/><Relationship Id="rId53" Type="http://schemas.openxmlformats.org/officeDocument/2006/relationships/hyperlink" Target="https://eur-lex.europa.eu/legal-content/EN/AUTO/?uri=OJ:L:2009:029:TOC" TargetMode="External"/><Relationship Id="rId58" Type="http://schemas.openxmlformats.org/officeDocument/2006/relationships/hyperlink" Target="https://eur-lex.europa.eu/legal-content/EN/TXT/?uri=CELEX%3A22012D0025" TargetMode="External"/><Relationship Id="rId5" Type="http://schemas.openxmlformats.org/officeDocument/2006/relationships/hyperlink" Target="https://eur-lex.europa.eu/legal-content/EN/TXT/?uri=CELEX%3A22012D0025" TargetMode="External"/><Relationship Id="rId15" Type="http://schemas.openxmlformats.org/officeDocument/2006/relationships/hyperlink" Target="https://eur-lex.europa.eu/legal-content/EN/AUTO/?uri=OJ:L:2002:067:TOC" TargetMode="External"/><Relationship Id="rId23" Type="http://schemas.openxmlformats.org/officeDocument/2006/relationships/hyperlink" Target="https://eur-lex.europa.eu/legal-content/EN/AUTO/?uri=OJ:L:2008:192:TOC" TargetMode="External"/><Relationship Id="rId28" Type="http://schemas.openxmlformats.org/officeDocument/2006/relationships/hyperlink" Target="https://eur-lex.europa.eu/legal-content/EN/AUTO/?uri=OJ:L:2007:155:TOC" TargetMode="External"/><Relationship Id="rId36" Type="http://schemas.openxmlformats.org/officeDocument/2006/relationships/hyperlink" Target="https://eur-lex.europa.eu/legal-content/EN/AUTO/?uri=OJ:L:2006:048:TOC" TargetMode="External"/><Relationship Id="rId49" Type="http://schemas.openxmlformats.org/officeDocument/2006/relationships/hyperlink" Target="https://eur-lex.europa.eu/legal-content/EN/AUTO/?uri=OJ:L:2009:300:TOC" TargetMode="External"/><Relationship Id="rId57" Type="http://schemas.openxmlformats.org/officeDocument/2006/relationships/hyperlink" Target="https://eur-lex.europa.eu/legal-content/EN/TXT/?uri=CELEX%3A22012D0025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eur-lex.europa.eu/legal-content/EN/AUTO/?uri=OJ:L:2000:203:TOC" TargetMode="External"/><Relationship Id="rId19" Type="http://schemas.openxmlformats.org/officeDocument/2006/relationships/hyperlink" Target="https://eur-lex.europa.eu/legal-content/EN/AUTO/?uri=OJ:L:2009:339:TOC" TargetMode="External"/><Relationship Id="rId31" Type="http://schemas.openxmlformats.org/officeDocument/2006/relationships/hyperlink" Target="https://eur-lex.europa.eu/legal-content/EN/AUTO/?uri=OJ:L:1992:129:TOC" TargetMode="External"/><Relationship Id="rId44" Type="http://schemas.openxmlformats.org/officeDocument/2006/relationships/hyperlink" Target="https://eur-lex.europa.eu/legal-content/EN/AUTO/?uri=OJ:L:2005:255:TOC" TargetMode="External"/><Relationship Id="rId52" Type="http://schemas.openxmlformats.org/officeDocument/2006/relationships/hyperlink" Target="https://eur-lex.europa.eu/legal-content/EN/AUTO/?uri=OJ:L:2006:102:TOC" TargetMode="External"/><Relationship Id="rId60" Type="http://schemas.openxmlformats.org/officeDocument/2006/relationships/fontTable" Target="fontTable.xml"/><Relationship Id="rId4" Type="http://schemas.openxmlformats.org/officeDocument/2006/relationships/hyperlink" Target="https://eur-lex.europa.eu/legal-content/EN/TXT/?uri=CELEX%3A22012D0025" TargetMode="External"/><Relationship Id="rId9" Type="http://schemas.openxmlformats.org/officeDocument/2006/relationships/hyperlink" Target="https://eur-lex.europa.eu/legal-content/EN/AUTO/?uri=OJ:L:2009:141:TOC" TargetMode="External"/><Relationship Id="rId14" Type="http://schemas.openxmlformats.org/officeDocument/2006/relationships/hyperlink" Target="https://eur-lex.europa.eu/legal-content/EN/AUTO/?uri=OJ:L:1996:235:TOC" TargetMode="External"/><Relationship Id="rId22" Type="http://schemas.openxmlformats.org/officeDocument/2006/relationships/hyperlink" Target="https://eur-lex.europa.eu/legal-content/EN/AUTO/?uri=OJ:L:2005:275:TOC" TargetMode="External"/><Relationship Id="rId27" Type="http://schemas.openxmlformats.org/officeDocument/2006/relationships/hyperlink" Target="https://eur-lex.europa.eu/legal-content/EN/AUTO/?uri=OJ:L:1970:042:TOC" TargetMode="External"/><Relationship Id="rId30" Type="http://schemas.openxmlformats.org/officeDocument/2006/relationships/hyperlink" Target="https://eur-lex.europa.eu/legal-content/EN/AUTO/?uri=OJ:L:2002:267:TOC" TargetMode="External"/><Relationship Id="rId35" Type="http://schemas.openxmlformats.org/officeDocument/2006/relationships/hyperlink" Target="https://eur-lex.europa.eu/legal-content/EN/AUTO/?uri=OJ:L:1970:076:TOC" TargetMode="External"/><Relationship Id="rId43" Type="http://schemas.openxmlformats.org/officeDocument/2006/relationships/hyperlink" Target="https://eur-lex.europa.eu/legal-content/EN/AUTO/?uri=OJ:L:1974:221:TOC" TargetMode="External"/><Relationship Id="rId48" Type="http://schemas.openxmlformats.org/officeDocument/2006/relationships/hyperlink" Target="https://eur-lex.europa.eu/legal-content/EN/AUTO/?uri=OJ:L:2006:102:TOC" TargetMode="External"/><Relationship Id="rId56" Type="http://schemas.openxmlformats.org/officeDocument/2006/relationships/hyperlink" Target="https://eur-lex.europa.eu/legal-content/EN/AUTO/?uri=OJ:L:2003:226:TOC" TargetMode="External"/><Relationship Id="rId8" Type="http://schemas.openxmlformats.org/officeDocument/2006/relationships/hyperlink" Target="https://eur-lex.europa.eu/legal-content/EN/AUTO/?uri=OJ:L:2009:300:TOC" TargetMode="External"/><Relationship Id="rId51" Type="http://schemas.openxmlformats.org/officeDocument/2006/relationships/hyperlink" Target="https://eur-lex.europa.eu/legal-content/EN/AUTO/?uri=OJ:L:2009:339:TO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eur-lex.europa.eu/legal-content/EN/AUTO/?uri=OJ:L:1992:057:TOC" TargetMode="External"/><Relationship Id="rId17" Type="http://schemas.openxmlformats.org/officeDocument/2006/relationships/hyperlink" Target="https://eur-lex.europa.eu/legal-content/EN/AUTO/?uri=OJ:L:2003:079:TOC" TargetMode="External"/><Relationship Id="rId25" Type="http://schemas.openxmlformats.org/officeDocument/2006/relationships/hyperlink" Target="https://eur-lex.europa.eu/legal-content/EN/AUTO/?uri=OJ:L:1972:190:TOC" TargetMode="External"/><Relationship Id="rId33" Type="http://schemas.openxmlformats.org/officeDocument/2006/relationships/hyperlink" Target="https://eur-lex.europa.eu/legal-content/EN/AUTO/?uri=OJ:L:1976:262:TOC" TargetMode="External"/><Relationship Id="rId38" Type="http://schemas.openxmlformats.org/officeDocument/2006/relationships/hyperlink" Target="https://eur-lex.europa.eu/legal-content/EN/AUTO/?uri=OJ:L:2005:081:TOC" TargetMode="External"/><Relationship Id="rId46" Type="http://schemas.openxmlformats.org/officeDocument/2006/relationships/hyperlink" Target="https://eur-lex.europa.eu/legal-content/EN/AUTO/?uri=OJ:L:2002:042:TOC" TargetMode="External"/><Relationship Id="rId59" Type="http://schemas.openxmlformats.org/officeDocument/2006/relationships/hyperlink" Target="https://eur-lex.europa.eu/legal-content/EN/TXT/?uri=CELEX%3A22012D0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13</Pages>
  <Words>3748</Words>
  <Characters>21364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25062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Marinkovic Aleksic</dc:creator>
  <cp:keywords/>
  <dc:description/>
  <cp:lastModifiedBy>Mira Marinkovic Aleksic</cp:lastModifiedBy>
  <cp:revision>11</cp:revision>
  <dcterms:created xsi:type="dcterms:W3CDTF">2021-03-03T08:51:00Z</dcterms:created>
  <dcterms:modified xsi:type="dcterms:W3CDTF">2021-04-19T13:24:00Z</dcterms:modified>
</cp:coreProperties>
</file>