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48" w:rsidRDefault="000F7048" w:rsidP="000F7048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en-US"/>
        </w:rPr>
      </w:pPr>
      <w:r>
        <w:rPr>
          <w:b/>
          <w:noProof/>
          <w:color w:val="000000"/>
          <w:lang w:val="sr-Cyrl-CS"/>
        </w:rPr>
        <w:t>АНАЛИЗА ЕФЕКАТА ЗАКОНА</w:t>
      </w:r>
    </w:p>
    <w:p w:rsidR="000F7048" w:rsidRPr="000F7048" w:rsidRDefault="000F7048" w:rsidP="000F7048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en-US"/>
        </w:rPr>
      </w:pPr>
      <w:bookmarkStart w:id="0" w:name="_GoBack"/>
      <w:bookmarkEnd w:id="0"/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Kључна питања за анализу постојећег стања и правилно дефинисање промене која се предлаже</w:t>
      </w:r>
    </w:p>
    <w:p w:rsidR="000F7048" w:rsidRDefault="000F7048" w:rsidP="000F7048">
      <w:pPr>
        <w:widowControl w:val="0"/>
        <w:tabs>
          <w:tab w:val="left" w:pos="360"/>
        </w:tabs>
        <w:ind w:left="270" w:right="180" w:firstLine="720"/>
        <w:jc w:val="both"/>
        <w:rPr>
          <w:noProof/>
          <w:color w:val="000000"/>
          <w:lang w:val="sr-Cyrl-CS"/>
        </w:rPr>
      </w:pPr>
      <w:r>
        <w:rPr>
          <w:lang w:val="sr-Cyrl-CS"/>
        </w:rPr>
        <w:t xml:space="preserve">Закон о оснивању Музеја жртава геноцида </w:t>
      </w:r>
      <w:r>
        <w:rPr>
          <w:lang w:val="ru-RU"/>
        </w:rPr>
        <w:t>(„</w:t>
      </w:r>
      <w:r>
        <w:rPr>
          <w:spacing w:val="-4"/>
          <w:lang w:val="ru-RU"/>
        </w:rPr>
        <w:t>Службени гласник РС</w:t>
      </w:r>
      <w:r>
        <w:rPr>
          <w:lang w:val="ru-RU"/>
        </w:rPr>
        <w:t>”</w:t>
      </w:r>
      <w:r>
        <w:rPr>
          <w:spacing w:val="-4"/>
          <w:lang w:val="ru-RU"/>
        </w:rPr>
        <w:t xml:space="preserve">, бр. </w:t>
      </w:r>
      <w:r>
        <w:rPr>
          <w:iCs/>
          <w:lang w:val="ru-RU"/>
        </w:rPr>
        <w:t>49/92, 53/93, 67/93, 48/94, 101/2005</w:t>
      </w:r>
      <w:r>
        <w:rPr>
          <w:spacing w:val="-4"/>
          <w:lang w:val="ru-RU"/>
        </w:rPr>
        <w:t xml:space="preserve">) </w:t>
      </w:r>
      <w:r>
        <w:rPr>
          <w:noProof/>
          <w:color w:val="000000"/>
          <w:lang w:val="sr-Cyrl-CS"/>
        </w:rPr>
        <w:t xml:space="preserve">је на снази од 1992. године и представља један од ретких прописа из области културе којим се посебно регулише оснивање и делатност једне установе културе, тј. музеја. </w:t>
      </w:r>
    </w:p>
    <w:p w:rsidR="000F7048" w:rsidRDefault="000F7048" w:rsidP="000F7048">
      <w:pPr>
        <w:tabs>
          <w:tab w:val="left" w:pos="360"/>
        </w:tabs>
        <w:ind w:left="270" w:right="180" w:firstLine="720"/>
        <w:jc w:val="both"/>
        <w:rPr>
          <w:lang w:val="sr-Cyrl-RS"/>
        </w:rPr>
      </w:pPr>
      <w:r>
        <w:rPr>
          <w:noProof/>
          <w:color w:val="000000"/>
          <w:lang w:val="sr-Cyrl-CS"/>
        </w:rPr>
        <w:t xml:space="preserve">Треба имати у виду чињеницу да у време доношења овог закона, систем правног уређења наше културе није био конципиран у складу са принципима на којима он данас функционише и да је у међувремену успостављен правни амбијент који се у потпуности разликује од времена када је овај закон донет. То се пре свега односи на чињеницу да је 2009. године донет Закон о култури </w:t>
      </w:r>
      <w:r>
        <w:t>(</w:t>
      </w:r>
      <w:r>
        <w:rPr>
          <w:lang w:val="sr-Cyrl-RS"/>
        </w:rPr>
        <w:t>„</w:t>
      </w:r>
      <w:proofErr w:type="spellStart"/>
      <w:r>
        <w:t>Сл</w:t>
      </w:r>
      <w:proofErr w:type="spellEnd"/>
      <w:r>
        <w:t xml:space="preserve">. </w:t>
      </w:r>
      <w:proofErr w:type="spellStart"/>
      <w:proofErr w:type="gramStart"/>
      <w:r>
        <w:t>гласник</w:t>
      </w:r>
      <w:proofErr w:type="spellEnd"/>
      <w:proofErr w:type="gramEnd"/>
      <w:r>
        <w:t xml:space="preserve"> РС</w:t>
      </w:r>
      <w:r>
        <w:rPr>
          <w:lang w:val="sr-Cyrl-RS"/>
        </w:rPr>
        <w:t>“,</w:t>
      </w:r>
      <w:r>
        <w:t xml:space="preserve"> </w:t>
      </w:r>
      <w:proofErr w:type="spellStart"/>
      <w:r>
        <w:t>бр</w:t>
      </w:r>
      <w:proofErr w:type="spellEnd"/>
      <w:r>
        <w:t>. 72/</w:t>
      </w:r>
      <w:proofErr w:type="gramStart"/>
      <w:r>
        <w:t>09 ,</w:t>
      </w:r>
      <w:proofErr w:type="gramEnd"/>
      <w:r>
        <w:t xml:space="preserve"> 13/16 , 30/16  - </w:t>
      </w:r>
      <w:proofErr w:type="spellStart"/>
      <w:r>
        <w:t>исправка</w:t>
      </w:r>
      <w:proofErr w:type="spellEnd"/>
      <w:r>
        <w:t>, 6/20</w:t>
      </w:r>
      <w:r>
        <w:rPr>
          <w:lang w:val="sr-Cyrl-RS"/>
        </w:rPr>
        <w:t xml:space="preserve">), који је унео један потпуно нови концепт у регулисању функционисања наше културе. Овај закон представља системски акт за нашу културу јер се њиме утврђују заједнички принципи на којима се мора заснивати наша култура, па тако и сам принцип уређења система функционисања установа културе. Осим тога, 1994. године је донет и Закон о културним добрима </w:t>
      </w:r>
      <w:r>
        <w:t>(</w:t>
      </w:r>
      <w:r>
        <w:rPr>
          <w:lang w:val="sr-Cyrl-RS"/>
        </w:rPr>
        <w:t>„</w:t>
      </w:r>
      <w:proofErr w:type="spellStart"/>
      <w:r>
        <w:t>Сл</w:t>
      </w:r>
      <w:proofErr w:type="spellEnd"/>
      <w:r>
        <w:t xml:space="preserve">. </w:t>
      </w:r>
      <w:proofErr w:type="spellStart"/>
      <w:proofErr w:type="gramStart"/>
      <w:r>
        <w:t>гласник</w:t>
      </w:r>
      <w:proofErr w:type="spellEnd"/>
      <w:proofErr w:type="gramEnd"/>
      <w:r>
        <w:t xml:space="preserve"> РС</w:t>
      </w:r>
      <w:r>
        <w:rPr>
          <w:lang w:val="sr-Cyrl-RS"/>
        </w:rPr>
        <w:t>“, 71/94, 52/11 – др. закони, 99/11 – др. закони и 6/20 – др. закон), који представља основни пропис за регулисање области заштите културног наслеђа.</w:t>
      </w:r>
    </w:p>
    <w:p w:rsidR="000F7048" w:rsidRDefault="000F7048" w:rsidP="000F7048">
      <w:pPr>
        <w:widowControl w:val="0"/>
        <w:tabs>
          <w:tab w:val="left" w:pos="360"/>
        </w:tabs>
        <w:ind w:left="270" w:right="180" w:firstLine="720"/>
        <w:jc w:val="both"/>
        <w:rPr>
          <w:noProof/>
          <w:color w:val="000000"/>
          <w:lang w:val="sr-Cyrl-RS"/>
        </w:rPr>
      </w:pPr>
      <w:r>
        <w:rPr>
          <w:lang w:val="sr-Cyrl-RS"/>
        </w:rPr>
        <w:t xml:space="preserve">У таквом систему, </w:t>
      </w:r>
      <w:r>
        <w:rPr>
          <w:lang w:val="sr-Cyrl-CS"/>
        </w:rPr>
        <w:t>Закон о оснивању Музеја жртава геноцида представља посебан закон којим се регулишу специфичности које ова установа има у систему других установа заштите. Међутим, имајући у виду све што је претходно речено, неопходно је извршити одређена усклађивања овог акта са новом ситуацијом у систему регулисања наше културе чиме би се овај акт учинио у пуној мери ефикасним.</w:t>
      </w:r>
    </w:p>
    <w:p w:rsidR="000F7048" w:rsidRDefault="000F7048" w:rsidP="000F7048">
      <w:pPr>
        <w:widowControl w:val="0"/>
        <w:tabs>
          <w:tab w:val="left" w:pos="360"/>
        </w:tabs>
        <w:ind w:right="180"/>
        <w:rPr>
          <w:b/>
          <w:noProof/>
          <w:color w:val="000000"/>
          <w:lang w:val="sr-Cyrl-CS"/>
        </w:rPr>
      </w:pPr>
    </w:p>
    <w:p w:rsidR="000F7048" w:rsidRDefault="000F7048" w:rsidP="000F7048">
      <w:pPr>
        <w:widowControl w:val="0"/>
        <w:tabs>
          <w:tab w:val="left" w:pos="360"/>
        </w:tabs>
        <w:ind w:left="270" w:right="180"/>
        <w:jc w:val="both"/>
        <w:rPr>
          <w:b/>
          <w:noProof/>
          <w:color w:val="000000"/>
          <w:lang w:val="sr-Cyrl-CS"/>
        </w:rPr>
      </w:pPr>
      <w:r>
        <w:rPr>
          <w:b/>
          <w:noProof/>
          <w:color w:val="000000"/>
          <w:lang w:val="sr-Cyrl-CS"/>
        </w:rPr>
        <w:t>Проблеми које закон треба да реши и циљеви који се постижу доношењем закона</w:t>
      </w:r>
    </w:p>
    <w:p w:rsidR="000F7048" w:rsidRDefault="000F7048" w:rsidP="000F7048">
      <w:pPr>
        <w:widowControl w:val="0"/>
        <w:tabs>
          <w:tab w:val="left" w:pos="360"/>
        </w:tabs>
        <w:ind w:left="270" w:right="180" w:firstLine="720"/>
        <w:jc w:val="both"/>
        <w:rPr>
          <w:b/>
          <w:noProof/>
          <w:color w:val="000000"/>
          <w:lang w:val="sr-Cyrl-CS"/>
        </w:rPr>
      </w:pPr>
    </w:p>
    <w:p w:rsidR="000F7048" w:rsidRDefault="000F7048" w:rsidP="000F7048">
      <w:pPr>
        <w:widowControl w:val="0"/>
        <w:tabs>
          <w:tab w:val="left" w:pos="360"/>
        </w:tabs>
        <w:ind w:left="270" w:right="180" w:firstLine="720"/>
        <w:jc w:val="both"/>
        <w:rPr>
          <w:lang w:val="sr-Cyrl-CS"/>
        </w:rPr>
      </w:pPr>
      <w:r>
        <w:rPr>
          <w:lang w:val="sr-Cyrl-CS"/>
        </w:rPr>
        <w:t>Закон о оснивању Музеја жртава геноцида представља акт којим се на посебан начин уређује ова установа заштите и који у том смислу представља специфичан пропис у целокупном систему правног уређења наше културе. Имајући у виду чињеницу да је овај закон донет 1992. године у време када је наша култура била уређена на потпуно другачији начин него што је то данас случај, доношењем измена и допуна овог закона потребно је решити пре свега проблем његовог усаглашавања са новонасталом правном ситуацијом. Тако се нпр. регулише питање седишта овог музеја, јер се у члану 1. став 1. овог закона утврђује да је то у Крагујевцу, иако је његово седиште још од 1995. године у Београду. То даље у пракси значи да је овај Музеј уписан у регистар Привредног суда у Крагујевцу и то на адреси Спомен-парка, који није у било каквој вези са овим Музејом. Изменом овог закона у том делу, решиће се овај проблем који значајно отежава функционисање овог Музеја.</w:t>
      </w:r>
    </w:p>
    <w:p w:rsidR="000F7048" w:rsidRDefault="000F7048" w:rsidP="000F7048">
      <w:pPr>
        <w:widowControl w:val="0"/>
        <w:tabs>
          <w:tab w:val="left" w:pos="360"/>
        </w:tabs>
        <w:ind w:left="270" w:right="180" w:firstLine="720"/>
        <w:jc w:val="both"/>
        <w:rPr>
          <w:lang w:val="sr-Cyrl-CS"/>
        </w:rPr>
      </w:pPr>
      <w:r>
        <w:rPr>
          <w:lang w:val="sr-Cyrl-CS"/>
        </w:rPr>
        <w:t xml:space="preserve">Осим тога, измемана и допунама овог закона, потребно је извршити правно уједначавање регулације Музеја жртава геноцида са Законом о култури, чиме ће се ова установа изјеначити са другим установама заштите у свом регулисању и тако на јасан начин утврдити његове специфичности које захтевају посебну регулацију. 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утврђивање циљева</w:t>
      </w:r>
    </w:p>
    <w:p w:rsidR="000F7048" w:rsidRDefault="000F7048" w:rsidP="000F7048">
      <w:pPr>
        <w:pStyle w:val="bold"/>
        <w:spacing w:beforeAutospacing="0" w:afterAutospacing="0"/>
        <w:ind w:left="270" w:right="180" w:firstLine="450"/>
        <w:jc w:val="both"/>
        <w:rPr>
          <w:bCs/>
          <w:lang w:val="sr-Cyrl-RS" w:eastAsia="en-US"/>
        </w:rPr>
      </w:pPr>
      <w:r>
        <w:rPr>
          <w:bCs/>
          <w:lang w:val="sr-Cyrl-RS" w:eastAsia="en-US"/>
        </w:rPr>
        <w:t xml:space="preserve">     Имајући у виду чињеницу да је Закон о </w:t>
      </w:r>
      <w:r>
        <w:rPr>
          <w:lang w:val="sr-Cyrl-CS"/>
        </w:rPr>
        <w:t xml:space="preserve">оснивању Музеја жртава геноцида </w:t>
      </w:r>
      <w:r>
        <w:rPr>
          <w:bCs/>
          <w:lang w:val="sr-Cyrl-RS" w:eastAsia="en-US"/>
        </w:rPr>
        <w:t xml:space="preserve">на снази од </w:t>
      </w:r>
      <w:r>
        <w:rPr>
          <w:bCs/>
          <w:lang w:eastAsia="en-US"/>
        </w:rPr>
        <w:t>1992</w:t>
      </w:r>
      <w:r>
        <w:rPr>
          <w:bCs/>
          <w:lang w:val="sr-Cyrl-RS" w:eastAsia="en-US"/>
        </w:rPr>
        <w:t xml:space="preserve">. године, као и већ поменут нови правни амбијент у коме се регулише наша културе, може се рећи да је кључне питање везано за утврђивање циљева измена и допуна Закона о </w:t>
      </w:r>
      <w:r>
        <w:rPr>
          <w:lang w:val="sr-Cyrl-CS"/>
        </w:rPr>
        <w:t>оснивању Музеја жртава геноцида</w:t>
      </w:r>
      <w:r>
        <w:rPr>
          <w:bCs/>
          <w:lang w:val="sr-Cyrl-RS" w:eastAsia="en-US"/>
        </w:rPr>
        <w:t>:</w:t>
      </w:r>
    </w:p>
    <w:p w:rsidR="000F7048" w:rsidRDefault="000F7048" w:rsidP="000F7048">
      <w:pPr>
        <w:pStyle w:val="bold"/>
        <w:numPr>
          <w:ilvl w:val="0"/>
          <w:numId w:val="1"/>
        </w:numPr>
        <w:spacing w:beforeAutospacing="0" w:afterAutospacing="0"/>
        <w:ind w:right="180"/>
        <w:jc w:val="both"/>
        <w:rPr>
          <w:bCs/>
          <w:lang w:val="sr-Cyrl-RS" w:eastAsia="en-US"/>
        </w:rPr>
      </w:pPr>
      <w:r>
        <w:rPr>
          <w:bCs/>
          <w:lang w:val="sr-Cyrl-RS" w:eastAsia="en-US"/>
        </w:rPr>
        <w:t>како ускладити текст овог закона са новом законском регулативом у области културе</w:t>
      </w:r>
      <w:r>
        <w:rPr>
          <w:rFonts w:ascii="Times" w:hAnsi="Times"/>
          <w:color w:val="000000"/>
          <w:lang w:val="sr-Cyrl-RS"/>
        </w:rPr>
        <w:t>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идентификовање опција јавних политика</w:t>
      </w:r>
    </w:p>
    <w:p w:rsidR="000F7048" w:rsidRDefault="000F7048" w:rsidP="000F7048">
      <w:pPr>
        <w:tabs>
          <w:tab w:val="left" w:pos="360"/>
        </w:tabs>
        <w:ind w:left="270" w:right="180" w:firstLine="720"/>
        <w:jc w:val="both"/>
        <w:rPr>
          <w:lang w:val="sr-Cyrl-CS"/>
        </w:rPr>
      </w:pPr>
      <w:r>
        <w:rPr>
          <w:lang w:val="sr-Cyrl-CS"/>
        </w:rPr>
        <w:t>У току анализе разматрано је неколико релевантних могућности:</w:t>
      </w:r>
    </w:p>
    <w:p w:rsidR="000F7048" w:rsidRDefault="000F7048" w:rsidP="000F7048">
      <w:pPr>
        <w:pStyle w:val="NormalWeb"/>
        <w:tabs>
          <w:tab w:val="left" w:pos="360"/>
        </w:tabs>
        <w:spacing w:after="0"/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- status quo - не доношење посебног закона о изменама и допунама закона </w:t>
      </w:r>
      <w:r>
        <w:rPr>
          <w:lang w:val="sr-Cyrl-CS"/>
        </w:rPr>
        <w:t>оснивању Музеја жртава геноцида</w:t>
      </w:r>
      <w:r>
        <w:rPr>
          <w:rFonts w:eastAsia="Calibri"/>
          <w:lang w:val="sr-Cyrl-CS"/>
        </w:rPr>
        <w:t>,</w:t>
      </w:r>
    </w:p>
    <w:p w:rsidR="000F7048" w:rsidRDefault="000F7048" w:rsidP="000F7048">
      <w:pPr>
        <w:pStyle w:val="NormalWeb"/>
        <w:tabs>
          <w:tab w:val="left" w:pos="360"/>
        </w:tabs>
        <w:spacing w:after="0"/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- доношење новог закона који би у потпуности регулисао ову област,</w:t>
      </w:r>
    </w:p>
    <w:p w:rsidR="000F7048" w:rsidRDefault="000F7048" w:rsidP="000F7048">
      <w:pPr>
        <w:pStyle w:val="NormalWeb"/>
        <w:tabs>
          <w:tab w:val="left" w:pos="360"/>
        </w:tabs>
        <w:spacing w:after="0"/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- измен</w:t>
      </w:r>
      <w:r>
        <w:rPr>
          <w:rFonts w:eastAsia="Calibri"/>
        </w:rPr>
        <w:t>e</w:t>
      </w:r>
      <w:r>
        <w:rPr>
          <w:rFonts w:eastAsia="Calibri"/>
          <w:lang w:val="sr-Cyrl-CS"/>
        </w:rPr>
        <w:t xml:space="preserve"> односно допуне постојећег </w:t>
      </w:r>
      <w:r>
        <w:rPr>
          <w:lang w:val="sr-Cyrl-CS"/>
        </w:rPr>
        <w:t xml:space="preserve">Закона о оснивању Музеја жртава геноцида </w:t>
      </w:r>
      <w:r>
        <w:rPr>
          <w:rFonts w:eastAsia="Calibri"/>
          <w:lang w:val="sr-Cyrl-CS"/>
        </w:rPr>
        <w:t>којим би се извршила корекција уочених проблема.</w:t>
      </w:r>
    </w:p>
    <w:p w:rsidR="000F7048" w:rsidRDefault="000F7048" w:rsidP="000F7048">
      <w:pPr>
        <w:tabs>
          <w:tab w:val="left" w:pos="360"/>
        </w:tabs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Прва опција није била одржива из разлога што је доношење посебног закона основа да се истакну посебности Музеја жртава геноцида.</w:t>
      </w:r>
    </w:p>
    <w:p w:rsidR="000F7048" w:rsidRDefault="000F7048" w:rsidP="000F7048">
      <w:pPr>
        <w:tabs>
          <w:tab w:val="left" w:pos="360"/>
        </w:tabs>
        <w:ind w:left="270" w:right="180" w:firstLine="720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Друга опција није потребна јер су измене и допуне сасвим довољне да би се решили утврђени проблеми.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анализу финансијских ефеката</w:t>
      </w:r>
    </w:p>
    <w:p w:rsidR="000F7048" w:rsidRDefault="000F7048" w:rsidP="000F7048">
      <w:pPr>
        <w:ind w:left="270" w:right="180" w:firstLine="450"/>
        <w:jc w:val="both"/>
        <w:rPr>
          <w:bCs/>
          <w:lang w:val="sr-Cyrl-RS"/>
        </w:rPr>
      </w:pPr>
      <w:r>
        <w:rPr>
          <w:bCs/>
          <w:lang w:val="sr-Cyrl-RS"/>
        </w:rPr>
        <w:t xml:space="preserve">     За спровођење предметног акта нису потребна финансијска средства.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анализу економских ефеката</w:t>
      </w:r>
    </w:p>
    <w:p w:rsidR="000F7048" w:rsidRDefault="000F7048" w:rsidP="000F7048">
      <w:pPr>
        <w:pStyle w:val="bold"/>
        <w:spacing w:beforeAutospacing="0" w:afterAutospacing="0"/>
        <w:ind w:left="270" w:right="180" w:firstLine="450"/>
        <w:jc w:val="both"/>
        <w:rPr>
          <w:lang w:val="sr-Cyrl-RS"/>
        </w:rPr>
      </w:pPr>
      <w:r>
        <w:rPr>
          <w:lang w:val="sr-Cyrl-RS"/>
        </w:rPr>
        <w:t xml:space="preserve">     Спровођење овог закона нема економски ефекат.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анализу ефеката на друштво</w:t>
      </w:r>
    </w:p>
    <w:p w:rsidR="000F7048" w:rsidRDefault="000F7048" w:rsidP="000F7048">
      <w:pPr>
        <w:pStyle w:val="basic-paragraph"/>
        <w:spacing w:beforeAutospacing="0" w:afterAutospacing="0"/>
        <w:ind w:left="270" w:right="180" w:firstLine="450"/>
        <w:jc w:val="both"/>
        <w:rPr>
          <w:lang w:val="sr-Cyrl-RS"/>
        </w:rPr>
      </w:pPr>
      <w:r>
        <w:rPr>
          <w:lang w:val="sr-Cyrl-RS"/>
        </w:rPr>
        <w:t xml:space="preserve">     Спровођење овог акта доводи у правном смислу Музеј жртава геноцида у равноправан положај са осталим установама заштите.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анализу управљачких ефеката</w:t>
      </w:r>
    </w:p>
    <w:p w:rsidR="000F7048" w:rsidRDefault="000F7048" w:rsidP="000F7048">
      <w:pPr>
        <w:pStyle w:val="basic-paragraph"/>
        <w:numPr>
          <w:ilvl w:val="0"/>
          <w:numId w:val="2"/>
        </w:numPr>
        <w:spacing w:beforeAutospacing="0" w:afterAutospacing="0"/>
        <w:ind w:left="270" w:right="180"/>
        <w:jc w:val="both"/>
      </w:pPr>
      <w:r>
        <w:t xml:space="preserve">Да ли се изабраном опцијом уводе организационе, управљачке или институционалне промене и које су то промене? 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  <w:rPr>
          <w:lang w:val="sr-Cyrl-RS"/>
        </w:rPr>
      </w:pPr>
      <w:r>
        <w:rPr>
          <w:lang w:val="sr-Cyrl-RS"/>
        </w:rPr>
        <w:t xml:space="preserve">            Измене и допуне Закона о оснивању музеја жртава геноцида утврђују седиште Музеја жртава геноцида у Београду, где се он већ налази и где функционише. На тај начин ће се извршити и његова регистрација у Привредном суду у Београду, а не као до сада у Привредном суду у Крагујевцу.</w:t>
      </w:r>
    </w:p>
    <w:p w:rsidR="000F7048" w:rsidRDefault="000F7048" w:rsidP="000F7048">
      <w:pPr>
        <w:pStyle w:val="basic-paragraph"/>
        <w:numPr>
          <w:ilvl w:val="0"/>
          <w:numId w:val="2"/>
        </w:numPr>
        <w:spacing w:beforeAutospacing="0" w:afterAutospacing="0"/>
        <w:ind w:left="270" w:right="180"/>
        <w:jc w:val="both"/>
      </w:pPr>
      <w:r>
        <w:t xml:space="preserve"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:rsidR="000F7048" w:rsidRDefault="000F7048" w:rsidP="000F7048">
      <w:pPr>
        <w:pStyle w:val="basic-paragraph"/>
        <w:spacing w:beforeAutospacing="0" w:afterAutospacing="0"/>
        <w:ind w:left="270" w:right="180" w:firstLine="450"/>
        <w:jc w:val="both"/>
        <w:rPr>
          <w:lang w:val="sr-Cyrl-RS"/>
        </w:rPr>
      </w:pPr>
      <w:r>
        <w:rPr>
          <w:lang w:val="sr-Cyrl-RS"/>
        </w:rPr>
        <w:t xml:space="preserve">    Измене и допуне Закона о оснивању музеја жртава геноцида не захтевају </w:t>
      </w:r>
      <w:r>
        <w:t>побољшање капацитета</w:t>
      </w:r>
      <w:r>
        <w:rPr>
          <w:lang w:val="sr-Cyrl-RS"/>
        </w:rPr>
        <w:t xml:space="preserve"> </w:t>
      </w:r>
      <w:r>
        <w:t>јавна управа</w:t>
      </w:r>
      <w:r>
        <w:rPr>
          <w:lang w:val="sr-Cyrl-RS"/>
        </w:rPr>
        <w:t>.</w:t>
      </w:r>
    </w:p>
    <w:p w:rsidR="000F7048" w:rsidRDefault="000F7048" w:rsidP="000F7048">
      <w:pPr>
        <w:pStyle w:val="basic-paragraph"/>
        <w:numPr>
          <w:ilvl w:val="0"/>
          <w:numId w:val="2"/>
        </w:numPr>
        <w:spacing w:beforeAutospacing="0" w:afterAutospacing="0"/>
        <w:ind w:left="270" w:right="180"/>
        <w:jc w:val="both"/>
      </w:pPr>
      <w:r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  <w:rPr>
          <w:lang w:val="sr-Cyrl-RS"/>
        </w:rPr>
      </w:pPr>
      <w:r>
        <w:rPr>
          <w:lang w:val="sr-Cyrl-RS"/>
        </w:rPr>
        <w:t xml:space="preserve">            Изменама и допунама Закона о оснивању музеја жртава геноцида утврђују се седиште Музеја жртава геноцида у Београду, где се он већ налази и где функционише. На тај начин ће се извршити и његова регистрација у Привредном суду у Београду у року од 60 дана од дана ступања на снагу овог закона.</w:t>
      </w:r>
    </w:p>
    <w:p w:rsidR="000F7048" w:rsidRDefault="000F7048" w:rsidP="000F7048">
      <w:pPr>
        <w:pStyle w:val="basic-paragraph"/>
        <w:spacing w:before="0" w:beforeAutospacing="0" w:after="0" w:afterAutospacing="0"/>
        <w:ind w:left="274" w:right="187"/>
        <w:jc w:val="both"/>
      </w:pPr>
      <w: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  <w:rPr>
          <w:lang w:val="sr-Cyrl-RS"/>
        </w:rPr>
      </w:pPr>
      <w:r>
        <w:rPr>
          <w:lang w:val="sr-Cyrl-RS"/>
        </w:rPr>
        <w:t xml:space="preserve">             Нема потребе за спровођењем додатних мера за спровођење предложених измена и допуна закона.</w:t>
      </w:r>
    </w:p>
    <w:p w:rsidR="000F7048" w:rsidRDefault="000F7048" w:rsidP="000F7048">
      <w:pPr>
        <w:pStyle w:val="bold"/>
        <w:spacing w:beforeAutospacing="0" w:afterAutospacing="0"/>
        <w:ind w:left="270" w:right="180"/>
        <w:jc w:val="both"/>
        <w:rPr>
          <w:b/>
          <w:bCs/>
        </w:rPr>
      </w:pPr>
      <w:r>
        <w:rPr>
          <w:b/>
          <w:bCs/>
        </w:rPr>
        <w:t>Кључна питања за анализу ризика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  <w:rPr>
          <w:lang w:val="sr-Cyrl-RS"/>
        </w:rPr>
      </w:pPr>
      <w:r>
        <w:rPr>
          <w:lang w:val="sr-Cyrl-RS"/>
        </w:rPr>
        <w:t>У вези са ризицима спровођења изабране опције потребно је одговорити на питања:</w:t>
      </w:r>
    </w:p>
    <w:p w:rsidR="000F7048" w:rsidRDefault="000F7048" w:rsidP="000F7048">
      <w:pPr>
        <w:pStyle w:val="basic-paragraph"/>
        <w:numPr>
          <w:ilvl w:val="0"/>
          <w:numId w:val="3"/>
        </w:numPr>
        <w:spacing w:beforeAutospacing="0" w:afterAutospacing="0"/>
        <w:ind w:left="270" w:right="180"/>
        <w:jc w:val="both"/>
      </w:pPr>
      <w:r>
        <w:t>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:rsidR="000F7048" w:rsidRDefault="000F7048" w:rsidP="000F7048">
      <w:pPr>
        <w:pStyle w:val="basic-paragraph"/>
        <w:spacing w:beforeAutospacing="0" w:afterAutospacing="0"/>
        <w:ind w:left="270" w:right="180" w:firstLine="450"/>
        <w:jc w:val="both"/>
        <w:rPr>
          <w:lang w:val="sr-Cyrl-RS"/>
        </w:rPr>
      </w:pPr>
      <w:r>
        <w:rPr>
          <w:lang w:val="sr-Cyrl-RS"/>
        </w:rPr>
        <w:t xml:space="preserve">     За спровођење Закона о изменама и допунама Закона о оснивању музеја жртава геноцида обезбеђена је подршка свих кључних заинтересованих страна и циљних група.</w:t>
      </w:r>
    </w:p>
    <w:p w:rsidR="000F7048" w:rsidRDefault="000F7048" w:rsidP="000F7048">
      <w:pPr>
        <w:pStyle w:val="basic-paragraph"/>
        <w:numPr>
          <w:ilvl w:val="0"/>
          <w:numId w:val="3"/>
        </w:numPr>
        <w:spacing w:beforeAutospacing="0" w:afterAutospacing="0"/>
        <w:ind w:left="270" w:right="180"/>
        <w:jc w:val="both"/>
      </w:pPr>
      <w:r>
        <w:t>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</w:pPr>
      <w:r>
        <w:rPr>
          <w:lang w:val="sr-Cyrl-RS"/>
        </w:rPr>
        <w:t xml:space="preserve">              </w:t>
      </w:r>
      <w:r>
        <w:t>За спровођење предметног акта нису потребна финансијска средства</w:t>
      </w:r>
      <w:r>
        <w:rPr>
          <w:lang w:val="sr-Cyrl-RS"/>
        </w:rPr>
        <w:t xml:space="preserve"> ни спровођење поступка јавне набавке</w:t>
      </w:r>
      <w:r>
        <w:t>.</w:t>
      </w:r>
    </w:p>
    <w:p w:rsidR="000F7048" w:rsidRDefault="000F7048" w:rsidP="000F7048">
      <w:pPr>
        <w:pStyle w:val="basic-paragraph"/>
        <w:numPr>
          <w:ilvl w:val="0"/>
          <w:numId w:val="3"/>
        </w:numPr>
        <w:spacing w:beforeAutospacing="0" w:afterAutospacing="0"/>
        <w:ind w:left="270" w:right="180"/>
        <w:jc w:val="both"/>
      </w:pPr>
      <w:r>
        <w:t>Да ли постоји још неки ризик за спровођење изабране опције?</w:t>
      </w:r>
    </w:p>
    <w:p w:rsidR="000F7048" w:rsidRDefault="000F7048" w:rsidP="000F7048">
      <w:pPr>
        <w:pStyle w:val="basic-paragraph"/>
        <w:spacing w:beforeAutospacing="0" w:afterAutospacing="0"/>
        <w:ind w:left="270" w:right="180"/>
        <w:jc w:val="both"/>
        <w:rPr>
          <w:lang w:val="sr-Cyrl-RS"/>
        </w:rPr>
      </w:pPr>
      <w:r>
        <w:rPr>
          <w:lang w:val="sr-Cyrl-RS"/>
        </w:rPr>
        <w:t xml:space="preserve">            Не постоји ризик за спровођење изабране опције.</w:t>
      </w:r>
    </w:p>
    <w:p w:rsidR="000F7048" w:rsidRDefault="000F7048" w:rsidP="000F7048"/>
    <w:p w:rsidR="0029147A" w:rsidRDefault="0029147A"/>
    <w:sectPr w:rsidR="0029147A" w:rsidSect="000F704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048" w:rsidRDefault="000F7048" w:rsidP="000F7048">
      <w:r>
        <w:separator/>
      </w:r>
    </w:p>
  </w:endnote>
  <w:endnote w:type="continuationSeparator" w:id="0">
    <w:p w:rsidR="000F7048" w:rsidRDefault="000F7048" w:rsidP="000F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048" w:rsidRDefault="000F7048" w:rsidP="000F7048">
      <w:r>
        <w:separator/>
      </w:r>
    </w:p>
  </w:footnote>
  <w:footnote w:type="continuationSeparator" w:id="0">
    <w:p w:rsidR="000F7048" w:rsidRDefault="000F7048" w:rsidP="000F7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694839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7048" w:rsidRDefault="000F704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7048" w:rsidRDefault="000F70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D5"/>
    <w:rsid w:val="000F7048"/>
    <w:rsid w:val="0029147A"/>
    <w:rsid w:val="0062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F7048"/>
    <w:pPr>
      <w:spacing w:after="60"/>
    </w:pPr>
  </w:style>
  <w:style w:type="paragraph" w:customStyle="1" w:styleId="bold">
    <w:name w:val="bold"/>
    <w:basedOn w:val="Normal"/>
    <w:rsid w:val="000F7048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0F7048"/>
    <w:pPr>
      <w:spacing w:before="100" w:beforeAutospacing="1" w:after="100" w:afterAutospacing="1"/>
    </w:pPr>
    <w:rPr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F70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04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F70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04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F7048"/>
    <w:pPr>
      <w:spacing w:after="60"/>
    </w:pPr>
  </w:style>
  <w:style w:type="paragraph" w:customStyle="1" w:styleId="bold">
    <w:name w:val="bold"/>
    <w:basedOn w:val="Normal"/>
    <w:rsid w:val="000F7048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0F7048"/>
    <w:pPr>
      <w:spacing w:before="100" w:beforeAutospacing="1" w:after="100" w:afterAutospacing="1"/>
    </w:pPr>
    <w:rPr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F70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04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F70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04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Danica Polic</cp:lastModifiedBy>
  <cp:revision>2</cp:revision>
  <dcterms:created xsi:type="dcterms:W3CDTF">2021-04-14T09:49:00Z</dcterms:created>
  <dcterms:modified xsi:type="dcterms:W3CDTF">2021-04-14T09:50:00Z</dcterms:modified>
</cp:coreProperties>
</file>