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38DB87" w14:textId="7CFF5835" w:rsidR="000F1A6B" w:rsidRPr="0052271C" w:rsidRDefault="000F1A6B" w:rsidP="00757C68">
      <w:pPr>
        <w:spacing w:line="276" w:lineRule="auto"/>
        <w:ind w:firstLine="720"/>
        <w:jc w:val="both"/>
        <w:rPr>
          <w:rFonts w:cs="Arial"/>
          <w:szCs w:val="22"/>
          <w:lang w:val="sr-Cyrl-RS" w:eastAsia="en-US"/>
        </w:rPr>
      </w:pPr>
      <w:bookmarkStart w:id="0" w:name="_Toc62208253"/>
      <w:bookmarkStart w:id="1" w:name="_Toc61422224"/>
      <w:bookmarkStart w:id="2" w:name="_Toc61433070"/>
      <w:bookmarkStart w:id="3" w:name="_Toc62208257"/>
      <w:bookmarkStart w:id="4" w:name="_Toc63452443"/>
      <w:bookmarkStart w:id="5" w:name="_Toc63587078"/>
      <w:r w:rsidRPr="0052271C">
        <w:rPr>
          <w:rFonts w:cs="Arial"/>
          <w:szCs w:val="22"/>
          <w:lang w:val="sr-Cyrl-RS" w:eastAsia="en-US"/>
        </w:rPr>
        <w:t xml:space="preserve">На основу члана 38. став 1. Закона о планском систему </w:t>
      </w:r>
      <w:r w:rsidR="00757C68" w:rsidRPr="0052271C">
        <w:rPr>
          <w:rFonts w:cs="Arial"/>
          <w:szCs w:val="22"/>
          <w:lang w:val="sr-Cyrl-RS" w:eastAsia="en-US"/>
        </w:rPr>
        <w:t xml:space="preserve">Републике Србије </w:t>
      </w:r>
      <w:r w:rsidRPr="0052271C">
        <w:rPr>
          <w:rFonts w:cs="Arial"/>
          <w:szCs w:val="22"/>
          <w:lang w:val="sr-Cyrl-RS" w:eastAsia="en-US"/>
        </w:rPr>
        <w:t>(„Службени гласник РС</w:t>
      </w:r>
      <w:r w:rsidR="00EE795D" w:rsidRPr="0052271C">
        <w:rPr>
          <w:szCs w:val="22"/>
          <w:lang w:val="sr-Cyrl-RS" w:eastAsia="en-US"/>
        </w:rPr>
        <w:t>ˮ</w:t>
      </w:r>
      <w:r w:rsidRPr="0052271C">
        <w:rPr>
          <w:rFonts w:cs="Arial"/>
          <w:szCs w:val="22"/>
          <w:lang w:val="sr-Cyrl-RS" w:eastAsia="en-US"/>
        </w:rPr>
        <w:t>, број 30/18)</w:t>
      </w:r>
      <w:r w:rsidR="00EE795D" w:rsidRPr="0052271C">
        <w:rPr>
          <w:rFonts w:cs="Arial"/>
          <w:szCs w:val="22"/>
          <w:lang w:val="sr-Cyrl-RS" w:eastAsia="en-US"/>
        </w:rPr>
        <w:t>,</w:t>
      </w:r>
      <w:r w:rsidRPr="0052271C">
        <w:rPr>
          <w:rFonts w:cs="Arial"/>
          <w:szCs w:val="22"/>
          <w:lang w:val="sr-Cyrl-RS" w:eastAsia="en-US"/>
        </w:rPr>
        <w:t xml:space="preserve"> </w:t>
      </w:r>
    </w:p>
    <w:p w14:paraId="644A8097" w14:textId="77777777" w:rsidR="000F1A6B" w:rsidRPr="0052271C" w:rsidRDefault="000F1A6B" w:rsidP="00E80617">
      <w:pPr>
        <w:spacing w:line="276" w:lineRule="auto"/>
        <w:rPr>
          <w:bCs/>
          <w:lang w:val="sr-Cyrl-RS"/>
        </w:rPr>
      </w:pPr>
    </w:p>
    <w:p w14:paraId="193403B0" w14:textId="5ED94A2D" w:rsidR="000F1A6B" w:rsidRPr="0052271C" w:rsidRDefault="00933849" w:rsidP="00EE795D">
      <w:pPr>
        <w:spacing w:line="276" w:lineRule="auto"/>
        <w:ind w:firstLine="720"/>
        <w:rPr>
          <w:bCs/>
          <w:lang w:val="sr-Cyrl-RS"/>
        </w:rPr>
      </w:pPr>
      <w:r w:rsidRPr="0052271C">
        <w:rPr>
          <w:bCs/>
          <w:lang w:val="sr-Cyrl-RS"/>
        </w:rPr>
        <w:t>Влада усваја</w:t>
      </w:r>
    </w:p>
    <w:p w14:paraId="7B7E40D0" w14:textId="77777777" w:rsidR="000F1A6B" w:rsidRPr="0052271C" w:rsidRDefault="000F1A6B" w:rsidP="00E80617">
      <w:pPr>
        <w:spacing w:line="276" w:lineRule="auto"/>
        <w:rPr>
          <w:bCs/>
          <w:lang w:val="sr-Cyrl-RS"/>
        </w:rPr>
      </w:pPr>
    </w:p>
    <w:bookmarkEnd w:id="0"/>
    <w:bookmarkEnd w:id="1"/>
    <w:bookmarkEnd w:id="2"/>
    <w:p w14:paraId="35896F83" w14:textId="77777777" w:rsidR="000F1A6B" w:rsidRPr="0052271C" w:rsidRDefault="000F1A6B" w:rsidP="00E80617">
      <w:pPr>
        <w:spacing w:line="276" w:lineRule="auto"/>
        <w:jc w:val="center"/>
        <w:rPr>
          <w:bCs/>
          <w:lang w:val="sr-Cyrl-RS"/>
        </w:rPr>
      </w:pPr>
      <w:r w:rsidRPr="0052271C">
        <w:rPr>
          <w:bCs/>
          <w:lang w:val="sr-Cyrl-RS"/>
        </w:rPr>
        <w:t>СТРАТЕГИЈУ</w:t>
      </w:r>
    </w:p>
    <w:p w14:paraId="7487C97B" w14:textId="77777777" w:rsidR="000F1A6B" w:rsidRPr="0052271C" w:rsidRDefault="000F1A6B" w:rsidP="00E80617">
      <w:pPr>
        <w:spacing w:line="276" w:lineRule="auto"/>
        <w:jc w:val="center"/>
        <w:rPr>
          <w:bCs/>
          <w:lang w:val="sr-Cyrl-RS"/>
        </w:rPr>
      </w:pPr>
      <w:bookmarkStart w:id="6" w:name="_Toc62208254"/>
      <w:r w:rsidRPr="0052271C">
        <w:rPr>
          <w:bCs/>
          <w:lang w:val="sr-Cyrl-RS"/>
        </w:rPr>
        <w:t>ДРЖАВНОГ ВЛАСНИШТВА</w:t>
      </w:r>
      <w:bookmarkStart w:id="7" w:name="_Toc61422225"/>
      <w:bookmarkStart w:id="8" w:name="_Toc61433071"/>
      <w:r w:rsidRPr="0052271C">
        <w:rPr>
          <w:bCs/>
          <w:lang w:val="sr-Cyrl-RS"/>
        </w:rPr>
        <w:t xml:space="preserve"> И УПРАВЉАЊА ПРИВРЕДНИМ СУБЈЕКТИМА КОЈИ СУ У ВЛАСНИШТВУ РЕПУБЛИКЕ СРБИЈЕ</w:t>
      </w:r>
      <w:bookmarkStart w:id="9" w:name="_Toc61433072"/>
      <w:bookmarkEnd w:id="6"/>
      <w:bookmarkEnd w:id="7"/>
      <w:bookmarkEnd w:id="8"/>
    </w:p>
    <w:p w14:paraId="18496C2C" w14:textId="2B7BDD75" w:rsidR="000F1A6B" w:rsidRPr="0052271C" w:rsidRDefault="000F1A6B" w:rsidP="00E80617">
      <w:pPr>
        <w:spacing w:line="276" w:lineRule="auto"/>
        <w:jc w:val="center"/>
        <w:rPr>
          <w:bCs/>
          <w:lang w:val="sr-Cyrl-RS"/>
        </w:rPr>
      </w:pPr>
      <w:bookmarkStart w:id="10" w:name="_Toc62208255"/>
      <w:r w:rsidRPr="0052271C">
        <w:rPr>
          <w:bCs/>
          <w:lang w:val="sr-Cyrl-RS"/>
        </w:rPr>
        <w:t>ЗА ПЕРИОД OД 2021. ДО 202</w:t>
      </w:r>
      <w:bookmarkEnd w:id="9"/>
      <w:r w:rsidRPr="0052271C">
        <w:rPr>
          <w:bCs/>
          <w:lang w:val="sr-Cyrl-RS"/>
        </w:rPr>
        <w:t>7. ГОДИН</w:t>
      </w:r>
      <w:bookmarkEnd w:id="10"/>
      <w:r w:rsidRPr="0052271C">
        <w:rPr>
          <w:bCs/>
          <w:lang w:val="sr-Cyrl-RS"/>
        </w:rPr>
        <w:t>E</w:t>
      </w:r>
    </w:p>
    <w:p w14:paraId="05CC880A" w14:textId="77777777" w:rsidR="000F1A6B" w:rsidRPr="0052271C" w:rsidRDefault="000F1A6B" w:rsidP="00E80617">
      <w:pPr>
        <w:spacing w:line="276" w:lineRule="auto"/>
        <w:rPr>
          <w:lang w:val="sr-Cyrl-RS"/>
        </w:rPr>
      </w:pPr>
    </w:p>
    <w:p w14:paraId="495269FD" w14:textId="63BA742A" w:rsidR="00D97C8E" w:rsidRPr="0052271C" w:rsidRDefault="00EE795D" w:rsidP="00A37567">
      <w:pPr>
        <w:pStyle w:val="Heading1"/>
        <w:numPr>
          <w:ilvl w:val="0"/>
          <w:numId w:val="26"/>
        </w:numPr>
        <w:tabs>
          <w:tab w:val="left" w:pos="284"/>
        </w:tabs>
        <w:spacing w:line="276" w:lineRule="auto"/>
        <w:ind w:left="0" w:firstLine="0"/>
        <w:jc w:val="center"/>
        <w:rPr>
          <w:rFonts w:ascii="Times New Roman" w:hAnsi="Times New Roman"/>
          <w:b w:val="0"/>
          <w:sz w:val="24"/>
          <w:szCs w:val="24"/>
          <w:lang w:val="sr-Cyrl-RS"/>
        </w:rPr>
      </w:pPr>
      <w:r w:rsidRPr="0052271C">
        <w:rPr>
          <w:rFonts w:ascii="Times New Roman" w:hAnsi="Times New Roman"/>
          <w:b w:val="0"/>
          <w:sz w:val="24"/>
          <w:szCs w:val="24"/>
          <w:lang w:val="sr-Cyrl-RS"/>
        </w:rPr>
        <w:t>УВОД</w:t>
      </w:r>
      <w:bookmarkStart w:id="11" w:name="_Toc55236248"/>
      <w:bookmarkEnd w:id="3"/>
      <w:bookmarkEnd w:id="4"/>
      <w:bookmarkEnd w:id="5"/>
    </w:p>
    <w:p w14:paraId="03074D5F" w14:textId="77777777" w:rsidR="00EE795D" w:rsidRPr="0052271C" w:rsidRDefault="00EE795D" w:rsidP="00EE795D">
      <w:pPr>
        <w:rPr>
          <w:lang w:val="sr-Cyrl-RS"/>
        </w:rPr>
      </w:pPr>
      <w:bookmarkStart w:id="12" w:name="_GoBack"/>
      <w:bookmarkEnd w:id="12"/>
    </w:p>
    <w:p w14:paraId="6DCA26E7" w14:textId="6AE7EE79" w:rsidR="00D10E2B" w:rsidRPr="0052271C" w:rsidRDefault="000058F0" w:rsidP="00D93305">
      <w:pPr>
        <w:pStyle w:val="NeAdnumber-level1"/>
        <w:numPr>
          <w:ilvl w:val="0"/>
          <w:numId w:val="0"/>
        </w:numPr>
        <w:spacing w:before="0" w:after="0" w:line="276" w:lineRule="auto"/>
        <w:ind w:firstLine="567"/>
        <w:rPr>
          <w:rFonts w:ascii="Times New Roman" w:hAnsi="Times New Roman" w:cs="Times New Roman"/>
          <w:bCs/>
          <w:sz w:val="24"/>
          <w:szCs w:val="24"/>
          <w:lang w:val="sr-Cyrl-RS"/>
        </w:rPr>
      </w:pPr>
      <w:r w:rsidRPr="0052271C">
        <w:rPr>
          <w:rFonts w:ascii="Times New Roman" w:hAnsi="Times New Roman"/>
          <w:sz w:val="24"/>
          <w:lang w:val="sr-Cyrl-RS"/>
        </w:rPr>
        <w:t>По</w:t>
      </w:r>
      <w:r w:rsidR="00D23B49" w:rsidRPr="0052271C">
        <w:rPr>
          <w:rFonts w:ascii="Times New Roman" w:hAnsi="Times New Roman"/>
          <w:sz w:val="24"/>
          <w:lang w:val="sr-Cyrl-RS"/>
        </w:rPr>
        <w:t xml:space="preserve">лазећи од посвећености Владе </w:t>
      </w:r>
      <w:r w:rsidRPr="0052271C">
        <w:rPr>
          <w:rFonts w:ascii="Times New Roman" w:hAnsi="Times New Roman"/>
          <w:sz w:val="24"/>
          <w:lang w:val="sr-Cyrl-RS"/>
        </w:rPr>
        <w:t xml:space="preserve">реформи </w:t>
      </w:r>
      <w:r w:rsidR="0097748A" w:rsidRPr="0052271C">
        <w:rPr>
          <w:rStyle w:val="jlqj4b"/>
          <w:rFonts w:ascii="Times New Roman" w:hAnsi="Times New Roman" w:cs="Times New Roman"/>
          <w:sz w:val="24"/>
          <w:szCs w:val="24"/>
          <w:lang w:val="sr-Cyrl-RS"/>
        </w:rPr>
        <w:t xml:space="preserve">привредних </w:t>
      </w:r>
      <w:r w:rsidR="00831B67" w:rsidRPr="0052271C">
        <w:rPr>
          <w:rStyle w:val="jlqj4b"/>
          <w:rFonts w:ascii="Times New Roman" w:hAnsi="Times New Roman" w:cs="Times New Roman"/>
          <w:sz w:val="24"/>
          <w:szCs w:val="24"/>
          <w:lang w:val="sr-Cyrl-RS"/>
        </w:rPr>
        <w:t>субјеката</w:t>
      </w:r>
      <w:r w:rsidR="0097748A" w:rsidRPr="0052271C">
        <w:rPr>
          <w:rStyle w:val="jlqj4b"/>
          <w:rFonts w:ascii="Times New Roman" w:hAnsi="Times New Roman" w:cs="Times New Roman"/>
          <w:sz w:val="24"/>
          <w:szCs w:val="24"/>
          <w:lang w:val="sr-Cyrl-RS"/>
        </w:rPr>
        <w:t xml:space="preserve"> који су </w:t>
      </w:r>
      <w:r w:rsidR="00757C68" w:rsidRPr="0052271C">
        <w:rPr>
          <w:rStyle w:val="jlqj4b"/>
          <w:rFonts w:ascii="Times New Roman" w:hAnsi="Times New Roman" w:cs="Times New Roman"/>
          <w:sz w:val="24"/>
          <w:szCs w:val="24"/>
          <w:lang w:val="sr-Cyrl-RS"/>
        </w:rPr>
        <w:t xml:space="preserve">у </w:t>
      </w:r>
      <w:r w:rsidR="0097748A" w:rsidRPr="0052271C">
        <w:rPr>
          <w:rStyle w:val="jlqj4b"/>
          <w:rFonts w:ascii="Times New Roman" w:hAnsi="Times New Roman" w:cs="Times New Roman"/>
          <w:sz w:val="24"/>
          <w:szCs w:val="24"/>
          <w:lang w:val="sr-Cyrl-RS"/>
        </w:rPr>
        <w:t xml:space="preserve">власништву Републике Србије (у даљем тексту: </w:t>
      </w:r>
      <w:r w:rsidR="0097748A" w:rsidRPr="0052271C">
        <w:rPr>
          <w:rFonts w:ascii="Times New Roman" w:hAnsi="Times New Roman"/>
          <w:sz w:val="24"/>
          <w:lang w:val="sr-Cyrl-RS"/>
        </w:rPr>
        <w:t xml:space="preserve">ПСРС) </w:t>
      </w:r>
      <w:r w:rsidRPr="0052271C">
        <w:rPr>
          <w:rFonts w:ascii="Times New Roman" w:hAnsi="Times New Roman"/>
          <w:sz w:val="24"/>
          <w:lang w:val="sr-Cyrl-RS"/>
        </w:rPr>
        <w:t>и повећању користи од државног власништва за државу и грађане,</w:t>
      </w:r>
      <w:r w:rsidRPr="0052271C">
        <w:rPr>
          <w:rStyle w:val="jlqj4b"/>
          <w:rFonts w:ascii="Times New Roman" w:hAnsi="Times New Roman"/>
          <w:sz w:val="24"/>
          <w:lang w:val="sr-Cyrl-RS"/>
        </w:rPr>
        <w:t xml:space="preserve"> </w:t>
      </w:r>
      <w:r w:rsidR="00204211" w:rsidRPr="0052271C">
        <w:rPr>
          <w:rStyle w:val="jlqj4b"/>
          <w:rFonts w:ascii="Times New Roman" w:hAnsi="Times New Roman"/>
          <w:sz w:val="24"/>
          <w:lang w:val="sr-Cyrl-RS"/>
        </w:rPr>
        <w:t xml:space="preserve">Стратегија државног власништва и управљања привредним субјектима који су у власништву Републике Србије за период од 2021. до 2027. године (у даљем тексту: </w:t>
      </w:r>
      <w:r w:rsidR="00FE3DF5" w:rsidRPr="0052271C">
        <w:rPr>
          <w:rStyle w:val="jlqj4b"/>
          <w:rFonts w:ascii="Times New Roman" w:hAnsi="Times New Roman"/>
          <w:sz w:val="24"/>
          <w:lang w:val="sr-Cyrl-RS"/>
        </w:rPr>
        <w:t>С</w:t>
      </w:r>
      <w:r w:rsidR="000E23B2" w:rsidRPr="0052271C">
        <w:rPr>
          <w:rStyle w:val="jlqj4b"/>
          <w:rFonts w:ascii="Times New Roman" w:hAnsi="Times New Roman"/>
          <w:sz w:val="24"/>
          <w:lang w:val="sr-Cyrl-RS"/>
        </w:rPr>
        <w:t>тратегија</w:t>
      </w:r>
      <w:r w:rsidR="00204211" w:rsidRPr="0052271C">
        <w:rPr>
          <w:rStyle w:val="jlqj4b"/>
          <w:rFonts w:ascii="Times New Roman" w:hAnsi="Times New Roman"/>
          <w:sz w:val="24"/>
          <w:lang w:val="sr-Cyrl-RS"/>
        </w:rPr>
        <w:t>)</w:t>
      </w:r>
      <w:r w:rsidR="00FE3DF5" w:rsidRPr="0052271C">
        <w:rPr>
          <w:rStyle w:val="jlqj4b"/>
          <w:rFonts w:ascii="Times New Roman" w:hAnsi="Times New Roman"/>
          <w:sz w:val="24"/>
          <w:lang w:val="sr-Cyrl-RS"/>
        </w:rPr>
        <w:t xml:space="preserve"> </w:t>
      </w:r>
      <w:r w:rsidRPr="0052271C">
        <w:rPr>
          <w:rStyle w:val="jlqj4b"/>
          <w:rFonts w:ascii="Times New Roman" w:hAnsi="Times New Roman"/>
          <w:sz w:val="24"/>
          <w:lang w:val="sr-Cyrl-RS"/>
        </w:rPr>
        <w:t>се усваја</w:t>
      </w:r>
      <w:r w:rsidR="00FE3DF5" w:rsidRPr="0052271C">
        <w:rPr>
          <w:rFonts w:ascii="Times New Roman" w:hAnsi="Times New Roman"/>
          <w:sz w:val="24"/>
          <w:lang w:val="sr-Cyrl-RS"/>
        </w:rPr>
        <w:t xml:space="preserve"> у Републици Србији </w:t>
      </w:r>
      <w:r w:rsidR="00F0526F" w:rsidRPr="0052271C">
        <w:rPr>
          <w:rFonts w:ascii="Times New Roman" w:hAnsi="Times New Roman"/>
          <w:sz w:val="24"/>
          <w:lang w:val="sr-Cyrl-RS"/>
        </w:rPr>
        <w:t>као</w:t>
      </w:r>
      <w:r w:rsidR="00FE3DF5" w:rsidRPr="0052271C">
        <w:rPr>
          <w:rFonts w:ascii="Times New Roman" w:hAnsi="Times New Roman"/>
          <w:sz w:val="24"/>
          <w:lang w:val="sr-Cyrl-RS"/>
        </w:rPr>
        <w:t xml:space="preserve"> </w:t>
      </w:r>
      <w:r w:rsidR="00FE3DF5" w:rsidRPr="0052271C">
        <w:rPr>
          <w:rStyle w:val="jlqj4b"/>
          <w:rFonts w:ascii="Times New Roman" w:hAnsi="Times New Roman"/>
          <w:sz w:val="24"/>
          <w:lang w:val="sr-Cyrl-RS"/>
        </w:rPr>
        <w:t>јединствени акт</w:t>
      </w:r>
      <w:r w:rsidR="000E23B2" w:rsidRPr="0052271C">
        <w:rPr>
          <w:rStyle w:val="jlqj4b"/>
          <w:rFonts w:ascii="Times New Roman" w:hAnsi="Times New Roman"/>
          <w:sz w:val="24"/>
          <w:lang w:val="sr-Cyrl-RS"/>
        </w:rPr>
        <w:t xml:space="preserve"> који </w:t>
      </w:r>
      <w:r w:rsidR="00D10E2B" w:rsidRPr="0052271C">
        <w:rPr>
          <w:rFonts w:ascii="Times New Roman" w:hAnsi="Times New Roman"/>
          <w:bCs/>
          <w:noProof/>
          <w:sz w:val="24"/>
          <w:lang w:val="sr-Cyrl-RS"/>
        </w:rPr>
        <w:t>пружа стратешку визију и упутст</w:t>
      </w:r>
      <w:r w:rsidR="00370788" w:rsidRPr="0052271C">
        <w:rPr>
          <w:rFonts w:ascii="Times New Roman" w:hAnsi="Times New Roman"/>
          <w:bCs/>
          <w:noProof/>
          <w:sz w:val="24"/>
          <w:lang w:val="sr-Cyrl-RS"/>
        </w:rPr>
        <w:t>ва у вези са циљевима власничког управљања</w:t>
      </w:r>
      <w:r w:rsidR="00D10E2B" w:rsidRPr="0052271C">
        <w:rPr>
          <w:rFonts w:ascii="Times New Roman" w:hAnsi="Times New Roman"/>
          <w:bCs/>
          <w:noProof/>
          <w:sz w:val="24"/>
          <w:lang w:val="sr-Cyrl-RS"/>
        </w:rPr>
        <w:t xml:space="preserve"> над ПСРС, циљевима финансијских и јавних политика, као и принципима корпоративног управљања и праксама надзора над ПСРС</w:t>
      </w:r>
      <w:r w:rsidRPr="0052271C">
        <w:rPr>
          <w:rFonts w:ascii="Times New Roman" w:hAnsi="Times New Roman"/>
          <w:sz w:val="24"/>
          <w:lang w:val="sr-Cyrl-RS"/>
        </w:rPr>
        <w:t xml:space="preserve"> у складу са међународним стандардима и најбољом праксом</w:t>
      </w:r>
      <w:r w:rsidR="00D10E2B" w:rsidRPr="0052271C">
        <w:rPr>
          <w:rFonts w:ascii="Times New Roman" w:hAnsi="Times New Roman"/>
          <w:bCs/>
          <w:noProof/>
          <w:sz w:val="24"/>
          <w:lang w:val="sr-Cyrl-RS"/>
        </w:rPr>
        <w:t>.</w:t>
      </w:r>
    </w:p>
    <w:p w14:paraId="51D81D3C" w14:textId="639160E6" w:rsidR="007B0730" w:rsidRPr="0052271C" w:rsidRDefault="000058F0" w:rsidP="00D93305">
      <w:pPr>
        <w:autoSpaceDE w:val="0"/>
        <w:autoSpaceDN w:val="0"/>
        <w:adjustRightInd w:val="0"/>
        <w:spacing w:line="276" w:lineRule="auto"/>
        <w:ind w:firstLine="567"/>
        <w:jc w:val="both"/>
        <w:rPr>
          <w:rFonts w:eastAsiaTheme="minorHAnsi"/>
          <w:lang w:val="sr-Cyrl-RS" w:eastAsia="en-US"/>
        </w:rPr>
      </w:pPr>
      <w:r w:rsidRPr="0052271C">
        <w:rPr>
          <w:rFonts w:eastAsiaTheme="minorHAnsi"/>
          <w:lang w:val="sr-Cyrl-RS" w:eastAsia="en-US"/>
        </w:rPr>
        <w:t xml:space="preserve">Уједно, </w:t>
      </w:r>
      <w:r w:rsidR="00C82FD8" w:rsidRPr="0052271C">
        <w:rPr>
          <w:rFonts w:eastAsiaTheme="minorHAnsi"/>
          <w:lang w:val="sr-Cyrl-RS" w:eastAsia="en-US"/>
        </w:rPr>
        <w:t xml:space="preserve">Стратегија представља оквир стратешких мера и активности које су </w:t>
      </w:r>
      <w:r w:rsidR="00C81479" w:rsidRPr="0052271C">
        <w:rPr>
          <w:rFonts w:eastAsiaTheme="minorHAnsi"/>
          <w:lang w:val="sr-Cyrl-RS" w:eastAsia="en-US"/>
        </w:rPr>
        <w:t>усмерене ка реализацији успостављања оквира</w:t>
      </w:r>
      <w:r w:rsidR="00C82FD8" w:rsidRPr="0052271C">
        <w:rPr>
          <w:rFonts w:eastAsiaTheme="minorHAnsi"/>
          <w:lang w:val="sr-Cyrl-RS" w:eastAsia="en-US"/>
        </w:rPr>
        <w:t xml:space="preserve"> </w:t>
      </w:r>
      <w:r w:rsidR="000444E7" w:rsidRPr="0052271C">
        <w:rPr>
          <w:rFonts w:eastAsiaTheme="minorHAnsi"/>
          <w:lang w:val="sr-Cyrl-RS" w:eastAsia="en-US"/>
        </w:rPr>
        <w:t>државног власништва</w:t>
      </w:r>
      <w:r w:rsidR="00C82FD8" w:rsidRPr="0052271C">
        <w:rPr>
          <w:rFonts w:eastAsiaTheme="minorHAnsi"/>
          <w:lang w:val="sr-Cyrl-RS" w:eastAsia="en-US"/>
        </w:rPr>
        <w:t xml:space="preserve">, пре свега </w:t>
      </w:r>
      <w:r w:rsidR="007B0730" w:rsidRPr="0052271C">
        <w:rPr>
          <w:rFonts w:eastAsiaTheme="minorHAnsi"/>
          <w:lang w:val="sr-Cyrl-RS" w:eastAsia="en-US"/>
        </w:rPr>
        <w:t xml:space="preserve">кроз свеобухватно и уједначено управљање </w:t>
      </w:r>
      <w:r w:rsidR="000444E7" w:rsidRPr="0052271C">
        <w:rPr>
          <w:rFonts w:eastAsiaTheme="minorHAnsi"/>
          <w:lang w:val="sr-Cyrl-RS" w:eastAsia="en-US"/>
        </w:rPr>
        <w:t>ПСРС</w:t>
      </w:r>
      <w:r w:rsidR="007B0730" w:rsidRPr="0052271C">
        <w:rPr>
          <w:rFonts w:eastAsiaTheme="minorHAnsi"/>
          <w:lang w:val="sr-Cyrl-RS" w:eastAsia="en-US"/>
        </w:rPr>
        <w:t>, као и остваривању стратешких и развојних циљева и заштите општег интереса Републике Србије.</w:t>
      </w:r>
    </w:p>
    <w:p w14:paraId="4717A2C7" w14:textId="3F569F77" w:rsidR="00572C7D" w:rsidRPr="0052271C" w:rsidRDefault="007B0730" w:rsidP="00D93305">
      <w:pPr>
        <w:spacing w:line="276" w:lineRule="auto"/>
        <w:ind w:firstLine="567"/>
        <w:jc w:val="both"/>
        <w:rPr>
          <w:lang w:val="sr-Cyrl-RS" w:eastAsia="en-US"/>
        </w:rPr>
      </w:pPr>
      <w:r w:rsidRPr="0052271C">
        <w:rPr>
          <w:lang w:val="sr-Cyrl-RS"/>
        </w:rPr>
        <w:t xml:space="preserve">Иницијатива за израду Стратегије је потекла из </w:t>
      </w:r>
      <w:r w:rsidR="00BE20A1" w:rsidRPr="0052271C">
        <w:rPr>
          <w:lang w:val="sr-Cyrl-RS" w:eastAsia="en-US"/>
        </w:rPr>
        <w:t>Изјаве о програму</w:t>
      </w:r>
      <w:r w:rsidRPr="0052271C">
        <w:rPr>
          <w:lang w:val="sr-Cyrl-RS" w:eastAsia="en-US"/>
        </w:rPr>
        <w:t xml:space="preserve"> 05 Број: 337-11939/2019 од 2. децембра 2019. године</w:t>
      </w:r>
      <w:r w:rsidR="00BE20A1" w:rsidRPr="0052271C">
        <w:rPr>
          <w:lang w:val="sr-Cyrl-RS" w:eastAsia="en-US"/>
        </w:rPr>
        <w:t xml:space="preserve"> (</w:t>
      </w:r>
      <w:r w:rsidR="008F33A5" w:rsidRPr="0052271C">
        <w:rPr>
          <w:lang w:val="sr-Cyrl-RS" w:eastAsia="en-US"/>
        </w:rPr>
        <w:t>усвојене</w:t>
      </w:r>
      <w:r w:rsidR="00480AF2" w:rsidRPr="0052271C">
        <w:rPr>
          <w:lang w:val="sr-Cyrl-RS" w:eastAsia="en-US"/>
        </w:rPr>
        <w:t xml:space="preserve"> Закључком Владе 05 Број:</w:t>
      </w:r>
      <w:r w:rsidR="00BE20A1" w:rsidRPr="0052271C">
        <w:rPr>
          <w:lang w:val="sr-Cyrl-RS" w:eastAsia="en-US"/>
        </w:rPr>
        <w:t xml:space="preserve"> 337-11939/2019-2 од 28. новембра 2019. године)</w:t>
      </w:r>
      <w:r w:rsidRPr="0052271C">
        <w:rPr>
          <w:lang w:val="sr-Cyrl-RS" w:eastAsia="en-US"/>
        </w:rPr>
        <w:t>, којим се прихватају ревидирани циљеви мере економске политике до краја 2019. и за 2020. годину у оквиру трећег разматра</w:t>
      </w:r>
      <w:r w:rsidR="00E80617" w:rsidRPr="0052271C">
        <w:rPr>
          <w:lang w:val="sr-Cyrl-RS" w:eastAsia="en-US"/>
        </w:rPr>
        <w:t xml:space="preserve">ња резултата програма подржаног </w:t>
      </w:r>
      <w:r w:rsidRPr="0052271C">
        <w:rPr>
          <w:lang w:val="sr-Cyrl-RS" w:eastAsia="en-US"/>
        </w:rPr>
        <w:t>Инструментом за координацију политике (</w:t>
      </w:r>
      <w:r w:rsidRPr="0052271C">
        <w:rPr>
          <w:i/>
          <w:lang w:val="sr-Cyrl-RS" w:eastAsia="en-US"/>
        </w:rPr>
        <w:t>Policy Coordination Instrument</w:t>
      </w:r>
      <w:r w:rsidRPr="0052271C">
        <w:rPr>
          <w:lang w:val="sr-Cyrl-RS" w:eastAsia="en-US"/>
        </w:rPr>
        <w:t xml:space="preserve">) договорени са Међународним монетарним фондом, где се Република Србија обавезала да изради документ </w:t>
      </w:r>
      <w:r w:rsidR="00C52235" w:rsidRPr="0052271C">
        <w:rPr>
          <w:lang w:val="sr-Cyrl-RS" w:eastAsia="en-US"/>
        </w:rPr>
        <w:t xml:space="preserve">у коме ће се </w:t>
      </w:r>
      <w:r w:rsidR="00B2438F" w:rsidRPr="0052271C">
        <w:rPr>
          <w:lang w:val="sr-Cyrl-RS" w:eastAsia="en-US"/>
        </w:rPr>
        <w:t xml:space="preserve">успоставити </w:t>
      </w:r>
      <w:r w:rsidR="00C81479" w:rsidRPr="0052271C">
        <w:rPr>
          <w:lang w:val="sr-Cyrl-RS" w:eastAsia="en-US"/>
        </w:rPr>
        <w:t>општи циљеви</w:t>
      </w:r>
      <w:r w:rsidR="00B2438F" w:rsidRPr="0052271C">
        <w:rPr>
          <w:lang w:val="sr-Cyrl-RS" w:eastAsia="en-US"/>
        </w:rPr>
        <w:t xml:space="preserve"> </w:t>
      </w:r>
      <w:r w:rsidRPr="0052271C">
        <w:rPr>
          <w:lang w:val="sr-Cyrl-RS" w:eastAsia="en-US"/>
        </w:rPr>
        <w:t>власништва и управљања за пр</w:t>
      </w:r>
      <w:r w:rsidR="00B2438F" w:rsidRPr="0052271C">
        <w:rPr>
          <w:lang w:val="sr-Cyrl-RS" w:eastAsia="en-US"/>
        </w:rPr>
        <w:t xml:space="preserve">ивредна друштва </w:t>
      </w:r>
      <w:r w:rsidRPr="0052271C">
        <w:rPr>
          <w:lang w:val="sr-Cyrl-RS" w:eastAsia="en-US"/>
        </w:rPr>
        <w:t xml:space="preserve">у </w:t>
      </w:r>
      <w:r w:rsidR="000444E7" w:rsidRPr="0052271C">
        <w:rPr>
          <w:lang w:val="sr-Cyrl-RS" w:eastAsia="en-US"/>
        </w:rPr>
        <w:t>власништву Републике Србије</w:t>
      </w:r>
      <w:r w:rsidRPr="0052271C">
        <w:rPr>
          <w:lang w:val="sr-Cyrl-RS" w:eastAsia="en-US"/>
        </w:rPr>
        <w:t>.</w:t>
      </w:r>
    </w:p>
    <w:p w14:paraId="26044E0E" w14:textId="596408CB" w:rsidR="00D97C8E" w:rsidRPr="0052271C" w:rsidRDefault="007B0730" w:rsidP="00D93305">
      <w:pPr>
        <w:spacing w:line="276" w:lineRule="auto"/>
        <w:ind w:firstLine="567"/>
        <w:jc w:val="both"/>
        <w:rPr>
          <w:lang w:val="sr-Cyrl-RS"/>
        </w:rPr>
      </w:pPr>
      <w:r w:rsidRPr="0052271C">
        <w:rPr>
          <w:lang w:val="sr-Cyrl-RS" w:eastAsia="en-US"/>
        </w:rPr>
        <w:t xml:space="preserve">Стратегија је израђена уз подршку Европске банке за обнову и развој (ЕБРД) која је </w:t>
      </w:r>
      <w:r w:rsidRPr="0052271C">
        <w:rPr>
          <w:lang w:val="sr-Cyrl-RS"/>
        </w:rPr>
        <w:t>ангажовала консултанте Nestor Advisors, Ernst &amp; Young д.о.о. Београд и БДК Адвокате (</w:t>
      </w:r>
      <w:r w:rsidR="00C0686D" w:rsidRPr="0052271C">
        <w:rPr>
          <w:lang w:val="sr-Cyrl-RS"/>
        </w:rPr>
        <w:t xml:space="preserve">у даљем тексту: </w:t>
      </w:r>
      <w:r w:rsidRPr="0052271C">
        <w:rPr>
          <w:bCs/>
          <w:lang w:val="sr-Cyrl-RS"/>
        </w:rPr>
        <w:t>Конзорцијум</w:t>
      </w:r>
      <w:r w:rsidRPr="0052271C">
        <w:rPr>
          <w:lang w:val="sr-Cyrl-RS"/>
        </w:rPr>
        <w:t xml:space="preserve">) како би </w:t>
      </w:r>
      <w:r w:rsidR="00C81479" w:rsidRPr="0052271C">
        <w:rPr>
          <w:lang w:val="sr-Cyrl-RS"/>
        </w:rPr>
        <w:t>се израдио</w:t>
      </w:r>
      <w:r w:rsidRPr="0052271C">
        <w:rPr>
          <w:lang w:val="sr-Cyrl-RS"/>
        </w:rPr>
        <w:t xml:space="preserve"> </w:t>
      </w:r>
      <w:r w:rsidR="00C81479" w:rsidRPr="0052271C">
        <w:rPr>
          <w:lang w:val="sr-Cyrl-RS"/>
        </w:rPr>
        <w:t>оквир за власничко управљање</w:t>
      </w:r>
      <w:r w:rsidRPr="0052271C">
        <w:rPr>
          <w:lang w:val="sr-Cyrl-RS"/>
        </w:rPr>
        <w:t xml:space="preserve"> и корпоративно управљање </w:t>
      </w:r>
      <w:r w:rsidR="00CA4CB5" w:rsidRPr="0052271C">
        <w:rPr>
          <w:lang w:val="sr-Cyrl-RS"/>
        </w:rPr>
        <w:t xml:space="preserve">у </w:t>
      </w:r>
      <w:r w:rsidR="00F24218" w:rsidRPr="0052271C">
        <w:rPr>
          <w:lang w:val="sr-Cyrl-RS"/>
        </w:rPr>
        <w:t>ПСРС</w:t>
      </w:r>
      <w:r w:rsidR="001A354F" w:rsidRPr="0052271C">
        <w:rPr>
          <w:lang w:val="sr-Cyrl-RS"/>
        </w:rPr>
        <w:t xml:space="preserve"> у Републици Србији</w:t>
      </w:r>
      <w:r w:rsidRPr="0052271C">
        <w:rPr>
          <w:lang w:val="sr-Cyrl-RS"/>
        </w:rPr>
        <w:t>.</w:t>
      </w:r>
      <w:r w:rsidR="00572C7D" w:rsidRPr="0052271C">
        <w:rPr>
          <w:lang w:val="sr-Cyrl-RS" w:eastAsia="en-US"/>
        </w:rPr>
        <w:t xml:space="preserve"> Финансијску подршку за овај пројекат је обезбедила Влада Великог Војводства Луксембург.</w:t>
      </w:r>
    </w:p>
    <w:p w14:paraId="59213687" w14:textId="4983F764" w:rsidR="00D97C8E" w:rsidRPr="0052271C" w:rsidRDefault="00F31689" w:rsidP="00D93305">
      <w:pPr>
        <w:spacing w:line="276" w:lineRule="auto"/>
        <w:ind w:firstLine="567"/>
        <w:jc w:val="both"/>
        <w:rPr>
          <w:lang w:val="sr-Cyrl-RS" w:eastAsia="en-US"/>
        </w:rPr>
      </w:pPr>
      <w:r w:rsidRPr="0052271C">
        <w:rPr>
          <w:lang w:val="sr-Cyrl-RS" w:eastAsia="en-US"/>
        </w:rPr>
        <w:t xml:space="preserve">Планирано је да </w:t>
      </w:r>
      <w:r w:rsidR="00CF6CF2" w:rsidRPr="0052271C">
        <w:rPr>
          <w:lang w:val="sr-Cyrl-RS" w:eastAsia="en-US"/>
        </w:rPr>
        <w:t xml:space="preserve">активности на имплементацији пројекта започну у марту 2020. године, а да </w:t>
      </w:r>
      <w:r w:rsidRPr="0052271C">
        <w:rPr>
          <w:lang w:val="sr-Cyrl-RS" w:eastAsia="en-US"/>
        </w:rPr>
        <w:t xml:space="preserve">оквир буде израђен </w:t>
      </w:r>
      <w:r w:rsidR="00CF6CF2" w:rsidRPr="0052271C">
        <w:rPr>
          <w:lang w:val="sr-Cyrl-RS" w:eastAsia="en-US"/>
        </w:rPr>
        <w:t>до краја јула 2020. године</w:t>
      </w:r>
      <w:r w:rsidRPr="0052271C">
        <w:rPr>
          <w:lang w:val="sr-Cyrl-RS" w:eastAsia="en-US"/>
        </w:rPr>
        <w:t xml:space="preserve">. </w:t>
      </w:r>
      <w:r w:rsidR="000444E7" w:rsidRPr="0052271C">
        <w:rPr>
          <w:lang w:val="sr-Cyrl-RS" w:eastAsia="en-US"/>
        </w:rPr>
        <w:t>Међутим, због проглашења пандемије заразне болести COVID</w:t>
      </w:r>
      <w:r w:rsidR="0005101B" w:rsidRPr="0052271C">
        <w:rPr>
          <w:lang w:val="sr-Cyrl-RS" w:eastAsia="en-US"/>
        </w:rPr>
        <w:t>-</w:t>
      </w:r>
      <w:r w:rsidR="000444E7" w:rsidRPr="0052271C">
        <w:rPr>
          <w:lang w:val="sr-Cyrl-RS" w:eastAsia="en-US"/>
        </w:rPr>
        <w:t>19, увођења ванредног стања у Републици Србији и отежаних услова рада, Конзорцијум је уводне активности на пројекту започео тек у мају 2020. године.</w:t>
      </w:r>
    </w:p>
    <w:p w14:paraId="648A762C" w14:textId="607E7EB0" w:rsidR="00D97C8E" w:rsidRPr="0052271C" w:rsidRDefault="00B2438F" w:rsidP="00D93305">
      <w:pPr>
        <w:spacing w:line="276" w:lineRule="auto"/>
        <w:ind w:firstLine="567"/>
        <w:jc w:val="both"/>
        <w:rPr>
          <w:rFonts w:eastAsiaTheme="minorHAnsi"/>
          <w:lang w:val="sr-Cyrl-RS"/>
        </w:rPr>
      </w:pPr>
      <w:r w:rsidRPr="0052271C">
        <w:rPr>
          <w:rFonts w:eastAsiaTheme="minorHAnsi"/>
          <w:lang w:val="sr-Cyrl-RS"/>
        </w:rPr>
        <w:lastRenderedPageBreak/>
        <w:t xml:space="preserve">Током израде поменутог оквира формирана је група </w:t>
      </w:r>
      <w:r w:rsidR="00F24218" w:rsidRPr="0052271C">
        <w:rPr>
          <w:rFonts w:eastAsiaTheme="minorHAnsi"/>
          <w:lang w:val="sr-Cyrl-RS"/>
        </w:rPr>
        <w:t xml:space="preserve">за консултације </w:t>
      </w:r>
      <w:r w:rsidRPr="0052271C">
        <w:rPr>
          <w:rFonts w:eastAsiaTheme="minorHAnsi"/>
          <w:lang w:val="sr-Cyrl-RS"/>
        </w:rPr>
        <w:t>(</w:t>
      </w:r>
      <w:r w:rsidR="000444E7" w:rsidRPr="0052271C">
        <w:rPr>
          <w:rFonts w:eastAsiaTheme="minorHAnsi"/>
          <w:i/>
          <w:lang w:val="sr-Cyrl-RS"/>
        </w:rPr>
        <w:t>Steering</w:t>
      </w:r>
      <w:r w:rsidRPr="0052271C">
        <w:rPr>
          <w:rFonts w:eastAsiaTheme="minorHAnsi"/>
          <w:i/>
          <w:lang w:val="sr-Cyrl-RS"/>
        </w:rPr>
        <w:t xml:space="preserve"> </w:t>
      </w:r>
      <w:r w:rsidR="000444E7" w:rsidRPr="0052271C">
        <w:rPr>
          <w:rFonts w:eastAsiaTheme="minorHAnsi"/>
          <w:i/>
          <w:lang w:val="sr-Cyrl-RS"/>
        </w:rPr>
        <w:t>com</w:t>
      </w:r>
      <w:r w:rsidR="00DA1BEB" w:rsidRPr="0052271C">
        <w:rPr>
          <w:rFonts w:eastAsiaTheme="minorHAnsi"/>
          <w:i/>
          <w:lang w:val="sr-Cyrl-RS"/>
        </w:rPr>
        <w:t>m</w:t>
      </w:r>
      <w:r w:rsidR="000444E7" w:rsidRPr="0052271C">
        <w:rPr>
          <w:rFonts w:eastAsiaTheme="minorHAnsi"/>
          <w:i/>
          <w:lang w:val="sr-Cyrl-RS"/>
        </w:rPr>
        <w:t>it</w:t>
      </w:r>
      <w:r w:rsidR="00DA1BEB" w:rsidRPr="0052271C">
        <w:rPr>
          <w:rFonts w:eastAsiaTheme="minorHAnsi"/>
          <w:i/>
          <w:lang w:val="sr-Cyrl-RS"/>
        </w:rPr>
        <w:t>t</w:t>
      </w:r>
      <w:r w:rsidR="000444E7" w:rsidRPr="0052271C">
        <w:rPr>
          <w:rFonts w:eastAsiaTheme="minorHAnsi"/>
          <w:i/>
          <w:lang w:val="sr-Cyrl-RS"/>
        </w:rPr>
        <w:t>ee</w:t>
      </w:r>
      <w:r w:rsidRPr="0052271C">
        <w:rPr>
          <w:rFonts w:eastAsiaTheme="minorHAnsi"/>
          <w:lang w:val="sr-Cyrl-RS"/>
        </w:rPr>
        <w:t>) коју су поред Конзорцијума, сачињавали представници других релевантних институција, и то: Кабинета председника Владе, Министарства привреде</w:t>
      </w:r>
      <w:r w:rsidR="00080149" w:rsidRPr="0052271C">
        <w:rPr>
          <w:rFonts w:eastAsiaTheme="minorHAnsi"/>
          <w:lang w:val="sr-Cyrl-RS"/>
        </w:rPr>
        <w:t xml:space="preserve"> (у даљем тексту: Министарство)</w:t>
      </w:r>
      <w:r w:rsidRPr="0052271C">
        <w:rPr>
          <w:rFonts w:eastAsiaTheme="minorHAnsi"/>
          <w:lang w:val="sr-Cyrl-RS"/>
        </w:rPr>
        <w:t>, Министарства грађевинарства, саобраћаја и инфраструктуре, Министарства финансија (укључујући Централну јединицу за хармонизацију) и Министарства рударства и енергетике.</w:t>
      </w:r>
    </w:p>
    <w:p w14:paraId="5AD0FCB9" w14:textId="1A412C7B" w:rsidR="00755FC8" w:rsidRPr="0052271C" w:rsidRDefault="00BF0079" w:rsidP="00D93305">
      <w:pPr>
        <w:spacing w:line="276" w:lineRule="auto"/>
        <w:ind w:firstLine="567"/>
        <w:jc w:val="both"/>
        <w:rPr>
          <w:rFonts w:eastAsia="Calibri"/>
          <w:lang w:val="sr-Cyrl-RS"/>
        </w:rPr>
      </w:pPr>
      <w:r w:rsidRPr="0052271C">
        <w:rPr>
          <w:bCs/>
          <w:lang w:val="sr-Cyrl-RS"/>
        </w:rPr>
        <w:t>Нако</w:t>
      </w:r>
      <w:r w:rsidR="00416A77" w:rsidRPr="0052271C">
        <w:rPr>
          <w:bCs/>
          <w:lang w:val="sr-Cyrl-RS"/>
        </w:rPr>
        <w:t>н</w:t>
      </w:r>
      <w:r w:rsidRPr="0052271C">
        <w:rPr>
          <w:bCs/>
          <w:lang w:val="sr-Cyrl-RS"/>
        </w:rPr>
        <w:t xml:space="preserve"> састанака и консултација,</w:t>
      </w:r>
      <w:r w:rsidR="00416A77" w:rsidRPr="0052271C">
        <w:rPr>
          <w:bCs/>
          <w:lang w:val="sr-Cyrl-RS"/>
        </w:rPr>
        <w:t xml:space="preserve"> </w:t>
      </w:r>
      <w:r w:rsidR="000444E7" w:rsidRPr="0052271C">
        <w:rPr>
          <w:bCs/>
          <w:lang w:val="sr-Cyrl-RS"/>
        </w:rPr>
        <w:t xml:space="preserve">Конзорцијум је </w:t>
      </w:r>
      <w:r w:rsidR="00F31689" w:rsidRPr="0052271C">
        <w:rPr>
          <w:bCs/>
          <w:lang w:val="sr-Cyrl-RS"/>
        </w:rPr>
        <w:t xml:space="preserve">у децембру 2020. године </w:t>
      </w:r>
      <w:r w:rsidR="000444E7" w:rsidRPr="0052271C">
        <w:rPr>
          <w:bCs/>
          <w:lang w:val="sr-Cyrl-RS"/>
        </w:rPr>
        <w:t xml:space="preserve">израдио </w:t>
      </w:r>
      <w:r w:rsidR="00F24218" w:rsidRPr="0052271C">
        <w:rPr>
          <w:bCs/>
          <w:lang w:val="sr-Cyrl-RS"/>
        </w:rPr>
        <w:t xml:space="preserve">извештај </w:t>
      </w:r>
      <w:r w:rsidR="00DD593D" w:rsidRPr="0052271C">
        <w:rPr>
          <w:bCs/>
          <w:lang w:val="sr-Cyrl-RS"/>
        </w:rPr>
        <w:t xml:space="preserve">у ком </w:t>
      </w:r>
      <w:r w:rsidR="000444E7" w:rsidRPr="0052271C">
        <w:rPr>
          <w:bCs/>
          <w:lang w:val="sr-Cyrl-RS"/>
        </w:rPr>
        <w:t xml:space="preserve">је изложено дијагностичко стање и разматрана </w:t>
      </w:r>
      <w:r w:rsidR="0009560D" w:rsidRPr="0052271C">
        <w:rPr>
          <w:bCs/>
          <w:lang w:val="sr-Cyrl-RS"/>
        </w:rPr>
        <w:t xml:space="preserve">досадашња </w:t>
      </w:r>
      <w:r w:rsidR="000444E7" w:rsidRPr="0052271C">
        <w:rPr>
          <w:lang w:val="sr-Cyrl-RS"/>
        </w:rPr>
        <w:t xml:space="preserve">пракса </w:t>
      </w:r>
      <w:r w:rsidR="0009560D" w:rsidRPr="0052271C">
        <w:rPr>
          <w:lang w:val="sr-Cyrl-RS"/>
        </w:rPr>
        <w:t xml:space="preserve">из ове области </w:t>
      </w:r>
      <w:r w:rsidR="000444E7" w:rsidRPr="0052271C">
        <w:rPr>
          <w:lang w:val="sr-Cyrl-RS"/>
        </w:rPr>
        <w:t>у Републици Србији</w:t>
      </w:r>
      <w:r w:rsidR="00836C5B" w:rsidRPr="0052271C">
        <w:rPr>
          <w:lang w:val="sr-Cyrl-RS"/>
        </w:rPr>
        <w:t xml:space="preserve">, након чега је донет </w:t>
      </w:r>
      <w:r w:rsidR="00836C5B" w:rsidRPr="0052271C">
        <w:rPr>
          <w:rStyle w:val="jlqj4b"/>
          <w:lang w:val="sr-Cyrl-RS"/>
        </w:rPr>
        <w:t xml:space="preserve">Закључак Владе 05 </w:t>
      </w:r>
      <w:r w:rsidR="00DD593D" w:rsidRPr="0052271C">
        <w:rPr>
          <w:lang w:val="sr-Cyrl-RS"/>
        </w:rPr>
        <w:t>Б</w:t>
      </w:r>
      <w:r w:rsidR="00836C5B" w:rsidRPr="0052271C">
        <w:rPr>
          <w:lang w:val="sr-Cyrl-RS"/>
        </w:rPr>
        <w:t>рој</w:t>
      </w:r>
      <w:r w:rsidR="00DD593D" w:rsidRPr="0052271C">
        <w:rPr>
          <w:lang w:val="sr-Cyrl-RS"/>
        </w:rPr>
        <w:t>:</w:t>
      </w:r>
      <w:r w:rsidR="00836C5B" w:rsidRPr="0052271C">
        <w:rPr>
          <w:lang w:val="sr-Cyrl-RS"/>
        </w:rPr>
        <w:t xml:space="preserve"> 46-10187/2020 од 10. децембра 2020. године, којим су</w:t>
      </w:r>
      <w:r w:rsidR="00836C5B" w:rsidRPr="0052271C">
        <w:rPr>
          <w:b/>
          <w:bCs/>
          <w:lang w:val="sr-Cyrl-RS"/>
        </w:rPr>
        <w:t xml:space="preserve"> </w:t>
      </w:r>
      <w:r w:rsidR="000E0A0D" w:rsidRPr="0052271C">
        <w:rPr>
          <w:bCs/>
          <w:lang w:val="sr-Cyrl-RS"/>
        </w:rPr>
        <w:t>прихваћене</w:t>
      </w:r>
      <w:r w:rsidR="00836C5B" w:rsidRPr="0052271C">
        <w:rPr>
          <w:bCs/>
          <w:lang w:val="sr-Cyrl-RS"/>
        </w:rPr>
        <w:t xml:space="preserve"> Полазне основе за успостављање политике државног власништва </w:t>
      </w:r>
      <w:r w:rsidR="009504C3" w:rsidRPr="0052271C">
        <w:rPr>
          <w:bCs/>
          <w:lang w:val="sr-Cyrl-RS"/>
        </w:rPr>
        <w:t xml:space="preserve">Републике Србије </w:t>
      </w:r>
      <w:r w:rsidR="00836C5B" w:rsidRPr="0052271C">
        <w:rPr>
          <w:bCs/>
          <w:lang w:val="sr-Cyrl-RS"/>
        </w:rPr>
        <w:t xml:space="preserve">(у даљем тексту: Полазне основе) </w:t>
      </w:r>
      <w:r w:rsidR="007853A7" w:rsidRPr="0052271C">
        <w:rPr>
          <w:lang w:val="sr-Cyrl-RS"/>
        </w:rPr>
        <w:t>којима је поред осталог</w:t>
      </w:r>
      <w:r w:rsidR="00AC6AC1" w:rsidRPr="0052271C">
        <w:rPr>
          <w:lang w:val="sr-Cyrl-RS"/>
        </w:rPr>
        <w:t>,</w:t>
      </w:r>
      <w:r w:rsidR="007853A7" w:rsidRPr="0052271C">
        <w:rPr>
          <w:lang w:val="sr-Cyrl-RS"/>
        </w:rPr>
        <w:t xml:space="preserve"> утврђено да доношење јединственог стратешког документа </w:t>
      </w:r>
      <w:r w:rsidR="007853A7" w:rsidRPr="0052271C">
        <w:rPr>
          <w:rFonts w:eastAsia="Calibri"/>
          <w:lang w:val="sr-Cyrl-RS"/>
        </w:rPr>
        <w:t xml:space="preserve">представља значајну промену за државу, те ће на основу тога у наредном периоду Министарство, </w:t>
      </w:r>
      <w:r w:rsidR="007853A7" w:rsidRPr="0052271C">
        <w:rPr>
          <w:bCs/>
          <w:lang w:val="sr-Cyrl-RS"/>
        </w:rPr>
        <w:t xml:space="preserve">у складу са Законом о министарствима </w:t>
      </w:r>
      <w:r w:rsidR="00DD593D" w:rsidRPr="0052271C">
        <w:rPr>
          <w:bCs/>
          <w:lang w:val="sr-Cyrl-RS"/>
        </w:rPr>
        <w:t xml:space="preserve">(„Службени гласник РСˮ, број 128/20) </w:t>
      </w:r>
      <w:r w:rsidR="007853A7" w:rsidRPr="0052271C">
        <w:rPr>
          <w:rFonts w:eastAsia="Calibri"/>
          <w:lang w:val="sr-Cyrl-RS"/>
        </w:rPr>
        <w:t>приступити изради јединственог стратешког докум</w:t>
      </w:r>
      <w:r w:rsidR="007853A7" w:rsidRPr="0052271C">
        <w:rPr>
          <w:rFonts w:eastAsia="Calibri"/>
          <w:color w:val="000000" w:themeColor="text1"/>
          <w:lang w:val="sr-Cyrl-RS"/>
        </w:rPr>
        <w:t>ента политике државног власништва</w:t>
      </w:r>
      <w:r w:rsidR="008F7FA1" w:rsidRPr="0052271C">
        <w:rPr>
          <w:rFonts w:eastAsia="Calibri"/>
          <w:color w:val="000000" w:themeColor="text1"/>
          <w:lang w:val="sr-Cyrl-RS"/>
        </w:rPr>
        <w:t xml:space="preserve">, </w:t>
      </w:r>
      <w:r w:rsidR="008F7FA1" w:rsidRPr="0052271C">
        <w:rPr>
          <w:color w:val="000000" w:themeColor="text1"/>
          <w:lang w:val="sr-Cyrl-RS"/>
        </w:rPr>
        <w:t xml:space="preserve">с обзиром да не </w:t>
      </w:r>
      <w:r w:rsidR="008F7FA1" w:rsidRPr="0052271C">
        <w:rPr>
          <w:rFonts w:eastAsiaTheme="minorHAnsi"/>
          <w:color w:val="000000" w:themeColor="text1"/>
          <w:lang w:val="sr-Cyrl-RS" w:eastAsia="en-US"/>
        </w:rPr>
        <w:t>постоји претходна стратегија или други документ јавне политике у области државног власништва над ПСРС</w:t>
      </w:r>
      <w:r w:rsidR="007853A7" w:rsidRPr="0052271C">
        <w:rPr>
          <w:rFonts w:eastAsia="Calibri"/>
          <w:color w:val="000000" w:themeColor="text1"/>
          <w:lang w:val="sr-Cyrl-RS"/>
        </w:rPr>
        <w:t>.</w:t>
      </w:r>
    </w:p>
    <w:p w14:paraId="4301CFA2" w14:textId="5C557701" w:rsidR="00F31689" w:rsidRPr="0052271C" w:rsidRDefault="001A354F" w:rsidP="00D93305">
      <w:pPr>
        <w:spacing w:line="276" w:lineRule="auto"/>
        <w:ind w:firstLine="567"/>
        <w:jc w:val="both"/>
        <w:rPr>
          <w:lang w:val="sr-Cyrl-RS" w:eastAsia="en-US"/>
        </w:rPr>
      </w:pPr>
      <w:r w:rsidRPr="0052271C">
        <w:rPr>
          <w:lang w:val="sr-Cyrl-RS"/>
        </w:rPr>
        <w:t>У</w:t>
      </w:r>
      <w:r w:rsidR="0009560D" w:rsidRPr="0052271C">
        <w:rPr>
          <w:lang w:val="sr-Cyrl-RS"/>
        </w:rPr>
        <w:t xml:space="preserve"> </w:t>
      </w:r>
      <w:r w:rsidR="00F31689" w:rsidRPr="0052271C">
        <w:rPr>
          <w:lang w:val="sr-Cyrl-RS"/>
        </w:rPr>
        <w:t>изради</w:t>
      </w:r>
      <w:r w:rsidR="0009560D" w:rsidRPr="0052271C">
        <w:rPr>
          <w:lang w:val="sr-Cyrl-RS"/>
        </w:rPr>
        <w:t xml:space="preserve"> Стр</w:t>
      </w:r>
      <w:r w:rsidR="008E737E" w:rsidRPr="0052271C">
        <w:rPr>
          <w:lang w:val="sr-Cyrl-RS"/>
        </w:rPr>
        <w:t>атегије</w:t>
      </w:r>
      <w:r w:rsidR="00BB470F" w:rsidRPr="0052271C">
        <w:rPr>
          <w:lang w:val="sr-Cyrl-RS"/>
        </w:rPr>
        <w:t>,</w:t>
      </w:r>
      <w:r w:rsidR="008E737E" w:rsidRPr="0052271C">
        <w:rPr>
          <w:lang w:val="sr-Cyrl-RS"/>
        </w:rPr>
        <w:t xml:space="preserve"> Министарство </w:t>
      </w:r>
      <w:r w:rsidR="00836C5B" w:rsidRPr="0052271C">
        <w:rPr>
          <w:lang w:val="sr-Cyrl-RS"/>
        </w:rPr>
        <w:t xml:space="preserve">је користило </w:t>
      </w:r>
      <w:r w:rsidR="00D94287" w:rsidRPr="0052271C">
        <w:rPr>
          <w:lang w:val="sr-Cyrl-RS"/>
        </w:rPr>
        <w:t>анализе</w:t>
      </w:r>
      <w:r w:rsidR="008E737E" w:rsidRPr="0052271C">
        <w:rPr>
          <w:lang w:val="sr-Cyrl-RS"/>
        </w:rPr>
        <w:t xml:space="preserve">, </w:t>
      </w:r>
      <w:r w:rsidR="00F24218" w:rsidRPr="0052271C">
        <w:rPr>
          <w:lang w:val="sr-Cyrl-RS"/>
        </w:rPr>
        <w:t>извештај</w:t>
      </w:r>
      <w:r w:rsidR="008E737E" w:rsidRPr="0052271C">
        <w:rPr>
          <w:lang w:val="sr-Cyrl-RS"/>
        </w:rPr>
        <w:t>е</w:t>
      </w:r>
      <w:r w:rsidR="007853A7" w:rsidRPr="0052271C">
        <w:rPr>
          <w:lang w:val="sr-Cyrl-RS"/>
        </w:rPr>
        <w:t xml:space="preserve">, </w:t>
      </w:r>
      <w:r w:rsidR="008E737E" w:rsidRPr="0052271C">
        <w:rPr>
          <w:lang w:val="sr-Cyrl-RS"/>
        </w:rPr>
        <w:t>студије</w:t>
      </w:r>
      <w:r w:rsidR="0009560D" w:rsidRPr="0052271C">
        <w:rPr>
          <w:lang w:val="sr-Cyrl-RS"/>
        </w:rPr>
        <w:t xml:space="preserve">, </w:t>
      </w:r>
      <w:r w:rsidR="004D5BB0" w:rsidRPr="0052271C">
        <w:rPr>
          <w:lang w:val="sr-Cyrl-RS"/>
        </w:rPr>
        <w:t xml:space="preserve">као и </w:t>
      </w:r>
      <w:r w:rsidR="008E737E" w:rsidRPr="0052271C">
        <w:rPr>
          <w:lang w:val="sr-Cyrl-RS"/>
        </w:rPr>
        <w:t xml:space="preserve">принципе и препоруке </w:t>
      </w:r>
      <w:r w:rsidR="00755FC8" w:rsidRPr="0052271C">
        <w:rPr>
          <w:lang w:val="sr-Cyrl-RS"/>
        </w:rPr>
        <w:t xml:space="preserve">за друштва капитала у којима је држава члан из </w:t>
      </w:r>
      <w:r w:rsidR="00755FC8" w:rsidRPr="0052271C">
        <w:rPr>
          <w:rFonts w:eastAsiaTheme="minorHAnsi"/>
          <w:color w:val="000000"/>
          <w:lang w:val="sr-Cyrl-RS"/>
        </w:rPr>
        <w:t xml:space="preserve">Кодекса </w:t>
      </w:r>
      <w:r w:rsidR="00831B67" w:rsidRPr="0052271C">
        <w:rPr>
          <w:rFonts w:eastAsiaTheme="minorHAnsi"/>
          <w:color w:val="000000"/>
          <w:lang w:val="sr-Cyrl-RS"/>
        </w:rPr>
        <w:t>корпоративног</w:t>
      </w:r>
      <w:r w:rsidR="00755FC8" w:rsidRPr="0052271C">
        <w:rPr>
          <w:rFonts w:eastAsiaTheme="minorHAnsi"/>
          <w:color w:val="000000"/>
          <w:lang w:val="sr-Cyrl-RS"/>
        </w:rPr>
        <w:t xml:space="preserve"> управљања Привредне коморе Србије</w:t>
      </w:r>
      <w:r w:rsidR="00755FC8" w:rsidRPr="0052271C">
        <w:rPr>
          <w:rStyle w:val="FootnoteReference"/>
          <w:rFonts w:eastAsiaTheme="minorHAnsi"/>
          <w:color w:val="000000"/>
          <w:lang w:val="sr-Cyrl-RS"/>
        </w:rPr>
        <w:footnoteReference w:id="1"/>
      </w:r>
      <w:r w:rsidR="00755FC8" w:rsidRPr="0052271C">
        <w:rPr>
          <w:lang w:val="sr-Cyrl-RS"/>
        </w:rPr>
        <w:t xml:space="preserve">, </w:t>
      </w:r>
      <w:r w:rsidR="004D5BB0" w:rsidRPr="0052271C">
        <w:rPr>
          <w:lang w:val="sr-Cyrl-RS"/>
        </w:rPr>
        <w:t xml:space="preserve">те </w:t>
      </w:r>
      <w:r w:rsidR="00755FC8" w:rsidRPr="0052271C">
        <w:rPr>
          <w:lang w:val="sr-Cyrl-RS"/>
        </w:rPr>
        <w:t>и</w:t>
      </w:r>
      <w:r w:rsidR="004D5BB0" w:rsidRPr="0052271C">
        <w:rPr>
          <w:lang w:val="sr-Cyrl-RS"/>
        </w:rPr>
        <w:t>з</w:t>
      </w:r>
      <w:r w:rsidR="00755FC8" w:rsidRPr="0052271C">
        <w:rPr>
          <w:lang w:val="sr-Cyrl-RS"/>
        </w:rPr>
        <w:t xml:space="preserve"> </w:t>
      </w:r>
      <w:r w:rsidR="0009560D" w:rsidRPr="0052271C">
        <w:rPr>
          <w:noProof/>
          <w:lang w:val="sr-Cyrl-RS"/>
        </w:rPr>
        <w:t>инте</w:t>
      </w:r>
      <w:r w:rsidR="00CB0B2B" w:rsidRPr="0052271C">
        <w:rPr>
          <w:noProof/>
          <w:lang w:val="sr-Cyrl-RS"/>
        </w:rPr>
        <w:t>н</w:t>
      </w:r>
      <w:r w:rsidR="0009560D" w:rsidRPr="0052271C">
        <w:rPr>
          <w:noProof/>
          <w:lang w:val="sr-Cyrl-RS"/>
        </w:rPr>
        <w:t xml:space="preserve">зивног учествовања на пројектима са међународним институцијама </w:t>
      </w:r>
      <w:r w:rsidR="00F31689" w:rsidRPr="0052271C">
        <w:rPr>
          <w:noProof/>
          <w:lang w:val="sr-Cyrl-RS" w:eastAsia="en-US"/>
        </w:rPr>
        <w:t>у</w:t>
      </w:r>
      <w:r w:rsidR="00F31689" w:rsidRPr="0052271C">
        <w:rPr>
          <w:lang w:val="sr-Cyrl-RS" w:eastAsia="en-US"/>
        </w:rPr>
        <w:t xml:space="preserve"> циљу остварења истраживања система корпоративног</w:t>
      </w:r>
      <w:r w:rsidR="008C29AD" w:rsidRPr="0052271C">
        <w:rPr>
          <w:lang w:val="sr-Cyrl-RS" w:eastAsia="en-US"/>
        </w:rPr>
        <w:t xml:space="preserve"> управљања у јавним предузећима</w:t>
      </w:r>
      <w:r w:rsidR="000D48E0" w:rsidRPr="0052271C">
        <w:rPr>
          <w:lang w:val="sr-Cyrl-RS" w:eastAsia="en-US"/>
        </w:rPr>
        <w:t>.</w:t>
      </w:r>
    </w:p>
    <w:p w14:paraId="0D89B799" w14:textId="77777777" w:rsidR="000D48E0" w:rsidRPr="0052271C" w:rsidRDefault="000D48E0" w:rsidP="00D93305">
      <w:pPr>
        <w:spacing w:line="276" w:lineRule="auto"/>
        <w:ind w:firstLine="567"/>
        <w:jc w:val="both"/>
        <w:rPr>
          <w:lang w:val="sr-Cyrl-RS"/>
        </w:rPr>
      </w:pPr>
    </w:p>
    <w:p w14:paraId="346B620F" w14:textId="446BDBF5" w:rsidR="00ED5A4E" w:rsidRPr="0052271C" w:rsidRDefault="00F31689" w:rsidP="00E66320">
      <w:pPr>
        <w:pStyle w:val="Heading2"/>
        <w:tabs>
          <w:tab w:val="left" w:pos="284"/>
        </w:tabs>
        <w:ind w:left="0" w:firstLine="0"/>
        <w:jc w:val="center"/>
        <w:rPr>
          <w:rFonts w:ascii="Times New Roman" w:eastAsia="Calibri" w:hAnsi="Times New Roman"/>
          <w:b w:val="0"/>
          <w:i w:val="0"/>
          <w:sz w:val="24"/>
          <w:szCs w:val="24"/>
          <w:lang w:val="sr-Cyrl-RS"/>
        </w:rPr>
      </w:pPr>
      <w:bookmarkStart w:id="13" w:name="_Toc62208258"/>
      <w:bookmarkStart w:id="14" w:name="_Toc63452444"/>
      <w:bookmarkStart w:id="15" w:name="_Toc63587079"/>
      <w:r w:rsidRPr="0052271C">
        <w:rPr>
          <w:rFonts w:ascii="Times New Roman" w:hAnsi="Times New Roman"/>
          <w:b w:val="0"/>
          <w:i w:val="0"/>
          <w:noProof/>
          <w:sz w:val="24"/>
          <w:szCs w:val="24"/>
          <w:lang w:val="sr-Cyrl-RS"/>
        </w:rPr>
        <w:t xml:space="preserve">Оквир </w:t>
      </w:r>
      <w:r w:rsidR="00D94287" w:rsidRPr="0052271C">
        <w:rPr>
          <w:rFonts w:ascii="Times New Roman" w:hAnsi="Times New Roman"/>
          <w:b w:val="0"/>
          <w:i w:val="0"/>
          <w:noProof/>
          <w:sz w:val="24"/>
          <w:szCs w:val="24"/>
          <w:lang w:val="sr-Cyrl-RS"/>
        </w:rPr>
        <w:t>политике</w:t>
      </w:r>
      <w:r w:rsidRPr="0052271C">
        <w:rPr>
          <w:rFonts w:ascii="Times New Roman" w:hAnsi="Times New Roman"/>
          <w:b w:val="0"/>
          <w:i w:val="0"/>
          <w:noProof/>
          <w:sz w:val="24"/>
          <w:szCs w:val="24"/>
          <w:lang w:val="sr-Cyrl-RS"/>
        </w:rPr>
        <w:t xml:space="preserve"> државног власниш</w:t>
      </w:r>
      <w:r w:rsidR="009A6C6B" w:rsidRPr="0052271C">
        <w:rPr>
          <w:rFonts w:ascii="Times New Roman" w:hAnsi="Times New Roman"/>
          <w:b w:val="0"/>
          <w:i w:val="0"/>
          <w:noProof/>
          <w:sz w:val="24"/>
          <w:szCs w:val="24"/>
          <w:lang w:val="sr-Cyrl-RS"/>
        </w:rPr>
        <w:t>т</w:t>
      </w:r>
      <w:r w:rsidRPr="0052271C">
        <w:rPr>
          <w:rFonts w:ascii="Times New Roman" w:hAnsi="Times New Roman"/>
          <w:b w:val="0"/>
          <w:i w:val="0"/>
          <w:noProof/>
          <w:sz w:val="24"/>
          <w:szCs w:val="24"/>
          <w:lang w:val="sr-Cyrl-RS"/>
        </w:rPr>
        <w:t>ва</w:t>
      </w:r>
      <w:r w:rsidR="00C26335" w:rsidRPr="0052271C">
        <w:rPr>
          <w:rStyle w:val="FootnoteReference"/>
          <w:rFonts w:ascii="Times New Roman" w:eastAsia="Calibri" w:hAnsi="Times New Roman"/>
          <w:b w:val="0"/>
          <w:i w:val="0"/>
          <w:sz w:val="24"/>
          <w:szCs w:val="24"/>
          <w:lang w:val="sr-Cyrl-RS"/>
        </w:rPr>
        <w:footnoteReference w:id="2"/>
      </w:r>
      <w:bookmarkEnd w:id="13"/>
      <w:bookmarkEnd w:id="14"/>
      <w:bookmarkEnd w:id="15"/>
    </w:p>
    <w:p w14:paraId="32B95558" w14:textId="77777777" w:rsidR="001213A0" w:rsidRPr="0052271C" w:rsidRDefault="001213A0" w:rsidP="001213A0">
      <w:pPr>
        <w:rPr>
          <w:rFonts w:eastAsia="Calibri"/>
          <w:lang w:val="sr-Cyrl-RS"/>
        </w:rPr>
      </w:pPr>
    </w:p>
    <w:p w14:paraId="44ECFB09" w14:textId="26074B86" w:rsidR="00A90441" w:rsidRPr="0052271C" w:rsidRDefault="00A90441" w:rsidP="00B5611C">
      <w:pPr>
        <w:spacing w:line="276" w:lineRule="auto"/>
        <w:ind w:firstLine="567"/>
        <w:contextualSpacing/>
        <w:jc w:val="both"/>
        <w:rPr>
          <w:rFonts w:eastAsia="Calibri"/>
          <w:lang w:val="sr-Cyrl-RS"/>
        </w:rPr>
      </w:pPr>
      <w:r w:rsidRPr="0052271C">
        <w:rPr>
          <w:rFonts w:eastAsia="Calibri"/>
          <w:lang w:val="sr-Cyrl-RS"/>
        </w:rPr>
        <w:t xml:space="preserve">Постојање </w:t>
      </w:r>
      <w:r w:rsidR="00C8280D" w:rsidRPr="0052271C">
        <w:rPr>
          <w:rFonts w:eastAsia="Calibri"/>
          <w:lang w:val="sr-Cyrl-RS"/>
        </w:rPr>
        <w:t xml:space="preserve">политике државног власништва </w:t>
      </w:r>
      <w:r w:rsidRPr="0052271C">
        <w:rPr>
          <w:rFonts w:eastAsia="Calibri"/>
          <w:lang w:val="sr-Cyrl-RS"/>
        </w:rPr>
        <w:t>је повезано са развојем централ</w:t>
      </w:r>
      <w:r w:rsidR="00204211" w:rsidRPr="0052271C">
        <w:rPr>
          <w:rFonts w:eastAsia="Calibri"/>
          <w:lang w:val="sr-Cyrl-RS"/>
        </w:rPr>
        <w:t xml:space="preserve">изованог модела, </w:t>
      </w:r>
      <w:r w:rsidR="00742E84" w:rsidRPr="0052271C">
        <w:rPr>
          <w:rFonts w:eastAsia="Calibri"/>
          <w:lang w:val="sr-Cyrl-RS"/>
        </w:rPr>
        <w:t>због тога што је</w:t>
      </w:r>
      <w:r w:rsidRPr="0052271C">
        <w:rPr>
          <w:rFonts w:eastAsia="Calibri"/>
          <w:lang w:val="sr-Cyrl-RS"/>
        </w:rPr>
        <w:t xml:space="preserve"> процес дефинисања </w:t>
      </w:r>
      <w:r w:rsidR="00C8280D" w:rsidRPr="0052271C">
        <w:rPr>
          <w:rFonts w:eastAsia="Calibri"/>
          <w:lang w:val="sr-Cyrl-RS"/>
        </w:rPr>
        <w:t xml:space="preserve">политике државног власништва </w:t>
      </w:r>
      <w:r w:rsidR="004D5BB0" w:rsidRPr="0052271C">
        <w:rPr>
          <w:rFonts w:eastAsia="Calibri"/>
          <w:lang w:val="sr-Cyrl-RS"/>
        </w:rPr>
        <w:t>једноставнији</w:t>
      </w:r>
      <w:r w:rsidR="00C8280D" w:rsidRPr="0052271C">
        <w:rPr>
          <w:rFonts w:eastAsia="Calibri"/>
          <w:lang w:val="sr-Cyrl-RS"/>
        </w:rPr>
        <w:t xml:space="preserve"> када је носилац права власништва</w:t>
      </w:r>
      <w:r w:rsidRPr="0052271C">
        <w:rPr>
          <w:rFonts w:eastAsia="Calibri"/>
          <w:lang w:val="sr-Cyrl-RS"/>
        </w:rPr>
        <w:t xml:space="preserve"> централизовани државни орган који усмерава и управља процесом развоја власничке политике. </w:t>
      </w:r>
    </w:p>
    <w:p w14:paraId="52677224" w14:textId="722A1504" w:rsidR="00A90441" w:rsidRPr="0052271C" w:rsidRDefault="00836C5B" w:rsidP="00B5611C">
      <w:pPr>
        <w:spacing w:line="276" w:lineRule="auto"/>
        <w:ind w:firstLine="567"/>
        <w:contextualSpacing/>
        <w:jc w:val="both"/>
        <w:rPr>
          <w:rFonts w:eastAsia="Calibri"/>
          <w:lang w:val="sr-Cyrl-RS"/>
        </w:rPr>
      </w:pPr>
      <w:r w:rsidRPr="0052271C">
        <w:rPr>
          <w:rFonts w:eastAsia="Calibri"/>
          <w:lang w:val="sr-Cyrl-RS"/>
        </w:rPr>
        <w:t>К</w:t>
      </w:r>
      <w:r w:rsidR="00A90441" w:rsidRPr="0052271C">
        <w:rPr>
          <w:rFonts w:eastAsia="Calibri"/>
          <w:lang w:val="sr-Cyrl-RS"/>
        </w:rPr>
        <w:t xml:space="preserve">ада су власничка права подељена на више ресорних министарстава, подршка и управљање процесом могу бити отежани и временски захтевни, нарочито када је неопходна сагласност </w:t>
      </w:r>
      <w:r w:rsidR="00CA4CB5" w:rsidRPr="0052271C">
        <w:rPr>
          <w:rFonts w:eastAsia="Calibri"/>
          <w:lang w:val="sr-Cyrl-RS"/>
        </w:rPr>
        <w:t>Народне скупштине</w:t>
      </w:r>
      <w:r w:rsidR="00A90441" w:rsidRPr="0052271C">
        <w:rPr>
          <w:rFonts w:eastAsia="Calibri"/>
          <w:lang w:val="sr-Cyrl-RS"/>
        </w:rPr>
        <w:t xml:space="preserve">. Развој доследне власничке политике може бити отежан када је портфељ </w:t>
      </w:r>
      <w:r w:rsidR="00204211" w:rsidRPr="0052271C">
        <w:rPr>
          <w:rFonts w:eastAsia="Calibri"/>
          <w:lang w:val="sr-Cyrl-RS"/>
        </w:rPr>
        <w:t>друштава у власништву државе</w:t>
      </w:r>
      <w:r w:rsidR="00A90441" w:rsidRPr="0052271C">
        <w:rPr>
          <w:rFonts w:eastAsia="Calibri"/>
          <w:lang w:val="sr-Cyrl-RS"/>
        </w:rPr>
        <w:t xml:space="preserve"> велики и разноврстан и са много различитих облика организовања.</w:t>
      </w:r>
      <w:r w:rsidR="00A90441" w:rsidRPr="0052271C">
        <w:rPr>
          <w:rStyle w:val="FootnoteReference"/>
          <w:rFonts w:eastAsia="Calibri"/>
          <w:lang w:val="sr-Cyrl-RS"/>
        </w:rPr>
        <w:footnoteReference w:id="3"/>
      </w:r>
    </w:p>
    <w:p w14:paraId="4A2FC576" w14:textId="78DD647C" w:rsidR="00A90441" w:rsidRPr="0052271C" w:rsidRDefault="00C8280D" w:rsidP="00B5611C">
      <w:pPr>
        <w:spacing w:line="276" w:lineRule="auto"/>
        <w:ind w:firstLine="567"/>
        <w:contextualSpacing/>
        <w:jc w:val="both"/>
        <w:rPr>
          <w:rFonts w:eastAsia="Calibri"/>
          <w:lang w:val="sr-Cyrl-RS"/>
        </w:rPr>
      </w:pPr>
      <w:r w:rsidRPr="0052271C">
        <w:rPr>
          <w:rFonts w:eastAsia="Calibri"/>
          <w:lang w:val="sr-Cyrl-RS"/>
        </w:rPr>
        <w:t>Политика државног власништва</w:t>
      </w:r>
      <w:r w:rsidR="00A90441" w:rsidRPr="0052271C">
        <w:rPr>
          <w:rFonts w:eastAsia="Calibri"/>
          <w:lang w:val="sr-Cyrl-RS"/>
        </w:rPr>
        <w:t xml:space="preserve"> у основи даје, између осталог, аргументацију за власништво над</w:t>
      </w:r>
      <w:r w:rsidR="00204211" w:rsidRPr="0052271C">
        <w:rPr>
          <w:rFonts w:eastAsia="Calibri"/>
          <w:lang w:val="sr-Cyrl-RS"/>
        </w:rPr>
        <w:t xml:space="preserve"> друштвима у власништву државе</w:t>
      </w:r>
      <w:r w:rsidR="00A90441" w:rsidRPr="0052271C">
        <w:rPr>
          <w:rFonts w:eastAsia="Calibri"/>
          <w:lang w:val="sr-Cyrl-RS"/>
        </w:rPr>
        <w:t xml:space="preserve"> што значи да се </w:t>
      </w:r>
      <w:r w:rsidRPr="0052271C">
        <w:rPr>
          <w:rFonts w:eastAsia="Calibri"/>
          <w:lang w:val="sr-Cyrl-RS"/>
        </w:rPr>
        <w:t xml:space="preserve">та </w:t>
      </w:r>
      <w:r w:rsidR="00555BB3" w:rsidRPr="0052271C">
        <w:rPr>
          <w:rFonts w:eastAsia="Calibri"/>
          <w:lang w:val="sr-Cyrl-RS"/>
        </w:rPr>
        <w:t xml:space="preserve">аргументација </w:t>
      </w:r>
      <w:r w:rsidR="00A90441" w:rsidRPr="0052271C">
        <w:rPr>
          <w:rFonts w:eastAsia="Calibri"/>
          <w:lang w:val="sr-Cyrl-RS"/>
        </w:rPr>
        <w:t xml:space="preserve">користи да се преко ње објасне разлози због којих је држава </w:t>
      </w:r>
      <w:r w:rsidR="00204211" w:rsidRPr="0052271C">
        <w:rPr>
          <w:rFonts w:eastAsia="Calibri"/>
          <w:lang w:val="sr-Cyrl-RS"/>
        </w:rPr>
        <w:t xml:space="preserve">њихов </w:t>
      </w:r>
      <w:r w:rsidR="00A90441" w:rsidRPr="0052271C">
        <w:rPr>
          <w:rFonts w:eastAsia="Calibri"/>
          <w:lang w:val="sr-Cyrl-RS"/>
        </w:rPr>
        <w:t>власник</w:t>
      </w:r>
      <w:r w:rsidR="00204211" w:rsidRPr="0052271C">
        <w:rPr>
          <w:rFonts w:eastAsia="Calibri"/>
          <w:lang w:val="sr-Cyrl-RS"/>
        </w:rPr>
        <w:t>.</w:t>
      </w:r>
    </w:p>
    <w:p w14:paraId="7FCCD124" w14:textId="5104B13A" w:rsidR="00D972B4" w:rsidRPr="0052271C" w:rsidRDefault="00757C68" w:rsidP="00B16CB6">
      <w:pPr>
        <w:spacing w:line="276" w:lineRule="auto"/>
        <w:ind w:firstLine="567"/>
        <w:contextualSpacing/>
        <w:jc w:val="both"/>
        <w:rPr>
          <w:rFonts w:eastAsia="Calibri"/>
          <w:lang w:val="sr-Cyrl-RS"/>
        </w:rPr>
      </w:pPr>
      <w:r w:rsidRPr="0052271C">
        <w:rPr>
          <w:rStyle w:val="jlqj4b"/>
          <w:lang w:val="sr-Cyrl-RS"/>
        </w:rPr>
        <w:lastRenderedPageBreak/>
        <w:t>Према</w:t>
      </w:r>
      <w:r w:rsidR="00D972B4" w:rsidRPr="0052271C">
        <w:rPr>
          <w:rStyle w:val="jlqj4b"/>
          <w:lang w:val="sr-Cyrl-RS"/>
        </w:rPr>
        <w:t xml:space="preserve"> </w:t>
      </w:r>
      <w:r w:rsidR="00CA4CB5" w:rsidRPr="0052271C">
        <w:rPr>
          <w:rStyle w:val="jlqj4b"/>
          <w:lang w:val="sr-Cyrl-RS"/>
        </w:rPr>
        <w:t>најбољој међународној пракси стратешки документ треба да буде усклађен са принципима</w:t>
      </w:r>
      <w:r w:rsidR="00D972B4" w:rsidRPr="0052271C">
        <w:rPr>
          <w:rStyle w:val="jlqj4b"/>
          <w:lang w:val="sr-Cyrl-RS"/>
        </w:rPr>
        <w:t xml:space="preserve"> </w:t>
      </w:r>
      <w:r w:rsidR="00C11275" w:rsidRPr="0052271C">
        <w:rPr>
          <w:rStyle w:val="jlqj4b"/>
          <w:lang w:val="sr-Cyrl-RS"/>
        </w:rPr>
        <w:t xml:space="preserve">Организације за економску сарадњу и развој (у даљем тексту: </w:t>
      </w:r>
      <w:r w:rsidR="00D972B4" w:rsidRPr="0052271C">
        <w:rPr>
          <w:rStyle w:val="jlqj4b"/>
          <w:lang w:val="sr-Cyrl-RS"/>
        </w:rPr>
        <w:t>ОЕЦД</w:t>
      </w:r>
      <w:r w:rsidR="00C11275" w:rsidRPr="0052271C">
        <w:rPr>
          <w:rStyle w:val="jlqj4b"/>
          <w:lang w:val="sr-Cyrl-RS"/>
        </w:rPr>
        <w:t>)</w:t>
      </w:r>
      <w:r w:rsidR="00043020" w:rsidRPr="0052271C">
        <w:rPr>
          <w:rStyle w:val="FootnoteReference"/>
          <w:lang w:val="sr-Cyrl-RS"/>
        </w:rPr>
        <w:footnoteReference w:id="4"/>
      </w:r>
      <w:r w:rsidR="00D972B4" w:rsidRPr="0052271C">
        <w:rPr>
          <w:rStyle w:val="jlqj4b"/>
          <w:lang w:val="sr-Cyrl-RS"/>
        </w:rPr>
        <w:t xml:space="preserve"> за корпоративно управљање</w:t>
      </w:r>
      <w:r w:rsidR="0012625C" w:rsidRPr="0052271C">
        <w:rPr>
          <w:rStyle w:val="jlqj4b"/>
          <w:lang w:val="sr-Cyrl-RS"/>
        </w:rPr>
        <w:t xml:space="preserve"> друштвима у власништву државе</w:t>
      </w:r>
      <w:r w:rsidR="00D972B4" w:rsidRPr="0052271C">
        <w:rPr>
          <w:lang w:val="sr-Cyrl-RS"/>
        </w:rPr>
        <w:t>.</w:t>
      </w:r>
      <w:r w:rsidR="00D972B4" w:rsidRPr="0052271C">
        <w:rPr>
          <w:rStyle w:val="FootnoteReference"/>
          <w:lang w:val="sr-Cyrl-RS"/>
        </w:rPr>
        <w:footnoteReference w:id="5"/>
      </w:r>
      <w:r w:rsidR="00D972B4" w:rsidRPr="0052271C">
        <w:rPr>
          <w:lang w:val="sr-Cyrl-RS"/>
        </w:rPr>
        <w:t xml:space="preserve"> </w:t>
      </w:r>
    </w:p>
    <w:p w14:paraId="5BA93D28" w14:textId="6E63E0E3" w:rsidR="00B5611C" w:rsidRPr="0052271C" w:rsidRDefault="00A90441" w:rsidP="00B5611C">
      <w:pPr>
        <w:spacing w:line="276" w:lineRule="auto"/>
        <w:ind w:firstLine="567"/>
        <w:contextualSpacing/>
        <w:jc w:val="both"/>
        <w:rPr>
          <w:rFonts w:eastAsia="Calibri"/>
          <w:lang w:val="sr-Cyrl-RS"/>
        </w:rPr>
      </w:pPr>
      <w:r w:rsidRPr="0052271C">
        <w:rPr>
          <w:rFonts w:eastAsia="Calibri"/>
          <w:lang w:val="sr-Cyrl-RS"/>
        </w:rPr>
        <w:t xml:space="preserve">Свака држава утврђује сопствену </w:t>
      </w:r>
      <w:r w:rsidR="00C8280D" w:rsidRPr="0052271C">
        <w:rPr>
          <w:rFonts w:eastAsia="Calibri"/>
          <w:lang w:val="sr-Cyrl-RS"/>
        </w:rPr>
        <w:t>политику државног власништва</w:t>
      </w:r>
      <w:r w:rsidRPr="0052271C">
        <w:rPr>
          <w:rFonts w:eastAsia="Calibri"/>
          <w:lang w:val="sr-Cyrl-RS"/>
        </w:rPr>
        <w:t>, која се заснива на приоритетима земље, њеним економским потребама, и профилу</w:t>
      </w:r>
      <w:r w:rsidR="0012625C" w:rsidRPr="0052271C">
        <w:rPr>
          <w:rFonts w:eastAsia="Calibri"/>
          <w:lang w:val="sr-Cyrl-RS"/>
        </w:rPr>
        <w:t xml:space="preserve"> </w:t>
      </w:r>
      <w:r w:rsidR="0012625C" w:rsidRPr="0052271C">
        <w:rPr>
          <w:rStyle w:val="jlqj4b"/>
          <w:lang w:val="sr-Cyrl-RS"/>
        </w:rPr>
        <w:t>друштава у власништву државе</w:t>
      </w:r>
      <w:r w:rsidRPr="0052271C">
        <w:rPr>
          <w:rFonts w:eastAsia="Calibri"/>
          <w:lang w:val="sr-Cyrl-RS"/>
        </w:rPr>
        <w:t xml:space="preserve">. </w:t>
      </w:r>
    </w:p>
    <w:p w14:paraId="4CCC6B3F" w14:textId="7090B0B3" w:rsidR="00A90441" w:rsidRPr="0052271C" w:rsidRDefault="00A90441" w:rsidP="00B5611C">
      <w:pPr>
        <w:spacing w:line="276" w:lineRule="auto"/>
        <w:ind w:firstLine="567"/>
        <w:contextualSpacing/>
        <w:jc w:val="both"/>
        <w:rPr>
          <w:rFonts w:eastAsia="Calibri"/>
          <w:lang w:val="sr-Cyrl-RS"/>
        </w:rPr>
      </w:pPr>
      <w:r w:rsidRPr="0052271C">
        <w:rPr>
          <w:rFonts w:eastAsia="Calibri"/>
          <w:lang w:val="sr-Cyrl-RS"/>
        </w:rPr>
        <w:t xml:space="preserve">Општи циљеви везани за државну својину </w:t>
      </w:r>
      <w:r w:rsidR="00045E6C" w:rsidRPr="0052271C">
        <w:rPr>
          <w:rFonts w:eastAsia="Calibri"/>
          <w:lang w:val="sr-Cyrl-RS"/>
        </w:rPr>
        <w:t>углавном</w:t>
      </w:r>
      <w:r w:rsidRPr="0052271C">
        <w:rPr>
          <w:rFonts w:eastAsia="Calibri"/>
          <w:lang w:val="sr-Cyrl-RS"/>
        </w:rPr>
        <w:t xml:space="preserve"> припадају једној од следећих категорија: </w:t>
      </w:r>
    </w:p>
    <w:p w14:paraId="593B30C5" w14:textId="77777777" w:rsidR="00A90441" w:rsidRPr="0052271C" w:rsidRDefault="00A90441" w:rsidP="00EE0247">
      <w:pPr>
        <w:pStyle w:val="ListParagraph"/>
        <w:numPr>
          <w:ilvl w:val="0"/>
          <w:numId w:val="8"/>
        </w:numPr>
        <w:spacing w:line="276" w:lineRule="auto"/>
        <w:ind w:left="851" w:hanging="284"/>
        <w:jc w:val="both"/>
        <w:rPr>
          <w:rFonts w:ascii="Times New Roman" w:eastAsia="Calibri" w:hAnsi="Times New Roman"/>
          <w:sz w:val="24"/>
          <w:lang w:val="sr-Cyrl-RS"/>
        </w:rPr>
      </w:pPr>
      <w:r w:rsidRPr="0052271C">
        <w:rPr>
          <w:rFonts w:ascii="Times New Roman" w:eastAsia="Calibri" w:hAnsi="Times New Roman"/>
          <w:sz w:val="24"/>
          <w:lang w:val="sr-Cyrl-RS"/>
        </w:rPr>
        <w:t xml:space="preserve">подршка националним економским и стратешким интересима; </w:t>
      </w:r>
    </w:p>
    <w:p w14:paraId="4ECACA16" w14:textId="14441586" w:rsidR="00A90441" w:rsidRPr="0052271C" w:rsidRDefault="00A90441" w:rsidP="00EE0247">
      <w:pPr>
        <w:pStyle w:val="ListParagraph"/>
        <w:numPr>
          <w:ilvl w:val="0"/>
          <w:numId w:val="8"/>
        </w:numPr>
        <w:spacing w:line="276" w:lineRule="auto"/>
        <w:ind w:left="851" w:hanging="284"/>
        <w:jc w:val="both"/>
        <w:rPr>
          <w:rFonts w:ascii="Times New Roman" w:eastAsia="Calibri" w:hAnsi="Times New Roman"/>
          <w:sz w:val="24"/>
          <w:lang w:val="sr-Cyrl-RS"/>
        </w:rPr>
      </w:pPr>
      <w:r w:rsidRPr="0052271C">
        <w:rPr>
          <w:rFonts w:ascii="Times New Roman" w:eastAsia="Calibri" w:hAnsi="Times New Roman"/>
          <w:sz w:val="24"/>
          <w:lang w:val="sr-Cyrl-RS"/>
        </w:rPr>
        <w:t xml:space="preserve">обезбеђивање континуитета државне својине над </w:t>
      </w:r>
      <w:r w:rsidR="0012625C" w:rsidRPr="0052271C">
        <w:rPr>
          <w:rStyle w:val="jlqj4b"/>
          <w:rFonts w:ascii="Times New Roman" w:hAnsi="Times New Roman"/>
          <w:sz w:val="24"/>
          <w:lang w:val="sr-Cyrl-RS"/>
        </w:rPr>
        <w:t>друштвима у власништву државе</w:t>
      </w:r>
      <w:r w:rsidRPr="0052271C">
        <w:rPr>
          <w:rFonts w:ascii="Times New Roman" w:eastAsia="Calibri" w:hAnsi="Times New Roman"/>
          <w:sz w:val="24"/>
          <w:lang w:val="sr-Cyrl-RS"/>
        </w:rPr>
        <w:t xml:space="preserve">; </w:t>
      </w:r>
    </w:p>
    <w:p w14:paraId="54B783A2" w14:textId="77777777" w:rsidR="00A90441" w:rsidRPr="0052271C" w:rsidRDefault="00A90441" w:rsidP="00EE0247">
      <w:pPr>
        <w:pStyle w:val="ListParagraph"/>
        <w:numPr>
          <w:ilvl w:val="0"/>
          <w:numId w:val="8"/>
        </w:numPr>
        <w:spacing w:line="276" w:lineRule="auto"/>
        <w:ind w:left="851" w:hanging="284"/>
        <w:jc w:val="both"/>
        <w:rPr>
          <w:rFonts w:ascii="Times New Roman" w:eastAsia="Calibri" w:hAnsi="Times New Roman"/>
          <w:sz w:val="24"/>
          <w:lang w:val="sr-Cyrl-RS"/>
        </w:rPr>
      </w:pPr>
      <w:r w:rsidRPr="0052271C">
        <w:rPr>
          <w:rFonts w:ascii="Times New Roman" w:eastAsia="Calibri" w:hAnsi="Times New Roman"/>
          <w:sz w:val="24"/>
          <w:lang w:val="sr-Cyrl-RS"/>
        </w:rPr>
        <w:t xml:space="preserve">снабдевање конкретним производима или услугама који су у јавном интересу (након процене да тржиште не може да обезбеди те робе или услуге); </w:t>
      </w:r>
    </w:p>
    <w:p w14:paraId="1F41CF4C" w14:textId="00E926A1" w:rsidR="00A90441" w:rsidRPr="0052271C" w:rsidRDefault="00A90441" w:rsidP="00EE0247">
      <w:pPr>
        <w:pStyle w:val="ListParagraph"/>
        <w:numPr>
          <w:ilvl w:val="0"/>
          <w:numId w:val="8"/>
        </w:numPr>
        <w:spacing w:line="276" w:lineRule="auto"/>
        <w:ind w:left="851" w:hanging="284"/>
        <w:jc w:val="both"/>
        <w:rPr>
          <w:rFonts w:ascii="Times New Roman" w:eastAsia="Calibri" w:hAnsi="Times New Roman"/>
          <w:sz w:val="24"/>
          <w:lang w:val="sr-Cyrl-RS"/>
        </w:rPr>
      </w:pPr>
      <w:r w:rsidRPr="0052271C">
        <w:rPr>
          <w:rFonts w:ascii="Times New Roman" w:eastAsia="Calibri" w:hAnsi="Times New Roman"/>
          <w:sz w:val="24"/>
          <w:lang w:val="sr-Cyrl-RS"/>
        </w:rPr>
        <w:t>обављање пословних операција у „природној</w:t>
      </w:r>
      <w:r w:rsidR="0061037F" w:rsidRPr="0052271C">
        <w:rPr>
          <w:rFonts w:ascii="Times New Roman" w:eastAsia="Calibri" w:hAnsi="Times New Roman"/>
          <w:sz w:val="24"/>
          <w:lang w:val="sr-Cyrl-RS"/>
        </w:rPr>
        <w:t>ˮ</w:t>
      </w:r>
      <w:r w:rsidRPr="0052271C">
        <w:rPr>
          <w:rFonts w:ascii="Times New Roman" w:eastAsia="Calibri" w:hAnsi="Times New Roman"/>
          <w:sz w:val="24"/>
          <w:lang w:val="sr-Cyrl-RS"/>
        </w:rPr>
        <w:t xml:space="preserve"> монополској ситуацији; </w:t>
      </w:r>
    </w:p>
    <w:p w14:paraId="3ABA4A3C" w14:textId="77777777" w:rsidR="00A90441" w:rsidRPr="0052271C" w:rsidRDefault="00A90441" w:rsidP="00EE0247">
      <w:pPr>
        <w:pStyle w:val="ListParagraph"/>
        <w:numPr>
          <w:ilvl w:val="0"/>
          <w:numId w:val="8"/>
        </w:numPr>
        <w:spacing w:line="276" w:lineRule="auto"/>
        <w:ind w:left="851" w:hanging="284"/>
        <w:jc w:val="both"/>
        <w:rPr>
          <w:rFonts w:ascii="Times New Roman" w:eastAsia="Calibri" w:hAnsi="Times New Roman"/>
          <w:sz w:val="24"/>
          <w:lang w:val="sr-Cyrl-RS"/>
        </w:rPr>
      </w:pPr>
      <w:r w:rsidRPr="0052271C">
        <w:rPr>
          <w:rFonts w:ascii="Times New Roman" w:eastAsia="Calibri" w:hAnsi="Times New Roman"/>
          <w:sz w:val="24"/>
          <w:lang w:val="sr-Cyrl-RS"/>
        </w:rPr>
        <w:t>стварање или одржавање монопола у својини државе када се оцени да тржишна регулација није остварива или да је неефикасна.</w:t>
      </w:r>
      <w:r w:rsidRPr="0052271C">
        <w:rPr>
          <w:rStyle w:val="FootnoteReference"/>
          <w:rFonts w:ascii="Times New Roman" w:eastAsia="Calibri" w:hAnsi="Times New Roman"/>
          <w:sz w:val="24"/>
          <w:lang w:val="sr-Cyrl-RS"/>
        </w:rPr>
        <w:footnoteReference w:id="6"/>
      </w:r>
      <w:r w:rsidRPr="0052271C">
        <w:rPr>
          <w:rFonts w:ascii="Times New Roman" w:eastAsia="Calibri" w:hAnsi="Times New Roman"/>
          <w:sz w:val="24"/>
          <w:lang w:val="sr-Cyrl-RS"/>
        </w:rPr>
        <w:t xml:space="preserve">  </w:t>
      </w:r>
    </w:p>
    <w:p w14:paraId="17BEBF68" w14:textId="77777777" w:rsidR="00A90441" w:rsidRPr="0052271C" w:rsidRDefault="00A90441" w:rsidP="001F7193">
      <w:pPr>
        <w:spacing w:line="276" w:lineRule="auto"/>
        <w:contextualSpacing/>
        <w:jc w:val="both"/>
        <w:rPr>
          <w:rFonts w:eastAsia="Calibri"/>
          <w:color w:val="FF0000"/>
          <w:lang w:val="sr-Cyrl-RS"/>
        </w:rPr>
      </w:pPr>
    </w:p>
    <w:p w14:paraId="79AB945C" w14:textId="77777777" w:rsidR="000D48E0" w:rsidRPr="0052271C" w:rsidRDefault="00A90441" w:rsidP="00B16CB6">
      <w:pPr>
        <w:spacing w:line="276" w:lineRule="auto"/>
        <w:ind w:firstLine="567"/>
        <w:contextualSpacing/>
        <w:jc w:val="both"/>
        <w:rPr>
          <w:rFonts w:eastAsia="Calibri"/>
          <w:lang w:val="sr-Cyrl-RS"/>
        </w:rPr>
      </w:pPr>
      <w:r w:rsidRPr="0052271C">
        <w:rPr>
          <w:rFonts w:eastAsia="Calibri"/>
          <w:lang w:val="sr-Cyrl-RS"/>
        </w:rPr>
        <w:t>У централној и источној Европи само шест земаља (од укупно 20) усвојило</w:t>
      </w:r>
      <w:r w:rsidR="00A76A65" w:rsidRPr="0052271C">
        <w:rPr>
          <w:rFonts w:eastAsia="Calibri"/>
          <w:lang w:val="sr-Cyrl-RS"/>
        </w:rPr>
        <w:t xml:space="preserve"> је документа у којима се утврђује</w:t>
      </w:r>
      <w:r w:rsidRPr="0052271C">
        <w:rPr>
          <w:rFonts w:eastAsia="Calibri"/>
          <w:lang w:val="sr-Cyrl-RS"/>
        </w:rPr>
        <w:t xml:space="preserve"> </w:t>
      </w:r>
      <w:r w:rsidR="00A76A65" w:rsidRPr="0052271C">
        <w:rPr>
          <w:rFonts w:eastAsia="Calibri"/>
          <w:lang w:val="sr-Cyrl-RS"/>
        </w:rPr>
        <w:t>политика</w:t>
      </w:r>
      <w:r w:rsidR="00C8280D" w:rsidRPr="0052271C">
        <w:rPr>
          <w:rFonts w:eastAsia="Calibri"/>
          <w:lang w:val="sr-Cyrl-RS"/>
        </w:rPr>
        <w:t xml:space="preserve"> државног власништва</w:t>
      </w:r>
      <w:r w:rsidRPr="0052271C">
        <w:rPr>
          <w:rFonts w:eastAsia="Calibri"/>
          <w:lang w:val="sr-Cyrl-RS"/>
        </w:rPr>
        <w:t xml:space="preserve">, док је децентрализовани модел својине над </w:t>
      </w:r>
      <w:r w:rsidR="0012625C" w:rsidRPr="0052271C">
        <w:rPr>
          <w:rStyle w:val="jlqj4b"/>
          <w:lang w:val="sr-Cyrl-RS"/>
        </w:rPr>
        <w:t>друштвима у власништву државе</w:t>
      </w:r>
      <w:r w:rsidR="0012625C" w:rsidRPr="0052271C">
        <w:rPr>
          <w:rFonts w:eastAsia="Calibri"/>
          <w:lang w:val="sr-Cyrl-RS"/>
        </w:rPr>
        <w:t xml:space="preserve"> </w:t>
      </w:r>
      <w:r w:rsidRPr="0052271C">
        <w:rPr>
          <w:rFonts w:eastAsia="Calibri"/>
          <w:lang w:val="sr-Cyrl-RS"/>
        </w:rPr>
        <w:t>(у коме ресорна министарства врше власничке функције) и даље доминантан у целом региону и ствара потенцијални сукоб између регулаторних и власничких функција.</w:t>
      </w:r>
      <w:r w:rsidRPr="0052271C">
        <w:rPr>
          <w:rStyle w:val="FootnoteReference"/>
          <w:rFonts w:eastAsia="Calibri"/>
          <w:lang w:val="sr-Cyrl-RS"/>
        </w:rPr>
        <w:footnoteReference w:id="7"/>
      </w:r>
      <w:r w:rsidR="00B16CB6" w:rsidRPr="0052271C">
        <w:rPr>
          <w:rFonts w:eastAsia="Calibri"/>
          <w:lang w:val="sr-Cyrl-RS"/>
        </w:rPr>
        <w:t xml:space="preserve">   </w:t>
      </w:r>
    </w:p>
    <w:p w14:paraId="042B0E50" w14:textId="4F4A8A61" w:rsidR="00A76A65" w:rsidRPr="0052271C" w:rsidRDefault="00B16CB6" w:rsidP="00B16CB6">
      <w:pPr>
        <w:spacing w:line="276" w:lineRule="auto"/>
        <w:ind w:firstLine="567"/>
        <w:contextualSpacing/>
        <w:jc w:val="both"/>
        <w:rPr>
          <w:rFonts w:eastAsia="Calibri"/>
          <w:lang w:val="sr-Cyrl-RS"/>
        </w:rPr>
      </w:pPr>
      <w:r w:rsidRPr="0052271C">
        <w:rPr>
          <w:rFonts w:eastAsia="Calibri"/>
          <w:lang w:val="sr-Cyrl-RS"/>
        </w:rPr>
        <w:t xml:space="preserve"> </w:t>
      </w:r>
    </w:p>
    <w:p w14:paraId="5189B078" w14:textId="1EF46615" w:rsidR="00A76A65" w:rsidRPr="0052271C" w:rsidRDefault="00A76A65" w:rsidP="00E66320">
      <w:pPr>
        <w:pStyle w:val="Heading2"/>
        <w:tabs>
          <w:tab w:val="left" w:pos="284"/>
        </w:tabs>
        <w:ind w:left="0" w:firstLine="0"/>
        <w:jc w:val="center"/>
        <w:rPr>
          <w:rFonts w:ascii="Times New Roman" w:hAnsi="Times New Roman"/>
          <w:b w:val="0"/>
          <w:bCs w:val="0"/>
          <w:i w:val="0"/>
          <w:noProof/>
          <w:sz w:val="24"/>
          <w:lang w:val="sr-Cyrl-RS"/>
        </w:rPr>
      </w:pPr>
      <w:bookmarkStart w:id="16" w:name="_Toc63452445"/>
      <w:bookmarkStart w:id="17" w:name="_Toc63587080"/>
      <w:r w:rsidRPr="0052271C">
        <w:rPr>
          <w:rFonts w:ascii="Times New Roman" w:hAnsi="Times New Roman"/>
          <w:b w:val="0"/>
          <w:bCs w:val="0"/>
          <w:i w:val="0"/>
          <w:noProof/>
          <w:sz w:val="24"/>
          <w:lang w:val="sr-Cyrl-RS"/>
        </w:rPr>
        <w:t>Р</w:t>
      </w:r>
      <w:r w:rsidR="00D93305" w:rsidRPr="0052271C">
        <w:rPr>
          <w:rFonts w:ascii="Times New Roman" w:hAnsi="Times New Roman"/>
          <w:b w:val="0"/>
          <w:bCs w:val="0"/>
          <w:i w:val="0"/>
          <w:noProof/>
          <w:sz w:val="24"/>
          <w:lang w:val="sr-Cyrl-RS"/>
        </w:rPr>
        <w:t>азлози за централизовани систем</w:t>
      </w:r>
      <w:bookmarkEnd w:id="16"/>
      <w:bookmarkEnd w:id="17"/>
    </w:p>
    <w:p w14:paraId="1B78356F" w14:textId="21716D5D" w:rsidR="006E2FAD" w:rsidRPr="0052271C" w:rsidRDefault="006E2FAD" w:rsidP="00D93305">
      <w:pPr>
        <w:spacing w:before="240" w:after="240" w:line="276" w:lineRule="auto"/>
        <w:ind w:firstLine="567"/>
        <w:jc w:val="both"/>
        <w:rPr>
          <w:lang w:val="sr-Cyrl-RS" w:eastAsia="en-US"/>
        </w:rPr>
      </w:pPr>
      <w:r w:rsidRPr="0052271C">
        <w:rPr>
          <w:lang w:val="sr-Cyrl-RS" w:eastAsia="en-US"/>
        </w:rPr>
        <w:t>Смерницама ОЕЦД је дефинисано да „остваривање власничких права треба бити јасно идентификовано у оквиру државне управе</w:t>
      </w:r>
      <w:r w:rsidR="00457093" w:rsidRPr="0052271C">
        <w:rPr>
          <w:lang w:val="sr-Cyrl-RS" w:eastAsia="en-US"/>
        </w:rPr>
        <w:t>ˮ</w:t>
      </w:r>
      <w:r w:rsidRPr="0052271C">
        <w:rPr>
          <w:lang w:val="sr-Cyrl-RS" w:eastAsia="en-US"/>
        </w:rPr>
        <w:t>, по могућности „централизовано у једној власничкој функцији</w:t>
      </w:r>
      <w:r w:rsidR="00457093" w:rsidRPr="0052271C">
        <w:rPr>
          <w:lang w:val="sr-Cyrl-RS" w:eastAsia="en-US"/>
        </w:rPr>
        <w:t>ˮ</w:t>
      </w:r>
      <w:r w:rsidRPr="0052271C">
        <w:rPr>
          <w:lang w:val="sr-Cyrl-RS" w:eastAsia="en-US"/>
        </w:rPr>
        <w:t>.</w:t>
      </w:r>
      <w:r w:rsidRPr="0052271C">
        <w:rPr>
          <w:vertAlign w:val="superscript"/>
          <w:lang w:val="sr-Cyrl-RS" w:eastAsia="en-US"/>
        </w:rPr>
        <w:footnoteReference w:id="8"/>
      </w:r>
      <w:r w:rsidRPr="0052271C">
        <w:rPr>
          <w:lang w:val="sr-Cyrl-RS" w:eastAsia="en-US"/>
        </w:rPr>
        <w:t xml:space="preserve"> Централизовани модели спречавају ситуације у којима </w:t>
      </w:r>
      <w:r w:rsidR="00D330D4" w:rsidRPr="0052271C">
        <w:rPr>
          <w:lang w:val="sr-Cyrl-RS" w:eastAsia="en-US"/>
        </w:rPr>
        <w:t>друштва у власништву државе</w:t>
      </w:r>
      <w:r w:rsidRPr="0052271C">
        <w:rPr>
          <w:lang w:val="sr-Cyrl-RS" w:eastAsia="en-US"/>
        </w:rPr>
        <w:t xml:space="preserve"> имају више власника са различитим и/или контради</w:t>
      </w:r>
      <w:r w:rsidR="00BC050A" w:rsidRPr="0052271C">
        <w:rPr>
          <w:lang w:val="sr-Cyrl-RS" w:eastAsia="en-US"/>
        </w:rPr>
        <w:t>кторним циљевима. Централизовани власнички ентитет</w:t>
      </w:r>
      <w:r w:rsidRPr="0052271C">
        <w:rPr>
          <w:lang w:val="sr-Cyrl-RS" w:eastAsia="en-US"/>
        </w:rPr>
        <w:t xml:space="preserve"> такође омогућава транспарентније системе надзора и евалуације и олакшава спровођење унакрсних политика.</w:t>
      </w:r>
      <w:r w:rsidRPr="0052271C">
        <w:rPr>
          <w:vertAlign w:val="superscript"/>
          <w:lang w:val="sr-Cyrl-RS" w:eastAsia="en-US"/>
        </w:rPr>
        <w:footnoteReference w:id="9"/>
      </w:r>
      <w:r w:rsidRPr="0052271C">
        <w:rPr>
          <w:lang w:val="sr-Cyrl-RS" w:eastAsia="en-US"/>
        </w:rPr>
        <w:t xml:space="preserve"> </w:t>
      </w:r>
    </w:p>
    <w:p w14:paraId="20EB47C7" w14:textId="77777777" w:rsidR="00AD1E46" w:rsidRPr="0052271C" w:rsidRDefault="00AD1E46" w:rsidP="00D93305">
      <w:pPr>
        <w:spacing w:before="240" w:after="240" w:line="276" w:lineRule="auto"/>
        <w:ind w:firstLine="567"/>
        <w:jc w:val="both"/>
        <w:rPr>
          <w:lang w:val="sr-Cyrl-RS" w:eastAsia="en-US"/>
        </w:rPr>
      </w:pPr>
    </w:p>
    <w:p w14:paraId="38584608" w14:textId="391E40FC" w:rsidR="00DA3FE0" w:rsidRPr="0052271C" w:rsidRDefault="00A76A65" w:rsidP="00D93305">
      <w:pPr>
        <w:spacing w:line="276" w:lineRule="auto"/>
        <w:ind w:firstLine="567"/>
        <w:contextualSpacing/>
        <w:jc w:val="both"/>
        <w:rPr>
          <w:rFonts w:eastAsia="Calibri"/>
          <w:kern w:val="24"/>
          <w:lang w:val="sr-Cyrl-RS"/>
        </w:rPr>
      </w:pPr>
      <w:r w:rsidRPr="0052271C">
        <w:rPr>
          <w:rFonts w:eastAsia="Calibri"/>
          <w:lang w:val="sr-Cyrl-RS"/>
        </w:rPr>
        <w:lastRenderedPageBreak/>
        <w:t xml:space="preserve">Уважавајући наведене смернице ОЕЦД и </w:t>
      </w:r>
      <w:r w:rsidR="00A90441" w:rsidRPr="0052271C">
        <w:rPr>
          <w:rFonts w:eastAsia="Calibri"/>
          <w:lang w:val="sr-Cyrl-RS"/>
        </w:rPr>
        <w:t>најновије критеријуме</w:t>
      </w:r>
      <w:r w:rsidR="00045E6C" w:rsidRPr="0052271C">
        <w:rPr>
          <w:rStyle w:val="FootnoteReference"/>
          <w:rFonts w:eastAsia="Calibri"/>
          <w:lang w:val="sr-Cyrl-RS"/>
        </w:rPr>
        <w:footnoteReference w:id="10"/>
      </w:r>
      <w:r w:rsidR="00A90441" w:rsidRPr="0052271C">
        <w:rPr>
          <w:rFonts w:eastAsia="Calibri"/>
          <w:lang w:val="sr-Cyrl-RS"/>
        </w:rPr>
        <w:t xml:space="preserve"> М</w:t>
      </w:r>
      <w:r w:rsidR="00457093" w:rsidRPr="0052271C">
        <w:rPr>
          <w:rFonts w:eastAsia="Calibri"/>
          <w:lang w:val="sr-Cyrl-RS"/>
        </w:rPr>
        <w:t>еђународног монетарног фонда</w:t>
      </w:r>
      <w:r w:rsidR="00A90441" w:rsidRPr="0052271C">
        <w:rPr>
          <w:rFonts w:eastAsia="Calibri"/>
          <w:lang w:val="sr-Cyrl-RS"/>
        </w:rPr>
        <w:t>,</w:t>
      </w:r>
      <w:r w:rsidR="00A90441" w:rsidRPr="0052271C">
        <w:rPr>
          <w:rStyle w:val="FootnoteReference"/>
          <w:rFonts w:eastAsia="Calibri"/>
          <w:lang w:val="sr-Cyrl-RS"/>
        </w:rPr>
        <w:footnoteReference w:id="11"/>
      </w:r>
      <w:r w:rsidR="00A90441" w:rsidRPr="0052271C">
        <w:rPr>
          <w:rFonts w:eastAsia="Calibri"/>
          <w:lang w:val="sr-Cyrl-RS"/>
        </w:rPr>
        <w:t xml:space="preserve"> </w:t>
      </w:r>
      <w:r w:rsidR="0012625C" w:rsidRPr="0052271C">
        <w:rPr>
          <w:lang w:val="sr-Cyrl-RS"/>
        </w:rPr>
        <w:t>опредељење Републике Србије је централизовани систем управљања ПСРС</w:t>
      </w:r>
      <w:r w:rsidR="00C71A08" w:rsidRPr="0052271C">
        <w:rPr>
          <w:lang w:val="sr-Cyrl-RS"/>
        </w:rPr>
        <w:t>, уз изузетак за ПСРС за које је транспонованим прописима Е</w:t>
      </w:r>
      <w:r w:rsidR="00946EE1" w:rsidRPr="0052271C">
        <w:rPr>
          <w:lang w:val="sr-Cyrl-RS"/>
        </w:rPr>
        <w:t>вропске уније</w:t>
      </w:r>
      <w:r w:rsidR="00C71A08" w:rsidRPr="0052271C">
        <w:rPr>
          <w:lang w:val="sr-Cyrl-RS"/>
        </w:rPr>
        <w:t xml:space="preserve"> утврђено да њима не може управљати исти државни орган као што је случај у </w:t>
      </w:r>
      <w:r w:rsidR="00407765" w:rsidRPr="0052271C">
        <w:rPr>
          <w:lang w:val="sr-Cyrl-RS"/>
        </w:rPr>
        <w:t>прописима</w:t>
      </w:r>
      <w:r w:rsidR="00C71A08" w:rsidRPr="0052271C">
        <w:rPr>
          <w:lang w:val="sr-Cyrl-RS"/>
        </w:rPr>
        <w:t xml:space="preserve"> Е</w:t>
      </w:r>
      <w:r w:rsidR="00946EE1" w:rsidRPr="0052271C">
        <w:rPr>
          <w:lang w:val="sr-Cyrl-RS"/>
        </w:rPr>
        <w:t>вропске уније</w:t>
      </w:r>
      <w:r w:rsidR="00C71A08" w:rsidRPr="0052271C">
        <w:rPr>
          <w:lang w:val="sr-Cyrl-RS"/>
        </w:rPr>
        <w:t xml:space="preserve"> који се однос</w:t>
      </w:r>
      <w:r w:rsidR="00946EE1" w:rsidRPr="0052271C">
        <w:rPr>
          <w:lang w:val="sr-Cyrl-RS"/>
        </w:rPr>
        <w:t>е</w:t>
      </w:r>
      <w:r w:rsidR="00C71A08" w:rsidRPr="0052271C">
        <w:rPr>
          <w:lang w:val="sr-Cyrl-RS"/>
        </w:rPr>
        <w:t xml:space="preserve"> на енергетику: Директива 2009/72 ЕЗ о заједничким правилима за унутрашње тржиште електричне енергије, Уредба ЕЗ број 714/2009 Европског </w:t>
      </w:r>
      <w:r w:rsidR="00407765" w:rsidRPr="0052271C">
        <w:rPr>
          <w:lang w:val="sr-Cyrl-RS"/>
        </w:rPr>
        <w:t>парламента</w:t>
      </w:r>
      <w:r w:rsidR="00C71A08" w:rsidRPr="0052271C">
        <w:rPr>
          <w:lang w:val="sr-Cyrl-RS"/>
        </w:rPr>
        <w:t xml:space="preserve"> и већа о условима за приступ мрежи за прекограничну размену електричне енергије и Уредба и Директива број 2009/73 о заједничким  правилима за унутрашње тржиште природног гас</w:t>
      </w:r>
      <w:r w:rsidR="00946EE1" w:rsidRPr="0052271C">
        <w:rPr>
          <w:lang w:val="sr-Cyrl-RS"/>
        </w:rPr>
        <w:t>а</w:t>
      </w:r>
      <w:r w:rsidR="00C71A08" w:rsidRPr="0052271C">
        <w:rPr>
          <w:lang w:val="sr-Cyrl-RS"/>
        </w:rPr>
        <w:t>. Због захтева правних тековина Е</w:t>
      </w:r>
      <w:r w:rsidR="00946EE1" w:rsidRPr="0052271C">
        <w:rPr>
          <w:lang w:val="sr-Cyrl-RS"/>
        </w:rPr>
        <w:t>вропске уније</w:t>
      </w:r>
      <w:r w:rsidR="00C71A08" w:rsidRPr="0052271C">
        <w:rPr>
          <w:lang w:val="sr-Cyrl-RS"/>
        </w:rPr>
        <w:t xml:space="preserve"> у области струје и гаса,  у области енергетике друго надлежно министарство ће бити </w:t>
      </w:r>
      <w:r w:rsidR="005D3031" w:rsidRPr="0052271C">
        <w:rPr>
          <w:lang w:val="sr-Cyrl-RS"/>
        </w:rPr>
        <w:t>министарство надлежно за послове енергетике</w:t>
      </w:r>
      <w:r w:rsidR="00C71A08" w:rsidRPr="0052271C">
        <w:rPr>
          <w:lang w:val="sr-Cyrl-RS"/>
        </w:rPr>
        <w:t>,</w:t>
      </w:r>
      <w:r w:rsidR="0012625C" w:rsidRPr="0052271C">
        <w:rPr>
          <w:lang w:val="sr-Cyrl-RS"/>
        </w:rPr>
        <w:t xml:space="preserve"> </w:t>
      </w:r>
      <w:r w:rsidRPr="0052271C">
        <w:rPr>
          <w:lang w:val="sr-Cyrl-RS"/>
        </w:rPr>
        <w:t xml:space="preserve">у циљу делотворнијег и ефикаснијег </w:t>
      </w:r>
      <w:r w:rsidR="00A90441" w:rsidRPr="0052271C">
        <w:rPr>
          <w:lang w:val="sr-Cyrl-RS"/>
        </w:rPr>
        <w:t>уп</w:t>
      </w:r>
      <w:r w:rsidRPr="0052271C">
        <w:rPr>
          <w:lang w:val="sr-Cyrl-RS"/>
        </w:rPr>
        <w:t>рављања</w:t>
      </w:r>
      <w:r w:rsidR="008D3898" w:rsidRPr="0052271C">
        <w:rPr>
          <w:lang w:val="sr-Cyrl-RS"/>
        </w:rPr>
        <w:t xml:space="preserve"> над њима.</w:t>
      </w:r>
    </w:p>
    <w:p w14:paraId="5251BF1D" w14:textId="0351CED9" w:rsidR="00DA3FE0" w:rsidRPr="0052271C" w:rsidRDefault="00961531" w:rsidP="00D93305">
      <w:pPr>
        <w:spacing w:line="276" w:lineRule="auto"/>
        <w:ind w:firstLine="567"/>
        <w:contextualSpacing/>
        <w:jc w:val="both"/>
        <w:rPr>
          <w:lang w:val="sr-Cyrl-RS"/>
        </w:rPr>
      </w:pPr>
      <w:r w:rsidRPr="0052271C">
        <w:rPr>
          <w:lang w:val="sr-Cyrl-RS"/>
        </w:rPr>
        <w:t>Неопходно</w:t>
      </w:r>
      <w:r w:rsidR="00DA3FE0" w:rsidRPr="0052271C">
        <w:rPr>
          <w:lang w:val="sr-Cyrl-RS"/>
        </w:rPr>
        <w:t xml:space="preserve"> </w:t>
      </w:r>
      <w:r w:rsidRPr="0052271C">
        <w:rPr>
          <w:lang w:val="sr-Cyrl-RS"/>
        </w:rPr>
        <w:t>је</w:t>
      </w:r>
      <w:r w:rsidR="00DA3FE0" w:rsidRPr="0052271C">
        <w:rPr>
          <w:lang w:val="sr-Cyrl-RS"/>
        </w:rPr>
        <w:t xml:space="preserve"> </w:t>
      </w:r>
      <w:r w:rsidRPr="0052271C">
        <w:rPr>
          <w:lang w:val="sr-Cyrl-RS"/>
        </w:rPr>
        <w:t>да</w:t>
      </w:r>
      <w:r w:rsidR="00DA3FE0" w:rsidRPr="0052271C">
        <w:rPr>
          <w:lang w:val="sr-Cyrl-RS"/>
        </w:rPr>
        <w:t xml:space="preserve"> </w:t>
      </w:r>
      <w:r w:rsidRPr="0052271C">
        <w:rPr>
          <w:lang w:val="sr-Cyrl-RS"/>
        </w:rPr>
        <w:t>се</w:t>
      </w:r>
      <w:r w:rsidR="00DA3FE0" w:rsidRPr="0052271C">
        <w:rPr>
          <w:lang w:val="sr-Cyrl-RS"/>
        </w:rPr>
        <w:t xml:space="preserve"> </w:t>
      </w:r>
      <w:r w:rsidRPr="0052271C">
        <w:rPr>
          <w:lang w:val="sr-Cyrl-RS"/>
        </w:rPr>
        <w:t>потпуно</w:t>
      </w:r>
      <w:r w:rsidR="00DA3FE0" w:rsidRPr="0052271C">
        <w:rPr>
          <w:lang w:val="sr-Cyrl-RS"/>
        </w:rPr>
        <w:t xml:space="preserve"> </w:t>
      </w:r>
      <w:r w:rsidRPr="0052271C">
        <w:rPr>
          <w:lang w:val="sr-Cyrl-RS"/>
        </w:rPr>
        <w:t>раздвоји</w:t>
      </w:r>
      <w:r w:rsidR="00DA3FE0" w:rsidRPr="0052271C">
        <w:rPr>
          <w:lang w:val="sr-Cyrl-RS"/>
        </w:rPr>
        <w:t xml:space="preserve"> </w:t>
      </w:r>
      <w:r w:rsidRPr="0052271C">
        <w:rPr>
          <w:lang w:val="sr-Cyrl-RS"/>
        </w:rPr>
        <w:t>улога</w:t>
      </w:r>
      <w:r w:rsidR="00DA3FE0" w:rsidRPr="0052271C">
        <w:rPr>
          <w:lang w:val="sr-Cyrl-RS"/>
        </w:rPr>
        <w:t xml:space="preserve"> </w:t>
      </w:r>
      <w:r w:rsidRPr="0052271C">
        <w:rPr>
          <w:lang w:val="sr-Cyrl-RS"/>
        </w:rPr>
        <w:t>државе</w:t>
      </w:r>
      <w:r w:rsidR="00DA3FE0" w:rsidRPr="0052271C">
        <w:rPr>
          <w:lang w:val="sr-Cyrl-RS"/>
        </w:rPr>
        <w:t xml:space="preserve"> </w:t>
      </w:r>
      <w:r w:rsidRPr="0052271C">
        <w:rPr>
          <w:lang w:val="sr-Cyrl-RS"/>
        </w:rPr>
        <w:t>као</w:t>
      </w:r>
      <w:r w:rsidR="00DA3FE0" w:rsidRPr="0052271C">
        <w:rPr>
          <w:lang w:val="sr-Cyrl-RS"/>
        </w:rPr>
        <w:t xml:space="preserve"> </w:t>
      </w:r>
      <w:r w:rsidRPr="0052271C">
        <w:rPr>
          <w:lang w:val="sr-Cyrl-RS"/>
        </w:rPr>
        <w:t>регулатора</w:t>
      </w:r>
      <w:r w:rsidR="00DA3FE0" w:rsidRPr="0052271C">
        <w:rPr>
          <w:lang w:val="sr-Cyrl-RS"/>
        </w:rPr>
        <w:t xml:space="preserve"> </w:t>
      </w:r>
      <w:r w:rsidRPr="0052271C">
        <w:rPr>
          <w:lang w:val="sr-Cyrl-RS"/>
        </w:rPr>
        <w:t>тржишта</w:t>
      </w:r>
      <w:r w:rsidR="00DA3FE0" w:rsidRPr="0052271C">
        <w:rPr>
          <w:lang w:val="sr-Cyrl-RS"/>
        </w:rPr>
        <w:t xml:space="preserve"> </w:t>
      </w:r>
      <w:r w:rsidRPr="0052271C">
        <w:rPr>
          <w:lang w:val="sr-Cyrl-RS"/>
        </w:rPr>
        <w:t>и</w:t>
      </w:r>
      <w:r w:rsidR="00DA3FE0" w:rsidRPr="0052271C">
        <w:rPr>
          <w:lang w:val="sr-Cyrl-RS"/>
        </w:rPr>
        <w:t xml:space="preserve"> </w:t>
      </w:r>
      <w:r w:rsidRPr="0052271C">
        <w:rPr>
          <w:lang w:val="sr-Cyrl-RS"/>
        </w:rPr>
        <w:t>улога</w:t>
      </w:r>
      <w:r w:rsidR="00DA3FE0" w:rsidRPr="0052271C">
        <w:rPr>
          <w:lang w:val="sr-Cyrl-RS"/>
        </w:rPr>
        <w:t xml:space="preserve"> </w:t>
      </w:r>
      <w:r w:rsidRPr="0052271C">
        <w:rPr>
          <w:lang w:val="sr-Cyrl-RS"/>
        </w:rPr>
        <w:t>државе</w:t>
      </w:r>
      <w:r w:rsidR="00DA3FE0" w:rsidRPr="0052271C">
        <w:rPr>
          <w:lang w:val="sr-Cyrl-RS"/>
        </w:rPr>
        <w:t xml:space="preserve"> </w:t>
      </w:r>
      <w:r w:rsidRPr="0052271C">
        <w:rPr>
          <w:lang w:val="sr-Cyrl-RS"/>
        </w:rPr>
        <w:t>као</w:t>
      </w:r>
      <w:r w:rsidR="00DA3FE0" w:rsidRPr="0052271C">
        <w:rPr>
          <w:lang w:val="sr-Cyrl-RS"/>
        </w:rPr>
        <w:t xml:space="preserve"> </w:t>
      </w:r>
      <w:r w:rsidRPr="0052271C">
        <w:rPr>
          <w:lang w:val="sr-Cyrl-RS"/>
        </w:rPr>
        <w:t>члана</w:t>
      </w:r>
      <w:r w:rsidR="00DA3FE0" w:rsidRPr="0052271C">
        <w:rPr>
          <w:lang w:val="sr-Cyrl-RS"/>
        </w:rPr>
        <w:t xml:space="preserve"> </w:t>
      </w:r>
      <w:r w:rsidRPr="0052271C">
        <w:rPr>
          <w:lang w:val="sr-Cyrl-RS"/>
        </w:rPr>
        <w:t>друштава</w:t>
      </w:r>
      <w:r w:rsidR="00DA3FE0" w:rsidRPr="0052271C">
        <w:rPr>
          <w:lang w:val="sr-Cyrl-RS"/>
        </w:rPr>
        <w:t xml:space="preserve"> </w:t>
      </w:r>
      <w:r w:rsidRPr="0052271C">
        <w:rPr>
          <w:lang w:val="sr-Cyrl-RS"/>
        </w:rPr>
        <w:t>да</w:t>
      </w:r>
      <w:r w:rsidR="00DA3FE0" w:rsidRPr="0052271C">
        <w:rPr>
          <w:lang w:val="sr-Cyrl-RS"/>
        </w:rPr>
        <w:t xml:space="preserve"> </w:t>
      </w:r>
      <w:r w:rsidRPr="0052271C">
        <w:rPr>
          <w:lang w:val="sr-Cyrl-RS"/>
        </w:rPr>
        <w:t>би</w:t>
      </w:r>
      <w:r w:rsidR="00DA3FE0" w:rsidRPr="0052271C">
        <w:rPr>
          <w:lang w:val="sr-Cyrl-RS"/>
        </w:rPr>
        <w:t xml:space="preserve"> </w:t>
      </w:r>
      <w:r w:rsidRPr="0052271C">
        <w:rPr>
          <w:lang w:val="sr-Cyrl-RS"/>
        </w:rPr>
        <w:t>се</w:t>
      </w:r>
      <w:r w:rsidR="00DA3FE0" w:rsidRPr="0052271C">
        <w:rPr>
          <w:lang w:val="sr-Cyrl-RS"/>
        </w:rPr>
        <w:t xml:space="preserve"> </w:t>
      </w:r>
      <w:r w:rsidRPr="0052271C">
        <w:rPr>
          <w:lang w:val="sr-Cyrl-RS"/>
        </w:rPr>
        <w:t>избегли</w:t>
      </w:r>
      <w:r w:rsidR="00DA3FE0" w:rsidRPr="0052271C">
        <w:rPr>
          <w:lang w:val="sr-Cyrl-RS"/>
        </w:rPr>
        <w:t xml:space="preserve"> </w:t>
      </w:r>
      <w:r w:rsidRPr="0052271C">
        <w:rPr>
          <w:lang w:val="sr-Cyrl-RS"/>
        </w:rPr>
        <w:t>тржишни</w:t>
      </w:r>
      <w:r w:rsidR="00DA3FE0" w:rsidRPr="0052271C">
        <w:rPr>
          <w:lang w:val="sr-Cyrl-RS"/>
        </w:rPr>
        <w:t xml:space="preserve"> </w:t>
      </w:r>
      <w:r w:rsidRPr="0052271C">
        <w:rPr>
          <w:lang w:val="sr-Cyrl-RS"/>
        </w:rPr>
        <w:t>поремећаји</w:t>
      </w:r>
      <w:r w:rsidR="00DA3FE0" w:rsidRPr="0052271C">
        <w:rPr>
          <w:lang w:val="sr-Cyrl-RS"/>
        </w:rPr>
        <w:t xml:space="preserve"> </w:t>
      </w:r>
      <w:r w:rsidRPr="0052271C">
        <w:rPr>
          <w:lang w:val="sr-Cyrl-RS"/>
        </w:rPr>
        <w:t>и</w:t>
      </w:r>
      <w:r w:rsidR="00DA3FE0" w:rsidRPr="0052271C">
        <w:rPr>
          <w:lang w:val="sr-Cyrl-RS"/>
        </w:rPr>
        <w:t xml:space="preserve"> </w:t>
      </w:r>
      <w:r w:rsidRPr="0052271C">
        <w:rPr>
          <w:lang w:val="sr-Cyrl-RS"/>
        </w:rPr>
        <w:t>да</w:t>
      </w:r>
      <w:r w:rsidR="00DA3FE0" w:rsidRPr="0052271C">
        <w:rPr>
          <w:lang w:val="sr-Cyrl-RS"/>
        </w:rPr>
        <w:t xml:space="preserve"> </w:t>
      </w:r>
      <w:r w:rsidRPr="0052271C">
        <w:rPr>
          <w:lang w:val="sr-Cyrl-RS"/>
        </w:rPr>
        <w:t>би</w:t>
      </w:r>
      <w:r w:rsidR="00DA3FE0" w:rsidRPr="0052271C">
        <w:rPr>
          <w:lang w:val="sr-Cyrl-RS"/>
        </w:rPr>
        <w:t xml:space="preserve"> </w:t>
      </w:r>
      <w:r w:rsidRPr="0052271C">
        <w:rPr>
          <w:lang w:val="sr-Cyrl-RS"/>
        </w:rPr>
        <w:t>се</w:t>
      </w:r>
      <w:r w:rsidR="00DA3FE0" w:rsidRPr="0052271C">
        <w:rPr>
          <w:lang w:val="sr-Cyrl-RS"/>
        </w:rPr>
        <w:t xml:space="preserve"> </w:t>
      </w:r>
      <w:r w:rsidRPr="0052271C">
        <w:rPr>
          <w:lang w:val="sr-Cyrl-RS"/>
        </w:rPr>
        <w:t>омогућила</w:t>
      </w:r>
      <w:r w:rsidR="00DA3FE0" w:rsidRPr="0052271C">
        <w:rPr>
          <w:lang w:val="sr-Cyrl-RS"/>
        </w:rPr>
        <w:t xml:space="preserve"> </w:t>
      </w:r>
      <w:r w:rsidRPr="0052271C">
        <w:rPr>
          <w:lang w:val="sr-Cyrl-RS"/>
        </w:rPr>
        <w:t>ефикасна</w:t>
      </w:r>
      <w:r w:rsidR="00DA3FE0" w:rsidRPr="0052271C">
        <w:rPr>
          <w:lang w:val="sr-Cyrl-RS"/>
        </w:rPr>
        <w:t xml:space="preserve"> </w:t>
      </w:r>
      <w:r w:rsidRPr="0052271C">
        <w:rPr>
          <w:lang w:val="sr-Cyrl-RS"/>
        </w:rPr>
        <w:t>тржишна</w:t>
      </w:r>
      <w:r w:rsidR="00DA3FE0" w:rsidRPr="0052271C">
        <w:rPr>
          <w:lang w:val="sr-Cyrl-RS"/>
        </w:rPr>
        <w:t xml:space="preserve"> </w:t>
      </w:r>
      <w:r w:rsidRPr="0052271C">
        <w:rPr>
          <w:lang w:val="sr-Cyrl-RS"/>
        </w:rPr>
        <w:t>утакмица</w:t>
      </w:r>
      <w:r w:rsidR="00DA3FE0" w:rsidRPr="0052271C">
        <w:rPr>
          <w:lang w:val="sr-Cyrl-RS"/>
        </w:rPr>
        <w:t xml:space="preserve"> </w:t>
      </w:r>
      <w:r w:rsidRPr="0052271C">
        <w:rPr>
          <w:lang w:val="sr-Cyrl-RS"/>
        </w:rPr>
        <w:t>са</w:t>
      </w:r>
      <w:r w:rsidR="00DA3FE0" w:rsidRPr="0052271C">
        <w:rPr>
          <w:lang w:val="sr-Cyrl-RS"/>
        </w:rPr>
        <w:t xml:space="preserve"> </w:t>
      </w:r>
      <w:r w:rsidRPr="0052271C">
        <w:rPr>
          <w:lang w:val="sr-Cyrl-RS"/>
        </w:rPr>
        <w:t>приватним</w:t>
      </w:r>
      <w:r w:rsidR="00DA3FE0" w:rsidRPr="0052271C">
        <w:rPr>
          <w:lang w:val="sr-Cyrl-RS"/>
        </w:rPr>
        <w:t xml:space="preserve"> </w:t>
      </w:r>
      <w:r w:rsidRPr="0052271C">
        <w:rPr>
          <w:lang w:val="sr-Cyrl-RS"/>
        </w:rPr>
        <w:t>сектором</w:t>
      </w:r>
      <w:r w:rsidR="00DA3FE0" w:rsidRPr="0052271C">
        <w:rPr>
          <w:lang w:val="sr-Cyrl-RS"/>
        </w:rPr>
        <w:t xml:space="preserve">. </w:t>
      </w:r>
      <w:r w:rsidRPr="0052271C">
        <w:rPr>
          <w:lang w:val="sr-Cyrl-RS"/>
        </w:rPr>
        <w:t>Држава</w:t>
      </w:r>
      <w:r w:rsidR="00DA3FE0" w:rsidRPr="0052271C">
        <w:rPr>
          <w:lang w:val="sr-Cyrl-RS"/>
        </w:rPr>
        <w:t xml:space="preserve"> </w:t>
      </w:r>
      <w:r w:rsidRPr="0052271C">
        <w:rPr>
          <w:lang w:val="sr-Cyrl-RS"/>
        </w:rPr>
        <w:t>треба</w:t>
      </w:r>
      <w:r w:rsidR="00DA3FE0" w:rsidRPr="0052271C">
        <w:rPr>
          <w:lang w:val="sr-Cyrl-RS"/>
        </w:rPr>
        <w:t xml:space="preserve"> </w:t>
      </w:r>
      <w:r w:rsidRPr="0052271C">
        <w:rPr>
          <w:lang w:val="sr-Cyrl-RS"/>
        </w:rPr>
        <w:t>да</w:t>
      </w:r>
      <w:r w:rsidR="00DA3FE0" w:rsidRPr="0052271C">
        <w:rPr>
          <w:lang w:val="sr-Cyrl-RS"/>
        </w:rPr>
        <w:t xml:space="preserve"> </w:t>
      </w:r>
      <w:r w:rsidRPr="0052271C">
        <w:rPr>
          <w:lang w:val="sr-Cyrl-RS"/>
        </w:rPr>
        <w:t>развије</w:t>
      </w:r>
      <w:r w:rsidR="00DA3FE0" w:rsidRPr="0052271C">
        <w:rPr>
          <w:lang w:val="sr-Cyrl-RS"/>
        </w:rPr>
        <w:t xml:space="preserve"> </w:t>
      </w:r>
      <w:r w:rsidRPr="0052271C">
        <w:rPr>
          <w:lang w:val="sr-Cyrl-RS"/>
        </w:rPr>
        <w:t>власничку</w:t>
      </w:r>
      <w:r w:rsidR="00DA3FE0" w:rsidRPr="0052271C">
        <w:rPr>
          <w:lang w:val="sr-Cyrl-RS"/>
        </w:rPr>
        <w:t xml:space="preserve"> </w:t>
      </w:r>
      <w:r w:rsidRPr="0052271C">
        <w:rPr>
          <w:lang w:val="sr-Cyrl-RS"/>
        </w:rPr>
        <w:t>политику</w:t>
      </w:r>
      <w:r w:rsidR="00DA3FE0" w:rsidRPr="0052271C">
        <w:rPr>
          <w:lang w:val="sr-Cyrl-RS"/>
        </w:rPr>
        <w:t xml:space="preserve"> </w:t>
      </w:r>
      <w:r w:rsidRPr="0052271C">
        <w:rPr>
          <w:lang w:val="sr-Cyrl-RS"/>
        </w:rPr>
        <w:t>која</w:t>
      </w:r>
      <w:r w:rsidR="00DA3FE0" w:rsidRPr="0052271C">
        <w:rPr>
          <w:lang w:val="sr-Cyrl-RS"/>
        </w:rPr>
        <w:t xml:space="preserve"> </w:t>
      </w:r>
      <w:r w:rsidRPr="0052271C">
        <w:rPr>
          <w:lang w:val="sr-Cyrl-RS"/>
        </w:rPr>
        <w:t>би</w:t>
      </w:r>
      <w:r w:rsidR="00DA3FE0" w:rsidRPr="0052271C">
        <w:rPr>
          <w:lang w:val="sr-Cyrl-RS"/>
        </w:rPr>
        <w:t xml:space="preserve"> </w:t>
      </w:r>
      <w:r w:rsidRPr="0052271C">
        <w:rPr>
          <w:lang w:val="sr-Cyrl-RS"/>
        </w:rPr>
        <w:t>дефинисала</w:t>
      </w:r>
      <w:r w:rsidR="00DA3FE0" w:rsidRPr="0052271C">
        <w:rPr>
          <w:lang w:val="sr-Cyrl-RS"/>
        </w:rPr>
        <w:t xml:space="preserve"> </w:t>
      </w:r>
      <w:r w:rsidRPr="0052271C">
        <w:rPr>
          <w:lang w:val="sr-Cyrl-RS"/>
        </w:rPr>
        <w:t>оправдање</w:t>
      </w:r>
      <w:r w:rsidR="00DA3FE0" w:rsidRPr="0052271C">
        <w:rPr>
          <w:lang w:val="sr-Cyrl-RS"/>
        </w:rPr>
        <w:t xml:space="preserve"> </w:t>
      </w:r>
      <w:r w:rsidRPr="0052271C">
        <w:rPr>
          <w:lang w:val="sr-Cyrl-RS"/>
        </w:rPr>
        <w:t>и</w:t>
      </w:r>
      <w:r w:rsidR="00DA3FE0" w:rsidRPr="0052271C">
        <w:rPr>
          <w:lang w:val="sr-Cyrl-RS"/>
        </w:rPr>
        <w:t xml:space="preserve"> </w:t>
      </w:r>
      <w:r w:rsidRPr="0052271C">
        <w:rPr>
          <w:lang w:val="sr-Cyrl-RS"/>
        </w:rPr>
        <w:t>сврху</w:t>
      </w:r>
      <w:r w:rsidR="00DA3FE0" w:rsidRPr="0052271C">
        <w:rPr>
          <w:lang w:val="sr-Cyrl-RS"/>
        </w:rPr>
        <w:t xml:space="preserve"> </w:t>
      </w:r>
      <w:r w:rsidRPr="0052271C">
        <w:rPr>
          <w:lang w:val="sr-Cyrl-RS"/>
        </w:rPr>
        <w:t>државног</w:t>
      </w:r>
      <w:r w:rsidR="00DA3FE0" w:rsidRPr="0052271C">
        <w:rPr>
          <w:lang w:val="sr-Cyrl-RS"/>
        </w:rPr>
        <w:t xml:space="preserve"> </w:t>
      </w:r>
      <w:r w:rsidRPr="0052271C">
        <w:rPr>
          <w:lang w:val="sr-Cyrl-RS"/>
        </w:rPr>
        <w:t>власништва</w:t>
      </w:r>
      <w:r w:rsidR="00DA3FE0" w:rsidRPr="0052271C">
        <w:rPr>
          <w:lang w:val="sr-Cyrl-RS"/>
        </w:rPr>
        <w:t xml:space="preserve">, </w:t>
      </w:r>
      <w:r w:rsidRPr="0052271C">
        <w:rPr>
          <w:lang w:val="sr-Cyrl-RS"/>
        </w:rPr>
        <w:t>циљеве</w:t>
      </w:r>
      <w:r w:rsidR="00DA3FE0" w:rsidRPr="0052271C">
        <w:rPr>
          <w:lang w:val="sr-Cyrl-RS"/>
        </w:rPr>
        <w:t xml:space="preserve"> </w:t>
      </w:r>
      <w:r w:rsidRPr="0052271C">
        <w:rPr>
          <w:lang w:val="sr-Cyrl-RS"/>
        </w:rPr>
        <w:t>државног</w:t>
      </w:r>
      <w:r w:rsidR="00DA3FE0" w:rsidRPr="0052271C">
        <w:rPr>
          <w:lang w:val="sr-Cyrl-RS"/>
        </w:rPr>
        <w:t xml:space="preserve"> </w:t>
      </w:r>
      <w:r w:rsidRPr="0052271C">
        <w:rPr>
          <w:lang w:val="sr-Cyrl-RS"/>
        </w:rPr>
        <w:t>власништва</w:t>
      </w:r>
      <w:r w:rsidR="00DA3FE0" w:rsidRPr="0052271C">
        <w:rPr>
          <w:lang w:val="sr-Cyrl-RS"/>
        </w:rPr>
        <w:t xml:space="preserve">, </w:t>
      </w:r>
      <w:r w:rsidRPr="0052271C">
        <w:rPr>
          <w:lang w:val="sr-Cyrl-RS"/>
        </w:rPr>
        <w:t>улогу</w:t>
      </w:r>
      <w:r w:rsidR="00DA3FE0" w:rsidRPr="0052271C">
        <w:rPr>
          <w:lang w:val="sr-Cyrl-RS"/>
        </w:rPr>
        <w:t xml:space="preserve"> </w:t>
      </w:r>
      <w:r w:rsidRPr="0052271C">
        <w:rPr>
          <w:lang w:val="sr-Cyrl-RS"/>
        </w:rPr>
        <w:t>државе</w:t>
      </w:r>
      <w:r w:rsidR="00DA3FE0" w:rsidRPr="0052271C">
        <w:rPr>
          <w:lang w:val="sr-Cyrl-RS"/>
        </w:rPr>
        <w:t xml:space="preserve"> </w:t>
      </w:r>
      <w:r w:rsidRPr="0052271C">
        <w:rPr>
          <w:lang w:val="sr-Cyrl-RS"/>
        </w:rPr>
        <w:t>у</w:t>
      </w:r>
      <w:r w:rsidR="00DA3FE0" w:rsidRPr="0052271C">
        <w:rPr>
          <w:lang w:val="sr-Cyrl-RS"/>
        </w:rPr>
        <w:t xml:space="preserve"> </w:t>
      </w:r>
      <w:r w:rsidRPr="0052271C">
        <w:rPr>
          <w:lang w:val="sr-Cyrl-RS"/>
        </w:rPr>
        <w:t>корпоративном</w:t>
      </w:r>
      <w:r w:rsidR="00DA3FE0" w:rsidRPr="0052271C">
        <w:rPr>
          <w:lang w:val="sr-Cyrl-RS"/>
        </w:rPr>
        <w:t xml:space="preserve"> </w:t>
      </w:r>
      <w:r w:rsidRPr="0052271C">
        <w:rPr>
          <w:lang w:val="sr-Cyrl-RS"/>
        </w:rPr>
        <w:t>управљању</w:t>
      </w:r>
      <w:r w:rsidR="00DA3FE0" w:rsidRPr="0052271C">
        <w:rPr>
          <w:lang w:val="sr-Cyrl-RS"/>
        </w:rPr>
        <w:t xml:space="preserve"> </w:t>
      </w:r>
      <w:r w:rsidRPr="0052271C">
        <w:rPr>
          <w:lang w:val="sr-Cyrl-RS"/>
        </w:rPr>
        <w:t>друштва</w:t>
      </w:r>
      <w:r w:rsidR="00DA3FE0" w:rsidRPr="0052271C">
        <w:rPr>
          <w:lang w:val="sr-Cyrl-RS"/>
        </w:rPr>
        <w:t xml:space="preserve"> </w:t>
      </w:r>
      <w:r w:rsidRPr="0052271C">
        <w:rPr>
          <w:lang w:val="sr-Cyrl-RS"/>
        </w:rPr>
        <w:t>у</w:t>
      </w:r>
      <w:r w:rsidR="00DA3FE0" w:rsidRPr="0052271C">
        <w:rPr>
          <w:lang w:val="sr-Cyrl-RS"/>
        </w:rPr>
        <w:t xml:space="preserve"> </w:t>
      </w:r>
      <w:r w:rsidRPr="0052271C">
        <w:rPr>
          <w:lang w:val="sr-Cyrl-RS"/>
        </w:rPr>
        <w:t>којем</w:t>
      </w:r>
      <w:r w:rsidR="00DA3FE0" w:rsidRPr="0052271C">
        <w:rPr>
          <w:lang w:val="sr-Cyrl-RS"/>
        </w:rPr>
        <w:t xml:space="preserve"> </w:t>
      </w:r>
      <w:r w:rsidRPr="0052271C">
        <w:rPr>
          <w:lang w:val="sr-Cyrl-RS"/>
        </w:rPr>
        <w:t>је</w:t>
      </w:r>
      <w:r w:rsidR="00DA3FE0" w:rsidRPr="0052271C">
        <w:rPr>
          <w:lang w:val="sr-Cyrl-RS"/>
        </w:rPr>
        <w:t xml:space="preserve"> </w:t>
      </w:r>
      <w:r w:rsidRPr="0052271C">
        <w:rPr>
          <w:lang w:val="sr-Cyrl-RS"/>
        </w:rPr>
        <w:t>држава</w:t>
      </w:r>
      <w:r w:rsidR="00DA3FE0" w:rsidRPr="0052271C">
        <w:rPr>
          <w:lang w:val="sr-Cyrl-RS"/>
        </w:rPr>
        <w:t xml:space="preserve"> </w:t>
      </w:r>
      <w:r w:rsidRPr="0052271C">
        <w:rPr>
          <w:lang w:val="sr-Cyrl-RS"/>
        </w:rPr>
        <w:t>члан</w:t>
      </w:r>
      <w:r w:rsidR="00DA3FE0" w:rsidRPr="0052271C">
        <w:rPr>
          <w:lang w:val="sr-Cyrl-RS"/>
        </w:rPr>
        <w:t xml:space="preserve"> </w:t>
      </w:r>
      <w:r w:rsidRPr="0052271C">
        <w:rPr>
          <w:lang w:val="sr-Cyrl-RS"/>
        </w:rPr>
        <w:t>и</w:t>
      </w:r>
      <w:r w:rsidR="00DA3FE0" w:rsidRPr="0052271C">
        <w:rPr>
          <w:lang w:val="sr-Cyrl-RS"/>
        </w:rPr>
        <w:t xml:space="preserve"> </w:t>
      </w:r>
      <w:r w:rsidRPr="0052271C">
        <w:rPr>
          <w:lang w:val="sr-Cyrl-RS"/>
        </w:rPr>
        <w:t>начин</w:t>
      </w:r>
      <w:r w:rsidR="00DA3FE0" w:rsidRPr="0052271C">
        <w:rPr>
          <w:lang w:val="sr-Cyrl-RS"/>
        </w:rPr>
        <w:t xml:space="preserve"> </w:t>
      </w:r>
      <w:r w:rsidRPr="0052271C">
        <w:rPr>
          <w:lang w:val="sr-Cyrl-RS"/>
        </w:rPr>
        <w:t>на</w:t>
      </w:r>
      <w:r w:rsidR="00DA3FE0" w:rsidRPr="0052271C">
        <w:rPr>
          <w:lang w:val="sr-Cyrl-RS"/>
        </w:rPr>
        <w:t xml:space="preserve"> </w:t>
      </w:r>
      <w:r w:rsidRPr="0052271C">
        <w:rPr>
          <w:lang w:val="sr-Cyrl-RS"/>
        </w:rPr>
        <w:t>који</w:t>
      </w:r>
      <w:r w:rsidR="00DA3FE0" w:rsidRPr="0052271C">
        <w:rPr>
          <w:lang w:val="sr-Cyrl-RS"/>
        </w:rPr>
        <w:t xml:space="preserve"> </w:t>
      </w:r>
      <w:r w:rsidRPr="0052271C">
        <w:rPr>
          <w:lang w:val="sr-Cyrl-RS"/>
        </w:rPr>
        <w:t>ће</w:t>
      </w:r>
      <w:r w:rsidR="00DA3FE0" w:rsidRPr="0052271C">
        <w:rPr>
          <w:lang w:val="sr-Cyrl-RS"/>
        </w:rPr>
        <w:t xml:space="preserve"> </w:t>
      </w:r>
      <w:r w:rsidRPr="0052271C">
        <w:rPr>
          <w:lang w:val="sr-Cyrl-RS"/>
        </w:rPr>
        <w:t>држава</w:t>
      </w:r>
      <w:r w:rsidR="00DA3FE0" w:rsidRPr="0052271C">
        <w:rPr>
          <w:lang w:val="sr-Cyrl-RS"/>
        </w:rPr>
        <w:t xml:space="preserve"> </w:t>
      </w:r>
      <w:r w:rsidRPr="0052271C">
        <w:rPr>
          <w:lang w:val="sr-Cyrl-RS"/>
        </w:rPr>
        <w:t>имплементирати</w:t>
      </w:r>
      <w:r w:rsidR="00DA3FE0" w:rsidRPr="0052271C">
        <w:rPr>
          <w:lang w:val="sr-Cyrl-RS"/>
        </w:rPr>
        <w:t xml:space="preserve"> </w:t>
      </w:r>
      <w:r w:rsidRPr="0052271C">
        <w:rPr>
          <w:lang w:val="sr-Cyrl-RS"/>
        </w:rPr>
        <w:t>своју</w:t>
      </w:r>
      <w:r w:rsidR="00DA3FE0" w:rsidRPr="0052271C">
        <w:rPr>
          <w:lang w:val="sr-Cyrl-RS"/>
        </w:rPr>
        <w:t xml:space="preserve"> </w:t>
      </w:r>
      <w:r w:rsidRPr="0052271C">
        <w:rPr>
          <w:lang w:val="sr-Cyrl-RS"/>
        </w:rPr>
        <w:t>власничку</w:t>
      </w:r>
      <w:r w:rsidR="00DA3FE0" w:rsidRPr="0052271C">
        <w:rPr>
          <w:lang w:val="sr-Cyrl-RS"/>
        </w:rPr>
        <w:t xml:space="preserve"> </w:t>
      </w:r>
      <w:r w:rsidRPr="0052271C">
        <w:rPr>
          <w:lang w:val="sr-Cyrl-RS"/>
        </w:rPr>
        <w:t>политику</w:t>
      </w:r>
      <w:r w:rsidR="00DA3FE0" w:rsidRPr="0052271C">
        <w:rPr>
          <w:lang w:val="sr-Cyrl-RS"/>
        </w:rPr>
        <w:t xml:space="preserve">. </w:t>
      </w:r>
      <w:r w:rsidRPr="0052271C">
        <w:rPr>
          <w:lang w:val="sr-Cyrl-RS"/>
        </w:rPr>
        <w:t>Унутар</w:t>
      </w:r>
      <w:r w:rsidR="00DA3FE0" w:rsidRPr="0052271C">
        <w:rPr>
          <w:lang w:val="sr-Cyrl-RS"/>
        </w:rPr>
        <w:t xml:space="preserve"> </w:t>
      </w:r>
      <w:r w:rsidRPr="0052271C">
        <w:rPr>
          <w:lang w:val="sr-Cyrl-RS"/>
        </w:rPr>
        <w:t>државне</w:t>
      </w:r>
      <w:r w:rsidR="00DA3FE0" w:rsidRPr="0052271C">
        <w:rPr>
          <w:lang w:val="sr-Cyrl-RS"/>
        </w:rPr>
        <w:t xml:space="preserve"> </w:t>
      </w:r>
      <w:r w:rsidRPr="0052271C">
        <w:rPr>
          <w:lang w:val="sr-Cyrl-RS"/>
        </w:rPr>
        <w:t>администрације</w:t>
      </w:r>
      <w:r w:rsidR="00DA3FE0" w:rsidRPr="0052271C">
        <w:rPr>
          <w:lang w:val="sr-Cyrl-RS"/>
        </w:rPr>
        <w:t xml:space="preserve"> </w:t>
      </w:r>
      <w:r w:rsidRPr="0052271C">
        <w:rPr>
          <w:lang w:val="sr-Cyrl-RS"/>
        </w:rPr>
        <w:t>потребно</w:t>
      </w:r>
      <w:r w:rsidR="00DA3FE0" w:rsidRPr="0052271C">
        <w:rPr>
          <w:lang w:val="sr-Cyrl-RS"/>
        </w:rPr>
        <w:t xml:space="preserve"> </w:t>
      </w:r>
      <w:r w:rsidRPr="0052271C">
        <w:rPr>
          <w:lang w:val="sr-Cyrl-RS"/>
        </w:rPr>
        <w:t>је</w:t>
      </w:r>
      <w:r w:rsidR="00DA3FE0" w:rsidRPr="0052271C">
        <w:rPr>
          <w:lang w:val="sr-Cyrl-RS"/>
        </w:rPr>
        <w:t xml:space="preserve"> </w:t>
      </w:r>
      <w:r w:rsidRPr="0052271C">
        <w:rPr>
          <w:lang w:val="sr-Cyrl-RS"/>
        </w:rPr>
        <w:t>идентификовати</w:t>
      </w:r>
      <w:r w:rsidR="00DA3FE0" w:rsidRPr="0052271C">
        <w:rPr>
          <w:lang w:val="sr-Cyrl-RS"/>
        </w:rPr>
        <w:t xml:space="preserve"> </w:t>
      </w:r>
      <w:r w:rsidRPr="0052271C">
        <w:rPr>
          <w:lang w:val="sr-Cyrl-RS"/>
        </w:rPr>
        <w:t>тело</w:t>
      </w:r>
      <w:r w:rsidR="00DA3FE0" w:rsidRPr="0052271C">
        <w:rPr>
          <w:lang w:val="sr-Cyrl-RS"/>
        </w:rPr>
        <w:t xml:space="preserve"> </w:t>
      </w:r>
      <w:r w:rsidRPr="0052271C">
        <w:rPr>
          <w:lang w:val="sr-Cyrl-RS"/>
        </w:rPr>
        <w:t>које</w:t>
      </w:r>
      <w:r w:rsidR="00DA3FE0" w:rsidRPr="0052271C">
        <w:rPr>
          <w:lang w:val="sr-Cyrl-RS"/>
        </w:rPr>
        <w:t xml:space="preserve"> </w:t>
      </w:r>
      <w:r w:rsidRPr="0052271C">
        <w:rPr>
          <w:lang w:val="sr-Cyrl-RS"/>
        </w:rPr>
        <w:t>ће</w:t>
      </w:r>
      <w:r w:rsidR="00DA3FE0" w:rsidRPr="0052271C">
        <w:rPr>
          <w:lang w:val="sr-Cyrl-RS"/>
        </w:rPr>
        <w:t xml:space="preserve"> </w:t>
      </w:r>
      <w:r w:rsidRPr="0052271C">
        <w:rPr>
          <w:lang w:val="sr-Cyrl-RS"/>
        </w:rPr>
        <w:t>бити</w:t>
      </w:r>
      <w:r w:rsidR="00DA3FE0" w:rsidRPr="0052271C">
        <w:rPr>
          <w:lang w:val="sr-Cyrl-RS"/>
        </w:rPr>
        <w:t xml:space="preserve"> </w:t>
      </w:r>
      <w:r w:rsidRPr="0052271C">
        <w:rPr>
          <w:lang w:val="sr-Cyrl-RS"/>
        </w:rPr>
        <w:t>одговорно</w:t>
      </w:r>
      <w:r w:rsidR="00DA3FE0" w:rsidRPr="0052271C">
        <w:rPr>
          <w:lang w:val="sr-Cyrl-RS"/>
        </w:rPr>
        <w:t xml:space="preserve"> </w:t>
      </w:r>
      <w:r w:rsidRPr="0052271C">
        <w:rPr>
          <w:lang w:val="sr-Cyrl-RS"/>
        </w:rPr>
        <w:t>за</w:t>
      </w:r>
      <w:r w:rsidR="00DA3FE0" w:rsidRPr="0052271C">
        <w:rPr>
          <w:lang w:val="sr-Cyrl-RS"/>
        </w:rPr>
        <w:t xml:space="preserve"> </w:t>
      </w:r>
      <w:r w:rsidRPr="0052271C">
        <w:rPr>
          <w:lang w:val="sr-Cyrl-RS"/>
        </w:rPr>
        <w:t>вршење</w:t>
      </w:r>
      <w:r w:rsidR="00DA3FE0" w:rsidRPr="0052271C">
        <w:rPr>
          <w:lang w:val="sr-Cyrl-RS"/>
        </w:rPr>
        <w:t xml:space="preserve"> </w:t>
      </w:r>
      <w:r w:rsidRPr="0052271C">
        <w:rPr>
          <w:lang w:val="sr-Cyrl-RS"/>
        </w:rPr>
        <w:t>чланских</w:t>
      </w:r>
      <w:r w:rsidR="00DA3FE0" w:rsidRPr="0052271C">
        <w:rPr>
          <w:lang w:val="sr-Cyrl-RS"/>
        </w:rPr>
        <w:t xml:space="preserve"> </w:t>
      </w:r>
      <w:r w:rsidRPr="0052271C">
        <w:rPr>
          <w:lang w:val="sr-Cyrl-RS"/>
        </w:rPr>
        <w:t>права</w:t>
      </w:r>
      <w:r w:rsidR="00DA3FE0" w:rsidRPr="0052271C">
        <w:rPr>
          <w:lang w:val="sr-Cyrl-RS"/>
        </w:rPr>
        <w:t xml:space="preserve"> </w:t>
      </w:r>
      <w:r w:rsidRPr="0052271C">
        <w:rPr>
          <w:lang w:val="sr-Cyrl-RS"/>
        </w:rPr>
        <w:t>државе</w:t>
      </w:r>
      <w:r w:rsidR="00DA3FE0" w:rsidRPr="0052271C">
        <w:rPr>
          <w:lang w:val="sr-Cyrl-RS"/>
        </w:rPr>
        <w:t xml:space="preserve"> </w:t>
      </w:r>
      <w:r w:rsidRPr="0052271C">
        <w:rPr>
          <w:lang w:val="sr-Cyrl-RS"/>
        </w:rPr>
        <w:t>у</w:t>
      </w:r>
      <w:r w:rsidR="00DA3FE0" w:rsidRPr="0052271C">
        <w:rPr>
          <w:lang w:val="sr-Cyrl-RS"/>
        </w:rPr>
        <w:t xml:space="preserve"> </w:t>
      </w:r>
      <w:r w:rsidRPr="0052271C">
        <w:rPr>
          <w:lang w:val="sr-Cyrl-RS"/>
        </w:rPr>
        <w:t>друштвима</w:t>
      </w:r>
      <w:r w:rsidR="00DA3FE0" w:rsidRPr="0052271C">
        <w:rPr>
          <w:lang w:val="sr-Cyrl-RS"/>
        </w:rPr>
        <w:t xml:space="preserve"> </w:t>
      </w:r>
      <w:r w:rsidRPr="0052271C">
        <w:rPr>
          <w:lang w:val="sr-Cyrl-RS"/>
        </w:rPr>
        <w:t>у</w:t>
      </w:r>
      <w:r w:rsidR="00DA3FE0" w:rsidRPr="0052271C">
        <w:rPr>
          <w:lang w:val="sr-Cyrl-RS"/>
        </w:rPr>
        <w:t xml:space="preserve"> </w:t>
      </w:r>
      <w:r w:rsidRPr="0052271C">
        <w:rPr>
          <w:lang w:val="sr-Cyrl-RS"/>
        </w:rPr>
        <w:t>којима</w:t>
      </w:r>
      <w:r w:rsidR="00DA3FE0" w:rsidRPr="0052271C">
        <w:rPr>
          <w:lang w:val="sr-Cyrl-RS"/>
        </w:rPr>
        <w:t xml:space="preserve"> </w:t>
      </w:r>
      <w:r w:rsidRPr="0052271C">
        <w:rPr>
          <w:lang w:val="sr-Cyrl-RS"/>
        </w:rPr>
        <w:t>је</w:t>
      </w:r>
      <w:r w:rsidR="00DA3FE0" w:rsidRPr="0052271C">
        <w:rPr>
          <w:lang w:val="sr-Cyrl-RS"/>
        </w:rPr>
        <w:t xml:space="preserve"> </w:t>
      </w:r>
      <w:r w:rsidRPr="0052271C">
        <w:rPr>
          <w:lang w:val="sr-Cyrl-RS"/>
        </w:rPr>
        <w:t>држава</w:t>
      </w:r>
      <w:r w:rsidR="00DA3FE0" w:rsidRPr="0052271C">
        <w:rPr>
          <w:lang w:val="sr-Cyrl-RS"/>
        </w:rPr>
        <w:t xml:space="preserve"> </w:t>
      </w:r>
      <w:r w:rsidRPr="0052271C">
        <w:rPr>
          <w:lang w:val="sr-Cyrl-RS"/>
        </w:rPr>
        <w:t>власник</w:t>
      </w:r>
      <w:r w:rsidR="00DA3FE0" w:rsidRPr="0052271C">
        <w:rPr>
          <w:lang w:val="sr-Cyrl-RS"/>
        </w:rPr>
        <w:t xml:space="preserve">. </w:t>
      </w:r>
      <w:r w:rsidRPr="0052271C">
        <w:rPr>
          <w:lang w:val="sr-Cyrl-RS"/>
        </w:rPr>
        <w:t>Најједноставнији</w:t>
      </w:r>
      <w:r w:rsidR="00DA3FE0" w:rsidRPr="0052271C">
        <w:rPr>
          <w:lang w:val="sr-Cyrl-RS"/>
        </w:rPr>
        <w:t xml:space="preserve"> </w:t>
      </w:r>
      <w:r w:rsidRPr="0052271C">
        <w:rPr>
          <w:lang w:val="sr-Cyrl-RS"/>
        </w:rPr>
        <w:t>приступ</w:t>
      </w:r>
      <w:r w:rsidR="00DA3FE0" w:rsidRPr="0052271C">
        <w:rPr>
          <w:lang w:val="sr-Cyrl-RS"/>
        </w:rPr>
        <w:t xml:space="preserve"> </w:t>
      </w:r>
      <w:r w:rsidRPr="0052271C">
        <w:rPr>
          <w:lang w:val="sr-Cyrl-RS"/>
        </w:rPr>
        <w:t>је</w:t>
      </w:r>
      <w:r w:rsidR="00DA3FE0" w:rsidRPr="0052271C">
        <w:rPr>
          <w:lang w:val="sr-Cyrl-RS"/>
        </w:rPr>
        <w:t xml:space="preserve"> </w:t>
      </w:r>
      <w:r w:rsidRPr="0052271C">
        <w:rPr>
          <w:lang w:val="sr-Cyrl-RS"/>
        </w:rPr>
        <w:t>да</w:t>
      </w:r>
      <w:r w:rsidR="00DA3FE0" w:rsidRPr="0052271C">
        <w:rPr>
          <w:lang w:val="sr-Cyrl-RS"/>
        </w:rPr>
        <w:t xml:space="preserve"> </w:t>
      </w:r>
      <w:r w:rsidRPr="0052271C">
        <w:rPr>
          <w:lang w:val="sr-Cyrl-RS"/>
        </w:rPr>
        <w:t>се</w:t>
      </w:r>
      <w:r w:rsidR="00DA3FE0" w:rsidRPr="0052271C">
        <w:rPr>
          <w:lang w:val="sr-Cyrl-RS"/>
        </w:rPr>
        <w:t xml:space="preserve"> </w:t>
      </w:r>
      <w:r w:rsidRPr="0052271C">
        <w:rPr>
          <w:lang w:val="sr-Cyrl-RS"/>
        </w:rPr>
        <w:t>функција</w:t>
      </w:r>
      <w:r w:rsidR="00DA3FE0" w:rsidRPr="0052271C">
        <w:rPr>
          <w:lang w:val="sr-Cyrl-RS"/>
        </w:rPr>
        <w:t xml:space="preserve"> </w:t>
      </w:r>
      <w:r w:rsidRPr="0052271C">
        <w:rPr>
          <w:lang w:val="sr-Cyrl-RS"/>
        </w:rPr>
        <w:t>вршења</w:t>
      </w:r>
      <w:r w:rsidR="00DA3FE0" w:rsidRPr="0052271C">
        <w:rPr>
          <w:lang w:val="sr-Cyrl-RS"/>
        </w:rPr>
        <w:t xml:space="preserve"> </w:t>
      </w:r>
      <w:r w:rsidRPr="0052271C">
        <w:rPr>
          <w:lang w:val="sr-Cyrl-RS"/>
        </w:rPr>
        <w:t>чланских</w:t>
      </w:r>
      <w:r w:rsidR="00DA3FE0" w:rsidRPr="0052271C">
        <w:rPr>
          <w:lang w:val="sr-Cyrl-RS"/>
        </w:rPr>
        <w:t xml:space="preserve"> </w:t>
      </w:r>
      <w:r w:rsidRPr="0052271C">
        <w:rPr>
          <w:lang w:val="sr-Cyrl-RS"/>
        </w:rPr>
        <w:t>права</w:t>
      </w:r>
      <w:r w:rsidR="00DA3FE0" w:rsidRPr="0052271C">
        <w:rPr>
          <w:lang w:val="sr-Cyrl-RS"/>
        </w:rPr>
        <w:t xml:space="preserve"> </w:t>
      </w:r>
      <w:r w:rsidRPr="0052271C">
        <w:rPr>
          <w:lang w:val="sr-Cyrl-RS"/>
        </w:rPr>
        <w:t>у</w:t>
      </w:r>
      <w:r w:rsidR="00DA3FE0" w:rsidRPr="0052271C">
        <w:rPr>
          <w:lang w:val="sr-Cyrl-RS"/>
        </w:rPr>
        <w:t xml:space="preserve"> </w:t>
      </w:r>
      <w:r w:rsidRPr="0052271C">
        <w:rPr>
          <w:lang w:val="sr-Cyrl-RS"/>
        </w:rPr>
        <w:t>друштвима</w:t>
      </w:r>
      <w:r w:rsidR="00DA3FE0" w:rsidRPr="0052271C">
        <w:rPr>
          <w:lang w:val="sr-Cyrl-RS"/>
        </w:rPr>
        <w:t xml:space="preserve"> </w:t>
      </w:r>
      <w:r w:rsidRPr="0052271C">
        <w:rPr>
          <w:lang w:val="sr-Cyrl-RS"/>
        </w:rPr>
        <w:t>у</w:t>
      </w:r>
      <w:r w:rsidR="00DA3FE0" w:rsidRPr="0052271C">
        <w:rPr>
          <w:lang w:val="sr-Cyrl-RS"/>
        </w:rPr>
        <w:t xml:space="preserve"> </w:t>
      </w:r>
      <w:r w:rsidRPr="0052271C">
        <w:rPr>
          <w:lang w:val="sr-Cyrl-RS"/>
        </w:rPr>
        <w:t>којима</w:t>
      </w:r>
      <w:r w:rsidR="00DA3FE0" w:rsidRPr="0052271C">
        <w:rPr>
          <w:lang w:val="sr-Cyrl-RS"/>
        </w:rPr>
        <w:t xml:space="preserve"> </w:t>
      </w:r>
      <w:r w:rsidRPr="0052271C">
        <w:rPr>
          <w:lang w:val="sr-Cyrl-RS"/>
        </w:rPr>
        <w:t>је</w:t>
      </w:r>
      <w:r w:rsidR="00DA3FE0" w:rsidRPr="0052271C">
        <w:rPr>
          <w:lang w:val="sr-Cyrl-RS"/>
        </w:rPr>
        <w:t xml:space="preserve"> </w:t>
      </w:r>
      <w:r w:rsidRPr="0052271C">
        <w:rPr>
          <w:lang w:val="sr-Cyrl-RS"/>
        </w:rPr>
        <w:t>држава</w:t>
      </w:r>
      <w:r w:rsidR="00DA3FE0" w:rsidRPr="0052271C">
        <w:rPr>
          <w:lang w:val="sr-Cyrl-RS"/>
        </w:rPr>
        <w:t xml:space="preserve"> </w:t>
      </w:r>
      <w:r w:rsidRPr="0052271C">
        <w:rPr>
          <w:lang w:val="sr-Cyrl-RS"/>
        </w:rPr>
        <w:t>власник</w:t>
      </w:r>
      <w:r w:rsidR="00DA3FE0" w:rsidRPr="0052271C">
        <w:rPr>
          <w:lang w:val="sr-Cyrl-RS"/>
        </w:rPr>
        <w:t xml:space="preserve"> </w:t>
      </w:r>
      <w:r w:rsidRPr="0052271C">
        <w:rPr>
          <w:lang w:val="sr-Cyrl-RS"/>
        </w:rPr>
        <w:t>централизује</w:t>
      </w:r>
      <w:r w:rsidR="00DA3FE0" w:rsidRPr="0052271C">
        <w:rPr>
          <w:lang w:val="sr-Cyrl-RS"/>
        </w:rPr>
        <w:t xml:space="preserve"> </w:t>
      </w:r>
      <w:r w:rsidRPr="0052271C">
        <w:rPr>
          <w:lang w:val="sr-Cyrl-RS"/>
        </w:rPr>
        <w:t>те</w:t>
      </w:r>
      <w:r w:rsidR="00DA3FE0" w:rsidRPr="0052271C">
        <w:rPr>
          <w:lang w:val="sr-Cyrl-RS"/>
        </w:rPr>
        <w:t xml:space="preserve"> </w:t>
      </w:r>
      <w:r w:rsidRPr="0052271C">
        <w:rPr>
          <w:lang w:val="sr-Cyrl-RS"/>
        </w:rPr>
        <w:t>да</w:t>
      </w:r>
      <w:r w:rsidR="00DA3FE0" w:rsidRPr="0052271C">
        <w:rPr>
          <w:lang w:val="sr-Cyrl-RS"/>
        </w:rPr>
        <w:t xml:space="preserve"> </w:t>
      </w:r>
      <w:r w:rsidRPr="0052271C">
        <w:rPr>
          <w:lang w:val="sr-Cyrl-RS"/>
        </w:rPr>
        <w:t>је</w:t>
      </w:r>
      <w:r w:rsidR="00DA3FE0" w:rsidRPr="0052271C">
        <w:rPr>
          <w:lang w:val="sr-Cyrl-RS"/>
        </w:rPr>
        <w:t xml:space="preserve"> </w:t>
      </w:r>
      <w:r w:rsidRPr="0052271C">
        <w:rPr>
          <w:lang w:val="sr-Cyrl-RS"/>
        </w:rPr>
        <w:t>врши</w:t>
      </w:r>
      <w:r w:rsidR="00DA3FE0" w:rsidRPr="0052271C">
        <w:rPr>
          <w:lang w:val="sr-Cyrl-RS"/>
        </w:rPr>
        <w:t xml:space="preserve"> </w:t>
      </w:r>
      <w:r w:rsidRPr="0052271C">
        <w:rPr>
          <w:lang w:val="sr-Cyrl-RS"/>
        </w:rPr>
        <w:t>једно</w:t>
      </w:r>
      <w:r w:rsidR="00DA3FE0" w:rsidRPr="0052271C">
        <w:rPr>
          <w:lang w:val="sr-Cyrl-RS"/>
        </w:rPr>
        <w:t xml:space="preserve"> </w:t>
      </w:r>
      <w:r w:rsidRPr="0052271C">
        <w:rPr>
          <w:lang w:val="sr-Cyrl-RS"/>
        </w:rPr>
        <w:t>тело</w:t>
      </w:r>
      <w:r w:rsidR="00DA3FE0" w:rsidRPr="0052271C">
        <w:rPr>
          <w:lang w:val="sr-Cyrl-RS"/>
        </w:rPr>
        <w:t xml:space="preserve"> </w:t>
      </w:r>
      <w:r w:rsidRPr="0052271C">
        <w:rPr>
          <w:lang w:val="sr-Cyrl-RS"/>
        </w:rPr>
        <w:t>унутар</w:t>
      </w:r>
      <w:r w:rsidR="00DA3FE0" w:rsidRPr="0052271C">
        <w:rPr>
          <w:lang w:val="sr-Cyrl-RS"/>
        </w:rPr>
        <w:t xml:space="preserve"> </w:t>
      </w:r>
      <w:r w:rsidRPr="0052271C">
        <w:rPr>
          <w:lang w:val="sr-Cyrl-RS"/>
        </w:rPr>
        <w:t>једног</w:t>
      </w:r>
      <w:r w:rsidR="00DA3FE0" w:rsidRPr="0052271C">
        <w:rPr>
          <w:lang w:val="sr-Cyrl-RS"/>
        </w:rPr>
        <w:t xml:space="preserve"> </w:t>
      </w:r>
      <w:r w:rsidRPr="0052271C">
        <w:rPr>
          <w:lang w:val="sr-Cyrl-RS"/>
        </w:rPr>
        <w:t>министарства</w:t>
      </w:r>
      <w:r w:rsidR="00DA3FE0" w:rsidRPr="0052271C">
        <w:rPr>
          <w:lang w:val="sr-Cyrl-RS"/>
        </w:rPr>
        <w:t xml:space="preserve">. </w:t>
      </w:r>
      <w:r w:rsidRPr="0052271C">
        <w:rPr>
          <w:lang w:val="sr-Cyrl-RS"/>
        </w:rPr>
        <w:t>Централизација</w:t>
      </w:r>
      <w:r w:rsidR="00DA3FE0" w:rsidRPr="0052271C">
        <w:rPr>
          <w:lang w:val="sr-Cyrl-RS"/>
        </w:rPr>
        <w:t xml:space="preserve"> </w:t>
      </w:r>
      <w:r w:rsidRPr="0052271C">
        <w:rPr>
          <w:lang w:val="sr-Cyrl-RS"/>
        </w:rPr>
        <w:t>би</w:t>
      </w:r>
      <w:r w:rsidR="00DA3FE0" w:rsidRPr="0052271C">
        <w:rPr>
          <w:lang w:val="sr-Cyrl-RS"/>
        </w:rPr>
        <w:t xml:space="preserve"> </w:t>
      </w:r>
      <w:r w:rsidRPr="0052271C">
        <w:rPr>
          <w:lang w:val="sr-Cyrl-RS"/>
        </w:rPr>
        <w:t>обезбедила</w:t>
      </w:r>
      <w:r w:rsidR="00DA3FE0" w:rsidRPr="0052271C">
        <w:rPr>
          <w:lang w:val="sr-Cyrl-RS"/>
        </w:rPr>
        <w:t xml:space="preserve">: </w:t>
      </w:r>
      <w:r w:rsidRPr="0052271C">
        <w:rPr>
          <w:lang w:val="sr-Cyrl-RS"/>
        </w:rPr>
        <w:t>стандардизацију</w:t>
      </w:r>
      <w:r w:rsidR="00DA3FE0" w:rsidRPr="0052271C">
        <w:rPr>
          <w:lang w:val="sr-Cyrl-RS"/>
        </w:rPr>
        <w:t xml:space="preserve"> </w:t>
      </w:r>
      <w:r w:rsidRPr="0052271C">
        <w:rPr>
          <w:lang w:val="sr-Cyrl-RS"/>
        </w:rPr>
        <w:t>политика</w:t>
      </w:r>
      <w:r w:rsidR="00DA3FE0" w:rsidRPr="0052271C">
        <w:rPr>
          <w:lang w:val="sr-Cyrl-RS"/>
        </w:rPr>
        <w:t xml:space="preserve"> </w:t>
      </w:r>
      <w:r w:rsidRPr="0052271C">
        <w:rPr>
          <w:lang w:val="sr-Cyrl-RS"/>
        </w:rPr>
        <w:t>и</w:t>
      </w:r>
      <w:r w:rsidR="00DA3FE0" w:rsidRPr="0052271C">
        <w:rPr>
          <w:lang w:val="sr-Cyrl-RS"/>
        </w:rPr>
        <w:t xml:space="preserve"> </w:t>
      </w:r>
      <w:r w:rsidRPr="0052271C">
        <w:rPr>
          <w:lang w:val="sr-Cyrl-RS"/>
        </w:rPr>
        <w:t>процедура</w:t>
      </w:r>
      <w:r w:rsidR="00DA3FE0" w:rsidRPr="0052271C">
        <w:rPr>
          <w:lang w:val="sr-Cyrl-RS"/>
        </w:rPr>
        <w:t xml:space="preserve">, </w:t>
      </w:r>
      <w:r w:rsidRPr="0052271C">
        <w:rPr>
          <w:lang w:val="sr-Cyrl-RS"/>
        </w:rPr>
        <w:t>конзистентну</w:t>
      </w:r>
      <w:r w:rsidR="00DA3FE0" w:rsidRPr="0052271C">
        <w:rPr>
          <w:lang w:val="sr-Cyrl-RS"/>
        </w:rPr>
        <w:t xml:space="preserve"> </w:t>
      </w:r>
      <w:r w:rsidRPr="0052271C">
        <w:rPr>
          <w:lang w:val="sr-Cyrl-RS"/>
        </w:rPr>
        <w:t>примену</w:t>
      </w:r>
      <w:r w:rsidR="00DA3FE0" w:rsidRPr="0052271C">
        <w:rPr>
          <w:lang w:val="sr-Cyrl-RS"/>
        </w:rPr>
        <w:t xml:space="preserve"> </w:t>
      </w:r>
      <w:r w:rsidRPr="0052271C">
        <w:rPr>
          <w:lang w:val="sr-Cyrl-RS"/>
        </w:rPr>
        <w:t>власничке</w:t>
      </w:r>
      <w:r w:rsidR="00DA3FE0" w:rsidRPr="0052271C">
        <w:rPr>
          <w:lang w:val="sr-Cyrl-RS"/>
        </w:rPr>
        <w:t xml:space="preserve"> </w:t>
      </w:r>
      <w:r w:rsidRPr="0052271C">
        <w:rPr>
          <w:lang w:val="sr-Cyrl-RS"/>
        </w:rPr>
        <w:t>политике</w:t>
      </w:r>
      <w:r w:rsidR="00DA3FE0" w:rsidRPr="0052271C">
        <w:rPr>
          <w:lang w:val="sr-Cyrl-RS"/>
        </w:rPr>
        <w:t xml:space="preserve">, </w:t>
      </w:r>
      <w:r w:rsidRPr="0052271C">
        <w:rPr>
          <w:lang w:val="sr-Cyrl-RS"/>
        </w:rPr>
        <w:t>јачање</w:t>
      </w:r>
      <w:r w:rsidR="00DA3FE0" w:rsidRPr="0052271C">
        <w:rPr>
          <w:lang w:val="sr-Cyrl-RS"/>
        </w:rPr>
        <w:t xml:space="preserve"> </w:t>
      </w:r>
      <w:r w:rsidRPr="0052271C">
        <w:rPr>
          <w:lang w:val="sr-Cyrl-RS"/>
        </w:rPr>
        <w:t>неопходне</w:t>
      </w:r>
      <w:r w:rsidR="00DA3FE0" w:rsidRPr="0052271C">
        <w:rPr>
          <w:lang w:val="sr-Cyrl-RS"/>
        </w:rPr>
        <w:t xml:space="preserve"> </w:t>
      </w:r>
      <w:r w:rsidRPr="0052271C">
        <w:rPr>
          <w:lang w:val="sr-Cyrl-RS"/>
        </w:rPr>
        <w:t>експертизе</w:t>
      </w:r>
      <w:r w:rsidR="00DA3FE0" w:rsidRPr="0052271C">
        <w:rPr>
          <w:lang w:val="sr-Cyrl-RS"/>
        </w:rPr>
        <w:t xml:space="preserve"> </w:t>
      </w:r>
      <w:r w:rsidRPr="0052271C">
        <w:rPr>
          <w:lang w:val="sr-Cyrl-RS"/>
        </w:rPr>
        <w:t>унутар</w:t>
      </w:r>
      <w:r w:rsidR="00DA3FE0" w:rsidRPr="0052271C">
        <w:rPr>
          <w:lang w:val="sr-Cyrl-RS"/>
        </w:rPr>
        <w:t xml:space="preserve"> </w:t>
      </w:r>
      <w:r w:rsidRPr="0052271C">
        <w:rPr>
          <w:lang w:val="sr-Cyrl-RS"/>
        </w:rPr>
        <w:t>државне</w:t>
      </w:r>
      <w:r w:rsidR="00DA3FE0" w:rsidRPr="0052271C">
        <w:rPr>
          <w:lang w:val="sr-Cyrl-RS"/>
        </w:rPr>
        <w:t xml:space="preserve"> </w:t>
      </w:r>
      <w:r w:rsidRPr="0052271C">
        <w:rPr>
          <w:lang w:val="sr-Cyrl-RS"/>
        </w:rPr>
        <w:t>администрације</w:t>
      </w:r>
      <w:r w:rsidR="00DA3FE0" w:rsidRPr="0052271C">
        <w:rPr>
          <w:lang w:val="sr-Cyrl-RS"/>
        </w:rPr>
        <w:t xml:space="preserve">, </w:t>
      </w:r>
      <w:r w:rsidRPr="0052271C">
        <w:rPr>
          <w:lang w:val="sr-Cyrl-RS"/>
        </w:rPr>
        <w:t>ефикасније</w:t>
      </w:r>
      <w:r w:rsidR="00DA3FE0" w:rsidRPr="0052271C">
        <w:rPr>
          <w:lang w:val="sr-Cyrl-RS"/>
        </w:rPr>
        <w:t xml:space="preserve"> </w:t>
      </w:r>
      <w:r w:rsidRPr="0052271C">
        <w:rPr>
          <w:lang w:val="sr-Cyrl-RS"/>
        </w:rPr>
        <w:t>комуницирање</w:t>
      </w:r>
      <w:r w:rsidR="00DA3FE0" w:rsidRPr="0052271C">
        <w:rPr>
          <w:lang w:val="sr-Cyrl-RS"/>
        </w:rPr>
        <w:t xml:space="preserve"> </w:t>
      </w:r>
      <w:r w:rsidRPr="0052271C">
        <w:rPr>
          <w:lang w:val="sr-Cyrl-RS"/>
        </w:rPr>
        <w:t>са</w:t>
      </w:r>
      <w:r w:rsidR="00DA3FE0" w:rsidRPr="0052271C">
        <w:rPr>
          <w:lang w:val="sr-Cyrl-RS"/>
        </w:rPr>
        <w:t xml:space="preserve"> </w:t>
      </w:r>
      <w:r w:rsidRPr="0052271C">
        <w:rPr>
          <w:lang w:val="sr-Cyrl-RS"/>
        </w:rPr>
        <w:t>различитим</w:t>
      </w:r>
      <w:r w:rsidR="00DA3FE0" w:rsidRPr="0052271C">
        <w:rPr>
          <w:lang w:val="sr-Cyrl-RS"/>
        </w:rPr>
        <w:t xml:space="preserve"> </w:t>
      </w:r>
      <w:r w:rsidRPr="0052271C">
        <w:rPr>
          <w:lang w:val="sr-Cyrl-RS"/>
        </w:rPr>
        <w:t>министарствима</w:t>
      </w:r>
      <w:r w:rsidR="00DA3FE0" w:rsidRPr="0052271C">
        <w:rPr>
          <w:lang w:val="sr-Cyrl-RS"/>
        </w:rPr>
        <w:t xml:space="preserve"> </w:t>
      </w:r>
      <w:r w:rsidRPr="0052271C">
        <w:rPr>
          <w:lang w:val="sr-Cyrl-RS"/>
        </w:rPr>
        <w:t>и</w:t>
      </w:r>
      <w:r w:rsidR="00DA3FE0" w:rsidRPr="0052271C">
        <w:rPr>
          <w:lang w:val="sr-Cyrl-RS"/>
        </w:rPr>
        <w:t xml:space="preserve"> </w:t>
      </w:r>
      <w:r w:rsidRPr="0052271C">
        <w:rPr>
          <w:lang w:val="sr-Cyrl-RS"/>
        </w:rPr>
        <w:t>другим</w:t>
      </w:r>
      <w:r w:rsidR="00DA3FE0" w:rsidRPr="0052271C">
        <w:rPr>
          <w:lang w:val="sr-Cyrl-RS"/>
        </w:rPr>
        <w:t xml:space="preserve"> </w:t>
      </w:r>
      <w:r w:rsidRPr="0052271C">
        <w:rPr>
          <w:lang w:val="sr-Cyrl-RS"/>
        </w:rPr>
        <w:t>државним</w:t>
      </w:r>
      <w:r w:rsidR="00DA3FE0" w:rsidRPr="0052271C">
        <w:rPr>
          <w:lang w:val="sr-Cyrl-RS"/>
        </w:rPr>
        <w:t xml:space="preserve"> </w:t>
      </w:r>
      <w:r w:rsidRPr="0052271C">
        <w:rPr>
          <w:lang w:val="sr-Cyrl-RS"/>
        </w:rPr>
        <w:t>телима</w:t>
      </w:r>
      <w:r w:rsidR="00DA3FE0" w:rsidRPr="0052271C">
        <w:rPr>
          <w:lang w:val="sr-Cyrl-RS"/>
        </w:rPr>
        <w:t xml:space="preserve">, </w:t>
      </w:r>
      <w:r w:rsidRPr="0052271C">
        <w:rPr>
          <w:lang w:val="sr-Cyrl-RS"/>
        </w:rPr>
        <w:t>свеобухватно</w:t>
      </w:r>
      <w:r w:rsidR="00DA3FE0" w:rsidRPr="0052271C">
        <w:rPr>
          <w:lang w:val="sr-Cyrl-RS"/>
        </w:rPr>
        <w:t xml:space="preserve"> </w:t>
      </w:r>
      <w:r w:rsidRPr="0052271C">
        <w:rPr>
          <w:lang w:val="sr-Cyrl-RS"/>
        </w:rPr>
        <w:t>извештавање</w:t>
      </w:r>
      <w:r w:rsidR="00DA3FE0" w:rsidRPr="0052271C">
        <w:rPr>
          <w:lang w:val="sr-Cyrl-RS"/>
        </w:rPr>
        <w:t xml:space="preserve"> </w:t>
      </w:r>
      <w:r w:rsidRPr="0052271C">
        <w:rPr>
          <w:lang w:val="sr-Cyrl-RS"/>
        </w:rPr>
        <w:t>о</w:t>
      </w:r>
      <w:r w:rsidR="00DA3FE0" w:rsidRPr="0052271C">
        <w:rPr>
          <w:lang w:val="sr-Cyrl-RS"/>
        </w:rPr>
        <w:t xml:space="preserve"> </w:t>
      </w:r>
      <w:r w:rsidRPr="0052271C">
        <w:rPr>
          <w:lang w:val="sr-Cyrl-RS"/>
        </w:rPr>
        <w:t>свим</w:t>
      </w:r>
      <w:r w:rsidR="00DA3FE0" w:rsidRPr="0052271C">
        <w:rPr>
          <w:lang w:val="sr-Cyrl-RS"/>
        </w:rPr>
        <w:t xml:space="preserve"> </w:t>
      </w:r>
      <w:r w:rsidRPr="0052271C">
        <w:rPr>
          <w:lang w:val="sr-Cyrl-RS"/>
        </w:rPr>
        <w:t>друштвима</w:t>
      </w:r>
      <w:r w:rsidR="00DA3FE0" w:rsidRPr="0052271C">
        <w:rPr>
          <w:lang w:val="sr-Cyrl-RS"/>
        </w:rPr>
        <w:t xml:space="preserve"> </w:t>
      </w:r>
      <w:r w:rsidRPr="0052271C">
        <w:rPr>
          <w:lang w:val="sr-Cyrl-RS"/>
        </w:rPr>
        <w:t>која</w:t>
      </w:r>
      <w:r w:rsidR="00DA3FE0" w:rsidRPr="0052271C">
        <w:rPr>
          <w:lang w:val="sr-Cyrl-RS"/>
        </w:rPr>
        <w:t xml:space="preserve"> </w:t>
      </w:r>
      <w:r w:rsidRPr="0052271C">
        <w:rPr>
          <w:lang w:val="sr-Cyrl-RS"/>
        </w:rPr>
        <w:t>су</w:t>
      </w:r>
      <w:r w:rsidR="00DA3FE0" w:rsidRPr="0052271C">
        <w:rPr>
          <w:lang w:val="sr-Cyrl-RS"/>
        </w:rPr>
        <w:t xml:space="preserve"> </w:t>
      </w:r>
      <w:r w:rsidRPr="0052271C">
        <w:rPr>
          <w:lang w:val="sr-Cyrl-RS"/>
        </w:rPr>
        <w:t>у</w:t>
      </w:r>
      <w:r w:rsidR="00DA3FE0" w:rsidRPr="0052271C">
        <w:rPr>
          <w:lang w:val="sr-Cyrl-RS"/>
        </w:rPr>
        <w:t xml:space="preserve"> </w:t>
      </w:r>
      <w:r w:rsidRPr="0052271C">
        <w:rPr>
          <w:lang w:val="sr-Cyrl-RS"/>
        </w:rPr>
        <w:t>државном</w:t>
      </w:r>
      <w:r w:rsidR="00DA3FE0" w:rsidRPr="0052271C">
        <w:rPr>
          <w:lang w:val="sr-Cyrl-RS"/>
        </w:rPr>
        <w:t xml:space="preserve"> </w:t>
      </w:r>
      <w:r w:rsidRPr="0052271C">
        <w:rPr>
          <w:lang w:val="sr-Cyrl-RS"/>
        </w:rPr>
        <w:t>власништву</w:t>
      </w:r>
      <w:r w:rsidR="00DA3FE0" w:rsidRPr="0052271C">
        <w:rPr>
          <w:lang w:val="sr-Cyrl-RS"/>
        </w:rPr>
        <w:t xml:space="preserve"> </w:t>
      </w:r>
      <w:r w:rsidRPr="0052271C">
        <w:rPr>
          <w:lang w:val="sr-Cyrl-RS"/>
        </w:rPr>
        <w:t>итд</w:t>
      </w:r>
      <w:r w:rsidR="00DA3FE0" w:rsidRPr="0052271C">
        <w:rPr>
          <w:lang w:val="sr-Cyrl-RS"/>
        </w:rPr>
        <w:t>.</w:t>
      </w:r>
      <w:r w:rsidR="00DA3FE0" w:rsidRPr="0052271C">
        <w:rPr>
          <w:rStyle w:val="FootnoteReference"/>
          <w:lang w:val="sr-Cyrl-RS"/>
        </w:rPr>
        <w:footnoteReference w:id="12"/>
      </w:r>
      <w:r w:rsidR="00DA3FE0" w:rsidRPr="0052271C">
        <w:rPr>
          <w:lang w:val="sr-Cyrl-RS"/>
        </w:rPr>
        <w:t xml:space="preserve"> </w:t>
      </w:r>
    </w:p>
    <w:p w14:paraId="0D64BA2D" w14:textId="2BC7AD32" w:rsidR="00A76A65" w:rsidRPr="0052271C" w:rsidRDefault="00A76A65" w:rsidP="00D93305">
      <w:pPr>
        <w:spacing w:line="276" w:lineRule="auto"/>
        <w:ind w:firstLine="567"/>
        <w:contextualSpacing/>
        <w:jc w:val="both"/>
        <w:rPr>
          <w:rFonts w:eastAsia="Calibri"/>
          <w:kern w:val="24"/>
          <w:lang w:val="sr-Cyrl-RS"/>
        </w:rPr>
      </w:pPr>
      <w:r w:rsidRPr="0052271C">
        <w:rPr>
          <w:rFonts w:eastAsia="Calibri"/>
          <w:kern w:val="24"/>
          <w:lang w:val="sr-Cyrl-RS"/>
        </w:rPr>
        <w:t xml:space="preserve">Прегледом правног и </w:t>
      </w:r>
      <w:r w:rsidR="00831B67" w:rsidRPr="0052271C">
        <w:rPr>
          <w:rFonts w:eastAsia="Calibri"/>
          <w:kern w:val="24"/>
          <w:lang w:val="sr-Cyrl-RS"/>
        </w:rPr>
        <w:t>институционалног</w:t>
      </w:r>
      <w:r w:rsidRPr="0052271C">
        <w:rPr>
          <w:rFonts w:eastAsia="Calibri"/>
          <w:kern w:val="24"/>
          <w:lang w:val="sr-Cyrl-RS"/>
        </w:rPr>
        <w:t xml:space="preserve"> оквира </w:t>
      </w:r>
      <w:r w:rsidR="005C4FF5" w:rsidRPr="0052271C">
        <w:rPr>
          <w:rFonts w:eastAsia="Calibri"/>
          <w:kern w:val="24"/>
          <w:lang w:val="sr-Cyrl-RS"/>
        </w:rPr>
        <w:t xml:space="preserve">утврђено је </w:t>
      </w:r>
      <w:r w:rsidR="00EC5DE0" w:rsidRPr="0052271C">
        <w:rPr>
          <w:rFonts w:eastAsia="Calibri"/>
          <w:kern w:val="24"/>
          <w:lang w:val="sr-Cyrl-RS"/>
        </w:rPr>
        <w:t xml:space="preserve">да </w:t>
      </w:r>
      <w:r w:rsidRPr="0052271C">
        <w:rPr>
          <w:rFonts w:eastAsia="Calibri"/>
          <w:kern w:val="24"/>
          <w:lang w:val="sr-Cyrl-RS"/>
        </w:rPr>
        <w:t>ниједна државна институција не врши три главна овлашћења власништва</w:t>
      </w:r>
      <w:r w:rsidR="00852B61" w:rsidRPr="0052271C">
        <w:rPr>
          <w:rFonts w:eastAsia="Calibri"/>
          <w:kern w:val="24"/>
          <w:lang w:val="sr-Cyrl-RS"/>
        </w:rPr>
        <w:t xml:space="preserve"> у смислу контроле</w:t>
      </w:r>
      <w:r w:rsidRPr="0052271C">
        <w:rPr>
          <w:rFonts w:eastAsia="Calibri"/>
          <w:iCs/>
          <w:kern w:val="24"/>
          <w:lang w:val="sr-Cyrl-RS"/>
        </w:rPr>
        <w:t>, одговорност</w:t>
      </w:r>
      <w:r w:rsidR="00852B61" w:rsidRPr="0052271C">
        <w:rPr>
          <w:rFonts w:eastAsia="Calibri"/>
          <w:iCs/>
          <w:kern w:val="24"/>
          <w:lang w:val="sr-Cyrl-RS"/>
        </w:rPr>
        <w:t>и</w:t>
      </w:r>
      <w:r w:rsidRPr="0052271C">
        <w:rPr>
          <w:rFonts w:eastAsia="Calibri"/>
          <w:iCs/>
          <w:kern w:val="24"/>
          <w:lang w:val="sr-Cyrl-RS"/>
        </w:rPr>
        <w:t xml:space="preserve"> и</w:t>
      </w:r>
      <w:r w:rsidR="00852B61" w:rsidRPr="0052271C">
        <w:rPr>
          <w:rFonts w:eastAsia="Calibri"/>
          <w:iCs/>
          <w:kern w:val="24"/>
          <w:lang w:val="sr-Cyrl-RS"/>
        </w:rPr>
        <w:t xml:space="preserve"> управљачке</w:t>
      </w:r>
      <w:r w:rsidRPr="0052271C">
        <w:rPr>
          <w:rFonts w:eastAsia="Calibri"/>
          <w:iCs/>
          <w:kern w:val="24"/>
          <w:lang w:val="sr-Cyrl-RS"/>
        </w:rPr>
        <w:t xml:space="preserve"> способност</w:t>
      </w:r>
      <w:r w:rsidR="00852B61" w:rsidRPr="0052271C">
        <w:rPr>
          <w:rFonts w:eastAsia="Calibri"/>
          <w:iCs/>
          <w:kern w:val="24"/>
          <w:lang w:val="sr-Cyrl-RS"/>
        </w:rPr>
        <w:t>и</w:t>
      </w:r>
      <w:r w:rsidR="00740BFE" w:rsidRPr="0052271C">
        <w:rPr>
          <w:rFonts w:eastAsia="Calibri"/>
          <w:iCs/>
          <w:kern w:val="24"/>
          <w:lang w:val="sr-Cyrl-RS"/>
        </w:rPr>
        <w:t>.</w:t>
      </w:r>
    </w:p>
    <w:p w14:paraId="102C572D" w14:textId="759E39D4" w:rsidR="00852B61" w:rsidRPr="0052271C" w:rsidRDefault="00A76A65" w:rsidP="00D93305">
      <w:pPr>
        <w:spacing w:line="276" w:lineRule="auto"/>
        <w:ind w:firstLine="567"/>
        <w:contextualSpacing/>
        <w:jc w:val="both"/>
        <w:rPr>
          <w:b/>
          <w:bCs/>
          <w:lang w:val="sr-Cyrl-RS"/>
        </w:rPr>
      </w:pPr>
      <w:r w:rsidRPr="0052271C">
        <w:rPr>
          <w:rFonts w:eastAsia="Calibri"/>
          <w:kern w:val="24"/>
          <w:lang w:val="sr-Cyrl-RS"/>
        </w:rPr>
        <w:t>Тренутно се власничко управљање над ПСРС изражава кроз организационе јединице у Министарству</w:t>
      </w:r>
      <w:r w:rsidRPr="0052271C">
        <w:rPr>
          <w:rStyle w:val="FootnoteReference"/>
          <w:rFonts w:eastAsia="Calibri"/>
          <w:kern w:val="24"/>
          <w:lang w:val="sr-Cyrl-RS"/>
        </w:rPr>
        <w:footnoteReference w:id="13"/>
      </w:r>
      <w:r w:rsidRPr="0052271C">
        <w:rPr>
          <w:rFonts w:eastAsia="Calibri"/>
          <w:kern w:val="24"/>
          <w:lang w:val="sr-Cyrl-RS"/>
        </w:rPr>
        <w:t>, Министарству финансија</w:t>
      </w:r>
      <w:r w:rsidRPr="0052271C">
        <w:rPr>
          <w:rStyle w:val="FootnoteReference"/>
          <w:rFonts w:eastAsia="Calibri"/>
          <w:kern w:val="24"/>
          <w:lang w:val="sr-Cyrl-RS"/>
        </w:rPr>
        <w:footnoteReference w:id="14"/>
      </w:r>
      <w:r w:rsidR="00852B61" w:rsidRPr="0052271C">
        <w:rPr>
          <w:rFonts w:eastAsia="Calibri"/>
          <w:kern w:val="24"/>
          <w:lang w:val="sr-Cyrl-RS"/>
        </w:rPr>
        <w:t xml:space="preserve"> </w:t>
      </w:r>
      <w:r w:rsidRPr="0052271C">
        <w:rPr>
          <w:rFonts w:eastAsia="Calibri"/>
          <w:kern w:val="24"/>
          <w:lang w:val="sr-Cyrl-RS"/>
        </w:rPr>
        <w:t xml:space="preserve">и у ресорним министарствима. Не постоји доследан </w:t>
      </w:r>
      <w:r w:rsidR="00852B61" w:rsidRPr="0052271C">
        <w:rPr>
          <w:rFonts w:eastAsia="Calibri"/>
          <w:kern w:val="24"/>
          <w:lang w:val="sr-Cyrl-RS"/>
        </w:rPr>
        <w:t>и уједначен систем праћења, контроле и надзора над радом</w:t>
      </w:r>
      <w:r w:rsidRPr="0052271C">
        <w:rPr>
          <w:rFonts w:eastAsia="Calibri"/>
          <w:kern w:val="24"/>
          <w:lang w:val="sr-Cyrl-RS"/>
        </w:rPr>
        <w:t xml:space="preserve"> </w:t>
      </w:r>
      <w:r w:rsidR="00852B61" w:rsidRPr="0052271C">
        <w:rPr>
          <w:rFonts w:eastAsia="Calibri"/>
          <w:kern w:val="24"/>
          <w:lang w:val="sr-Cyrl-RS"/>
        </w:rPr>
        <w:t>ПСРС</w:t>
      </w:r>
      <w:r w:rsidRPr="0052271C">
        <w:rPr>
          <w:rFonts w:eastAsia="Calibri"/>
          <w:kern w:val="24"/>
          <w:lang w:val="sr-Cyrl-RS"/>
        </w:rPr>
        <w:t xml:space="preserve">, а </w:t>
      </w:r>
      <w:r w:rsidR="00852B61" w:rsidRPr="0052271C">
        <w:rPr>
          <w:rFonts w:eastAsia="Calibri"/>
          <w:kern w:val="24"/>
          <w:lang w:val="sr-Cyrl-RS"/>
        </w:rPr>
        <w:t xml:space="preserve">њихово </w:t>
      </w:r>
      <w:r w:rsidRPr="0052271C">
        <w:rPr>
          <w:rFonts w:eastAsia="Calibri"/>
          <w:kern w:val="24"/>
          <w:lang w:val="sr-Cyrl-RS"/>
        </w:rPr>
        <w:t xml:space="preserve">усмеравање и контрола су посебно ограничени када су у питању </w:t>
      </w:r>
      <w:r w:rsidR="00852B61" w:rsidRPr="0052271C">
        <w:rPr>
          <w:rFonts w:eastAsia="Calibri"/>
          <w:kern w:val="24"/>
          <w:lang w:val="sr-Cyrl-RS"/>
        </w:rPr>
        <w:t>ПСРС ван делокруга ових министарстава</w:t>
      </w:r>
      <w:r w:rsidRPr="0052271C">
        <w:rPr>
          <w:rFonts w:eastAsia="Calibri"/>
          <w:kern w:val="24"/>
          <w:lang w:val="sr-Cyrl-RS"/>
        </w:rPr>
        <w:t>.</w:t>
      </w:r>
    </w:p>
    <w:p w14:paraId="48C86B9D" w14:textId="521D5F78" w:rsidR="00A76A65" w:rsidRPr="0052271C" w:rsidRDefault="00852B61" w:rsidP="008F7FA1">
      <w:pPr>
        <w:spacing w:line="276" w:lineRule="auto"/>
        <w:ind w:firstLine="567"/>
        <w:contextualSpacing/>
        <w:jc w:val="both"/>
        <w:rPr>
          <w:color w:val="FF0000"/>
          <w:lang w:val="sr-Cyrl-RS"/>
        </w:rPr>
      </w:pPr>
      <w:r w:rsidRPr="0052271C">
        <w:rPr>
          <w:bCs/>
          <w:lang w:val="sr-Cyrl-RS"/>
        </w:rPr>
        <w:lastRenderedPageBreak/>
        <w:t xml:space="preserve">Самим </w:t>
      </w:r>
      <w:r w:rsidR="008560F0" w:rsidRPr="0052271C">
        <w:rPr>
          <w:bCs/>
          <w:lang w:val="sr-Cyrl-RS"/>
        </w:rPr>
        <w:t>тим, могућност државе да омогући</w:t>
      </w:r>
      <w:r w:rsidRPr="0052271C">
        <w:rPr>
          <w:bCs/>
          <w:lang w:val="sr-Cyrl-RS"/>
        </w:rPr>
        <w:t xml:space="preserve"> </w:t>
      </w:r>
      <w:r w:rsidR="008560F0" w:rsidRPr="0052271C">
        <w:rPr>
          <w:bCs/>
          <w:lang w:val="sr-Cyrl-RS"/>
        </w:rPr>
        <w:t xml:space="preserve">јединствени </w:t>
      </w:r>
      <w:r w:rsidRPr="0052271C">
        <w:rPr>
          <w:bCs/>
          <w:lang w:val="sr-Cyrl-RS"/>
        </w:rPr>
        <w:t xml:space="preserve">стратешки правац и циљеве </w:t>
      </w:r>
      <w:r w:rsidR="008560F0" w:rsidRPr="0052271C">
        <w:rPr>
          <w:bCs/>
          <w:lang w:val="sr-Cyrl-RS"/>
        </w:rPr>
        <w:t>ПСРС</w:t>
      </w:r>
      <w:r w:rsidRPr="0052271C">
        <w:rPr>
          <w:lang w:val="sr-Cyrl-RS"/>
        </w:rPr>
        <w:t xml:space="preserve">, </w:t>
      </w:r>
      <w:r w:rsidR="008560F0" w:rsidRPr="0052271C">
        <w:rPr>
          <w:lang w:val="sr-Cyrl-RS"/>
        </w:rPr>
        <w:t>н</w:t>
      </w:r>
      <w:r w:rsidRPr="0052271C">
        <w:rPr>
          <w:lang w:val="sr-Cyrl-RS"/>
        </w:rPr>
        <w:t xml:space="preserve">а основу јасног знања о њиховом пословању и резултатима је </w:t>
      </w:r>
      <w:r w:rsidR="008560F0" w:rsidRPr="0052271C">
        <w:rPr>
          <w:lang w:val="sr-Cyrl-RS"/>
        </w:rPr>
        <w:t xml:space="preserve">врло </w:t>
      </w:r>
      <w:r w:rsidRPr="0052271C">
        <w:rPr>
          <w:lang w:val="sr-Cyrl-RS"/>
        </w:rPr>
        <w:t>отежана</w:t>
      </w:r>
      <w:r w:rsidR="008560F0" w:rsidRPr="0052271C">
        <w:rPr>
          <w:lang w:val="sr-Cyrl-RS"/>
        </w:rPr>
        <w:t xml:space="preserve">. </w:t>
      </w:r>
      <w:r w:rsidR="008F7FA1" w:rsidRPr="0052271C">
        <w:rPr>
          <w:color w:val="000000" w:themeColor="text1"/>
          <w:lang w:val="sr-Cyrl-RS"/>
        </w:rPr>
        <w:t>Ц</w:t>
      </w:r>
      <w:r w:rsidR="008560F0" w:rsidRPr="0052271C">
        <w:rPr>
          <w:color w:val="000000" w:themeColor="text1"/>
          <w:lang w:val="sr-Cyrl-RS"/>
        </w:rPr>
        <w:t>иљеви власничког управљања нису</w:t>
      </w:r>
      <w:r w:rsidRPr="0052271C">
        <w:rPr>
          <w:color w:val="000000" w:themeColor="text1"/>
          <w:lang w:val="sr-Cyrl-RS"/>
        </w:rPr>
        <w:t xml:space="preserve"> јасно дефинисани, већ се </w:t>
      </w:r>
      <w:r w:rsidR="008560F0" w:rsidRPr="0052271C">
        <w:rPr>
          <w:color w:val="000000" w:themeColor="text1"/>
          <w:lang w:val="sr-Cyrl-RS"/>
        </w:rPr>
        <w:t>одређују</w:t>
      </w:r>
      <w:r w:rsidRPr="0052271C">
        <w:rPr>
          <w:color w:val="000000" w:themeColor="text1"/>
          <w:lang w:val="sr-Cyrl-RS"/>
        </w:rPr>
        <w:t xml:space="preserve"> </w:t>
      </w:r>
      <w:r w:rsidR="00836C5B" w:rsidRPr="0052271C">
        <w:rPr>
          <w:color w:val="000000" w:themeColor="text1"/>
          <w:lang w:val="sr-Cyrl-RS"/>
        </w:rPr>
        <w:t xml:space="preserve">на основу </w:t>
      </w:r>
      <w:r w:rsidRPr="0052271C">
        <w:rPr>
          <w:color w:val="000000" w:themeColor="text1"/>
          <w:lang w:val="sr-Cyrl-RS"/>
        </w:rPr>
        <w:t>закон</w:t>
      </w:r>
      <w:r w:rsidR="008560F0" w:rsidRPr="0052271C">
        <w:rPr>
          <w:color w:val="000000" w:themeColor="text1"/>
          <w:lang w:val="sr-Cyrl-RS"/>
        </w:rPr>
        <w:t>а</w:t>
      </w:r>
      <w:r w:rsidR="005C4FF5" w:rsidRPr="0052271C">
        <w:rPr>
          <w:color w:val="000000" w:themeColor="text1"/>
          <w:lang w:val="sr-Cyrl-RS"/>
        </w:rPr>
        <w:t xml:space="preserve"> и стратешких докумената</w:t>
      </w:r>
      <w:r w:rsidR="008560F0" w:rsidRPr="0052271C">
        <w:rPr>
          <w:color w:val="000000" w:themeColor="text1"/>
          <w:lang w:val="sr-Cyrl-RS"/>
        </w:rPr>
        <w:t>, кој</w:t>
      </w:r>
      <w:r w:rsidR="002511C6" w:rsidRPr="0052271C">
        <w:rPr>
          <w:color w:val="000000" w:themeColor="text1"/>
          <w:lang w:val="sr-Cyrl-RS"/>
        </w:rPr>
        <w:t>и</w:t>
      </w:r>
      <w:r w:rsidR="008560F0" w:rsidRPr="0052271C">
        <w:rPr>
          <w:color w:val="000000" w:themeColor="text1"/>
          <w:lang w:val="sr-Cyrl-RS"/>
        </w:rPr>
        <w:t xml:space="preserve"> су врло често у међусобној колизији</w:t>
      </w:r>
      <w:r w:rsidRPr="0052271C">
        <w:rPr>
          <w:lang w:val="sr-Cyrl-RS"/>
        </w:rPr>
        <w:t xml:space="preserve">. </w:t>
      </w:r>
    </w:p>
    <w:p w14:paraId="1A87C450" w14:textId="79397DBB" w:rsidR="00740BFE" w:rsidRPr="0052271C" w:rsidRDefault="00740BFE" w:rsidP="00D93305">
      <w:pPr>
        <w:spacing w:line="276" w:lineRule="auto"/>
        <w:ind w:firstLine="567"/>
        <w:contextualSpacing/>
        <w:jc w:val="both"/>
        <w:rPr>
          <w:rFonts w:eastAsia="Calibri"/>
          <w:kern w:val="24"/>
          <w:lang w:val="sr-Cyrl-RS"/>
        </w:rPr>
      </w:pPr>
      <w:r w:rsidRPr="0052271C">
        <w:rPr>
          <w:lang w:val="sr-Cyrl-RS"/>
        </w:rPr>
        <w:t xml:space="preserve">Сви ови проблеми </w:t>
      </w:r>
      <w:r w:rsidR="008560F0" w:rsidRPr="0052271C">
        <w:rPr>
          <w:lang w:val="sr-Cyrl-RS"/>
        </w:rPr>
        <w:t>у надзору</w:t>
      </w:r>
      <w:r w:rsidRPr="0052271C">
        <w:rPr>
          <w:lang w:val="sr-Cyrl-RS"/>
        </w:rPr>
        <w:t xml:space="preserve"> над ПСРС</w:t>
      </w:r>
      <w:r w:rsidR="008560F0" w:rsidRPr="0052271C">
        <w:rPr>
          <w:lang w:val="sr-Cyrl-RS"/>
        </w:rPr>
        <w:t>, праћењу њихових учина</w:t>
      </w:r>
      <w:r w:rsidRPr="0052271C">
        <w:rPr>
          <w:lang w:val="sr-Cyrl-RS"/>
        </w:rPr>
        <w:t xml:space="preserve">ка, као </w:t>
      </w:r>
      <w:r w:rsidR="008560F0" w:rsidRPr="0052271C">
        <w:rPr>
          <w:lang w:val="sr-Cyrl-RS"/>
        </w:rPr>
        <w:t>и недостатак доследног стратешког усмеравања и контроле представљају значајне фискалне ризике</w:t>
      </w:r>
      <w:r w:rsidRPr="0052271C">
        <w:rPr>
          <w:lang w:val="sr-Cyrl-RS"/>
        </w:rPr>
        <w:t>, што ће се превазићи ц</w:t>
      </w:r>
      <w:r w:rsidRPr="0052271C">
        <w:rPr>
          <w:rFonts w:eastAsia="Calibri"/>
          <w:kern w:val="24"/>
          <w:lang w:val="sr-Cyrl-RS"/>
        </w:rPr>
        <w:t>ентрализовањем власничких одговорности и надлежности у један ентитет.</w:t>
      </w:r>
    </w:p>
    <w:p w14:paraId="3D6BE5AC" w14:textId="77CF64A2" w:rsidR="00FD7F44" w:rsidRPr="0052271C" w:rsidRDefault="00D93305" w:rsidP="00F9577D">
      <w:pPr>
        <w:spacing w:line="276" w:lineRule="auto"/>
        <w:ind w:firstLine="567"/>
        <w:contextualSpacing/>
        <w:jc w:val="both"/>
        <w:rPr>
          <w:lang w:val="sr-Cyrl-RS"/>
        </w:rPr>
      </w:pPr>
      <w:r w:rsidRPr="0052271C">
        <w:rPr>
          <w:lang w:val="sr-Cyrl-RS"/>
        </w:rPr>
        <w:t>На</w:t>
      </w:r>
      <w:r w:rsidR="00FD7F44" w:rsidRPr="0052271C">
        <w:rPr>
          <w:lang w:val="sr-Cyrl-RS"/>
        </w:rPr>
        <w:t xml:space="preserve"> </w:t>
      </w:r>
      <w:r w:rsidRPr="0052271C">
        <w:rPr>
          <w:lang w:val="sr-Cyrl-RS"/>
        </w:rPr>
        <w:t>међународном</w:t>
      </w:r>
      <w:r w:rsidR="00FD7F44" w:rsidRPr="0052271C">
        <w:rPr>
          <w:lang w:val="sr-Cyrl-RS"/>
        </w:rPr>
        <w:t xml:space="preserve"> </w:t>
      </w:r>
      <w:r w:rsidRPr="0052271C">
        <w:rPr>
          <w:lang w:val="sr-Cyrl-RS"/>
        </w:rPr>
        <w:t>плану</w:t>
      </w:r>
      <w:r w:rsidR="00FD7F44" w:rsidRPr="0052271C">
        <w:rPr>
          <w:lang w:val="sr-Cyrl-RS"/>
        </w:rPr>
        <w:t>,</w:t>
      </w:r>
      <w:r w:rsidR="00836C5B" w:rsidRPr="0052271C">
        <w:rPr>
          <w:lang w:val="sr-Cyrl-RS"/>
        </w:rPr>
        <w:t xml:space="preserve"> примери </w:t>
      </w:r>
      <w:r w:rsidR="00531104" w:rsidRPr="0052271C">
        <w:rPr>
          <w:lang w:val="sr-Cyrl-RS"/>
        </w:rPr>
        <w:t xml:space="preserve">добре </w:t>
      </w:r>
      <w:r w:rsidR="00836C5B" w:rsidRPr="0052271C">
        <w:rPr>
          <w:lang w:val="sr-Cyrl-RS"/>
        </w:rPr>
        <w:t>праксе показују да се</w:t>
      </w:r>
      <w:r w:rsidR="00FD7F44" w:rsidRPr="0052271C">
        <w:rPr>
          <w:lang w:val="sr-Cyrl-RS"/>
        </w:rPr>
        <w:t xml:space="preserve"> </w:t>
      </w:r>
      <w:r w:rsidRPr="0052271C">
        <w:rPr>
          <w:lang w:val="sr-Cyrl-RS"/>
        </w:rPr>
        <w:t>министарство</w:t>
      </w:r>
      <w:r w:rsidR="00FD7F44" w:rsidRPr="0052271C">
        <w:rPr>
          <w:lang w:val="sr-Cyrl-RS"/>
        </w:rPr>
        <w:t xml:space="preserve"> </w:t>
      </w:r>
      <w:r w:rsidRPr="0052271C">
        <w:rPr>
          <w:lang w:val="sr-Cyrl-RS"/>
        </w:rPr>
        <w:t>задужено</w:t>
      </w:r>
      <w:r w:rsidR="00FD7F44" w:rsidRPr="0052271C">
        <w:rPr>
          <w:lang w:val="sr-Cyrl-RS"/>
        </w:rPr>
        <w:t xml:space="preserve"> </w:t>
      </w:r>
      <w:r w:rsidRPr="0052271C">
        <w:rPr>
          <w:lang w:val="sr-Cyrl-RS"/>
        </w:rPr>
        <w:t>за</w:t>
      </w:r>
      <w:r w:rsidR="00FD7F44" w:rsidRPr="0052271C">
        <w:rPr>
          <w:lang w:val="sr-Cyrl-RS"/>
        </w:rPr>
        <w:t xml:space="preserve"> </w:t>
      </w:r>
      <w:r w:rsidRPr="0052271C">
        <w:rPr>
          <w:lang w:val="sr-Cyrl-RS"/>
        </w:rPr>
        <w:t>привреду</w:t>
      </w:r>
      <w:r w:rsidR="00FD7F44" w:rsidRPr="0052271C">
        <w:rPr>
          <w:lang w:val="sr-Cyrl-RS"/>
        </w:rPr>
        <w:t>/</w:t>
      </w:r>
      <w:r w:rsidRPr="0052271C">
        <w:rPr>
          <w:lang w:val="sr-Cyrl-RS"/>
        </w:rPr>
        <w:t>финансије</w:t>
      </w:r>
      <w:r w:rsidR="00FD7F44" w:rsidRPr="0052271C">
        <w:rPr>
          <w:lang w:val="sr-Cyrl-RS"/>
        </w:rPr>
        <w:t xml:space="preserve"> </w:t>
      </w:r>
      <w:r w:rsidRPr="0052271C">
        <w:rPr>
          <w:lang w:val="sr-Cyrl-RS"/>
        </w:rPr>
        <w:t>неретко</w:t>
      </w:r>
      <w:r w:rsidR="00FD7F44" w:rsidRPr="0052271C">
        <w:rPr>
          <w:lang w:val="sr-Cyrl-RS"/>
        </w:rPr>
        <w:t xml:space="preserve"> </w:t>
      </w:r>
      <w:r w:rsidRPr="0052271C">
        <w:rPr>
          <w:lang w:val="sr-Cyrl-RS"/>
        </w:rPr>
        <w:t>бира</w:t>
      </w:r>
      <w:r w:rsidR="00FD7F44" w:rsidRPr="0052271C">
        <w:rPr>
          <w:lang w:val="sr-Cyrl-RS"/>
        </w:rPr>
        <w:t xml:space="preserve"> </w:t>
      </w:r>
      <w:r w:rsidRPr="0052271C">
        <w:rPr>
          <w:lang w:val="sr-Cyrl-RS"/>
        </w:rPr>
        <w:t>за</w:t>
      </w:r>
      <w:r w:rsidR="00FD7F44" w:rsidRPr="0052271C">
        <w:rPr>
          <w:lang w:val="sr-Cyrl-RS"/>
        </w:rPr>
        <w:t xml:space="preserve"> </w:t>
      </w:r>
      <w:r w:rsidRPr="0052271C">
        <w:rPr>
          <w:lang w:val="sr-Cyrl-RS"/>
        </w:rPr>
        <w:t>место</w:t>
      </w:r>
      <w:r w:rsidR="00FD7F44" w:rsidRPr="0052271C">
        <w:rPr>
          <w:lang w:val="sr-Cyrl-RS"/>
        </w:rPr>
        <w:t xml:space="preserve"> </w:t>
      </w:r>
      <w:r w:rsidRPr="0052271C">
        <w:rPr>
          <w:lang w:val="sr-Cyrl-RS"/>
        </w:rPr>
        <w:t>у</w:t>
      </w:r>
      <w:r w:rsidR="00FD7F44" w:rsidRPr="0052271C">
        <w:rPr>
          <w:lang w:val="sr-Cyrl-RS"/>
        </w:rPr>
        <w:t xml:space="preserve"> </w:t>
      </w:r>
      <w:r w:rsidRPr="0052271C">
        <w:rPr>
          <w:lang w:val="sr-Cyrl-RS"/>
        </w:rPr>
        <w:t>оквиру</w:t>
      </w:r>
      <w:r w:rsidR="00FD7F44" w:rsidRPr="0052271C">
        <w:rPr>
          <w:lang w:val="sr-Cyrl-RS"/>
        </w:rPr>
        <w:t xml:space="preserve"> </w:t>
      </w:r>
      <w:r w:rsidRPr="0052271C">
        <w:rPr>
          <w:lang w:val="sr-Cyrl-RS"/>
        </w:rPr>
        <w:t>кога</w:t>
      </w:r>
      <w:r w:rsidR="00FD7F44" w:rsidRPr="0052271C">
        <w:rPr>
          <w:lang w:val="sr-Cyrl-RS"/>
        </w:rPr>
        <w:t xml:space="preserve"> </w:t>
      </w:r>
      <w:r w:rsidRPr="0052271C">
        <w:rPr>
          <w:lang w:val="sr-Cyrl-RS"/>
        </w:rPr>
        <w:t>постоји</w:t>
      </w:r>
      <w:r w:rsidR="00FD7F44" w:rsidRPr="0052271C">
        <w:rPr>
          <w:lang w:val="sr-Cyrl-RS"/>
        </w:rPr>
        <w:t xml:space="preserve"> </w:t>
      </w:r>
      <w:r w:rsidR="00BC050A" w:rsidRPr="0052271C">
        <w:rPr>
          <w:lang w:val="sr-Cyrl-RS"/>
        </w:rPr>
        <w:t>овакав</w:t>
      </w:r>
      <w:r w:rsidR="00FD7F44" w:rsidRPr="0052271C">
        <w:rPr>
          <w:lang w:val="sr-Cyrl-RS"/>
        </w:rPr>
        <w:t xml:space="preserve"> </w:t>
      </w:r>
      <w:r w:rsidR="00BC050A" w:rsidRPr="0052271C">
        <w:rPr>
          <w:lang w:val="sr-Cyrl-RS"/>
        </w:rPr>
        <w:t>централизовани</w:t>
      </w:r>
      <w:r w:rsidR="00FD7F44" w:rsidRPr="0052271C">
        <w:rPr>
          <w:lang w:val="sr-Cyrl-RS"/>
        </w:rPr>
        <w:t xml:space="preserve"> </w:t>
      </w:r>
      <w:r w:rsidR="00BC050A" w:rsidRPr="0052271C">
        <w:rPr>
          <w:lang w:val="sr-Cyrl-RS"/>
        </w:rPr>
        <w:t>власнички ентитет</w:t>
      </w:r>
      <w:r w:rsidR="00FD7F44" w:rsidRPr="0052271C">
        <w:rPr>
          <w:lang w:val="sr-Cyrl-RS"/>
        </w:rPr>
        <w:t xml:space="preserve"> </w:t>
      </w:r>
      <w:r w:rsidRPr="0052271C">
        <w:rPr>
          <w:lang w:val="sr-Cyrl-RS"/>
        </w:rPr>
        <w:t>будући</w:t>
      </w:r>
      <w:r w:rsidR="00FD7F44" w:rsidRPr="0052271C">
        <w:rPr>
          <w:lang w:val="sr-Cyrl-RS"/>
        </w:rPr>
        <w:t xml:space="preserve"> </w:t>
      </w:r>
      <w:r w:rsidRPr="0052271C">
        <w:rPr>
          <w:lang w:val="sr-Cyrl-RS"/>
        </w:rPr>
        <w:t>да</w:t>
      </w:r>
      <w:r w:rsidR="00E11709" w:rsidRPr="0052271C">
        <w:rPr>
          <w:lang w:val="sr-Cyrl-RS"/>
        </w:rPr>
        <w:t>:</w:t>
      </w:r>
      <w:r w:rsidR="00FD7F44" w:rsidRPr="0052271C">
        <w:rPr>
          <w:lang w:val="sr-Cyrl-RS"/>
        </w:rPr>
        <w:t xml:space="preserve"> </w:t>
      </w:r>
      <w:r w:rsidR="002471AE" w:rsidRPr="0052271C">
        <w:rPr>
          <w:lang w:val="sr-Cyrl-RS"/>
        </w:rPr>
        <w:t>a</w:t>
      </w:r>
      <w:r w:rsidR="00FD7F44" w:rsidRPr="0052271C">
        <w:rPr>
          <w:lang w:val="sr-Cyrl-RS"/>
        </w:rPr>
        <w:t xml:space="preserve">) </w:t>
      </w:r>
      <w:r w:rsidRPr="0052271C">
        <w:rPr>
          <w:lang w:val="sr-Cyrl-RS"/>
        </w:rPr>
        <w:t>често</w:t>
      </w:r>
      <w:r w:rsidR="00FD7F44" w:rsidRPr="0052271C">
        <w:rPr>
          <w:lang w:val="sr-Cyrl-RS"/>
        </w:rPr>
        <w:t xml:space="preserve"> </w:t>
      </w:r>
      <w:r w:rsidRPr="0052271C">
        <w:rPr>
          <w:lang w:val="sr-Cyrl-RS"/>
        </w:rPr>
        <w:t>поседује</w:t>
      </w:r>
      <w:r w:rsidR="00FD7F44" w:rsidRPr="0052271C">
        <w:rPr>
          <w:lang w:val="sr-Cyrl-RS"/>
        </w:rPr>
        <w:t xml:space="preserve"> </w:t>
      </w:r>
      <w:r w:rsidRPr="0052271C">
        <w:rPr>
          <w:lang w:val="sr-Cyrl-RS"/>
        </w:rPr>
        <w:t>акције</w:t>
      </w:r>
      <w:r w:rsidR="00836C5B" w:rsidRPr="0052271C">
        <w:rPr>
          <w:lang w:val="sr-Cyrl-RS"/>
        </w:rPr>
        <w:t xml:space="preserve"> </w:t>
      </w:r>
      <w:r w:rsidR="00D330D4" w:rsidRPr="0052271C">
        <w:rPr>
          <w:lang w:val="sr-Cyrl-RS"/>
        </w:rPr>
        <w:t>друштва у власништву државе</w:t>
      </w:r>
      <w:r w:rsidR="00836C5B" w:rsidRPr="0052271C">
        <w:rPr>
          <w:lang w:val="sr-Cyrl-RS"/>
        </w:rPr>
        <w:t>,</w:t>
      </w:r>
      <w:r w:rsidR="00FD7F44" w:rsidRPr="0052271C">
        <w:rPr>
          <w:lang w:val="sr-Cyrl-RS"/>
        </w:rPr>
        <w:t xml:space="preserve"> </w:t>
      </w:r>
      <w:r w:rsidR="002471AE" w:rsidRPr="0052271C">
        <w:rPr>
          <w:lang w:val="sr-Cyrl-RS"/>
        </w:rPr>
        <w:t>б</w:t>
      </w:r>
      <w:r w:rsidR="00FD7F44" w:rsidRPr="0052271C">
        <w:rPr>
          <w:lang w:val="sr-Cyrl-RS"/>
        </w:rPr>
        <w:t xml:space="preserve">) </w:t>
      </w:r>
      <w:r w:rsidRPr="0052271C">
        <w:rPr>
          <w:lang w:val="sr-Cyrl-RS"/>
        </w:rPr>
        <w:t>његова</w:t>
      </w:r>
      <w:r w:rsidR="00FD7F44" w:rsidRPr="0052271C">
        <w:rPr>
          <w:lang w:val="sr-Cyrl-RS"/>
        </w:rPr>
        <w:t xml:space="preserve"> </w:t>
      </w:r>
      <w:r w:rsidRPr="0052271C">
        <w:rPr>
          <w:lang w:val="sr-Cyrl-RS"/>
        </w:rPr>
        <w:t>улога</w:t>
      </w:r>
      <w:r w:rsidR="00FD7F44" w:rsidRPr="0052271C">
        <w:rPr>
          <w:lang w:val="sr-Cyrl-RS"/>
        </w:rPr>
        <w:t xml:space="preserve"> </w:t>
      </w:r>
      <w:r w:rsidRPr="0052271C">
        <w:rPr>
          <w:lang w:val="sr-Cyrl-RS"/>
        </w:rPr>
        <w:t>у</w:t>
      </w:r>
      <w:r w:rsidR="00FD7F44" w:rsidRPr="0052271C">
        <w:rPr>
          <w:lang w:val="sr-Cyrl-RS"/>
        </w:rPr>
        <w:t xml:space="preserve"> </w:t>
      </w:r>
      <w:r w:rsidRPr="0052271C">
        <w:rPr>
          <w:lang w:val="sr-Cyrl-RS"/>
        </w:rPr>
        <w:t>праћењу</w:t>
      </w:r>
      <w:r w:rsidR="00531104" w:rsidRPr="0052271C">
        <w:rPr>
          <w:lang w:val="sr-Cyrl-RS"/>
        </w:rPr>
        <w:t xml:space="preserve"> </w:t>
      </w:r>
      <w:r w:rsidR="00D330D4" w:rsidRPr="0052271C">
        <w:rPr>
          <w:lang w:val="sr-Cyrl-RS"/>
        </w:rPr>
        <w:t>друштава у власништву државе</w:t>
      </w:r>
      <w:r w:rsidR="00836C5B" w:rsidRPr="0052271C">
        <w:rPr>
          <w:lang w:val="sr-Cyrl-RS"/>
        </w:rPr>
        <w:t xml:space="preserve"> </w:t>
      </w:r>
      <w:r w:rsidRPr="0052271C">
        <w:rPr>
          <w:lang w:val="sr-Cyrl-RS"/>
        </w:rPr>
        <w:t>ради</w:t>
      </w:r>
      <w:r w:rsidR="00FD7F44" w:rsidRPr="0052271C">
        <w:rPr>
          <w:lang w:val="sr-Cyrl-RS"/>
        </w:rPr>
        <w:t xml:space="preserve"> </w:t>
      </w:r>
      <w:r w:rsidRPr="0052271C">
        <w:rPr>
          <w:lang w:val="sr-Cyrl-RS"/>
        </w:rPr>
        <w:t>финансијске</w:t>
      </w:r>
      <w:r w:rsidR="00FD7F44" w:rsidRPr="0052271C">
        <w:rPr>
          <w:lang w:val="sr-Cyrl-RS"/>
        </w:rPr>
        <w:t xml:space="preserve"> </w:t>
      </w:r>
      <w:r w:rsidRPr="0052271C">
        <w:rPr>
          <w:lang w:val="sr-Cyrl-RS"/>
        </w:rPr>
        <w:t>или</w:t>
      </w:r>
      <w:r w:rsidR="00FD7F44" w:rsidRPr="0052271C">
        <w:rPr>
          <w:lang w:val="sr-Cyrl-RS"/>
        </w:rPr>
        <w:t xml:space="preserve"> </w:t>
      </w:r>
      <w:r w:rsidRPr="0052271C">
        <w:rPr>
          <w:lang w:val="sr-Cyrl-RS"/>
        </w:rPr>
        <w:t>фискалне</w:t>
      </w:r>
      <w:r w:rsidR="00FD7F44" w:rsidRPr="0052271C">
        <w:rPr>
          <w:lang w:val="sr-Cyrl-RS"/>
        </w:rPr>
        <w:t xml:space="preserve"> </w:t>
      </w:r>
      <w:r w:rsidRPr="0052271C">
        <w:rPr>
          <w:lang w:val="sr-Cyrl-RS"/>
        </w:rPr>
        <w:t>дисциплине</w:t>
      </w:r>
      <w:r w:rsidR="00FD7F44" w:rsidRPr="0052271C">
        <w:rPr>
          <w:lang w:val="sr-Cyrl-RS"/>
        </w:rPr>
        <w:t xml:space="preserve"> </w:t>
      </w:r>
      <w:r w:rsidRPr="0052271C">
        <w:rPr>
          <w:lang w:val="sr-Cyrl-RS"/>
        </w:rPr>
        <w:t>значи</w:t>
      </w:r>
      <w:r w:rsidR="00FD7F44" w:rsidRPr="0052271C">
        <w:rPr>
          <w:lang w:val="sr-Cyrl-RS"/>
        </w:rPr>
        <w:t xml:space="preserve"> </w:t>
      </w:r>
      <w:r w:rsidRPr="0052271C">
        <w:rPr>
          <w:lang w:val="sr-Cyrl-RS"/>
        </w:rPr>
        <w:t>да</w:t>
      </w:r>
      <w:r w:rsidR="00FD7F44" w:rsidRPr="0052271C">
        <w:rPr>
          <w:lang w:val="sr-Cyrl-RS"/>
        </w:rPr>
        <w:t xml:space="preserve"> </w:t>
      </w:r>
      <w:r w:rsidRPr="0052271C">
        <w:rPr>
          <w:lang w:val="sr-Cyrl-RS"/>
        </w:rPr>
        <w:t>је</w:t>
      </w:r>
      <w:r w:rsidR="00FD7F44" w:rsidRPr="0052271C">
        <w:rPr>
          <w:lang w:val="sr-Cyrl-RS"/>
        </w:rPr>
        <w:t xml:space="preserve"> </w:t>
      </w:r>
      <w:r w:rsidRPr="0052271C">
        <w:rPr>
          <w:lang w:val="sr-Cyrl-RS"/>
        </w:rPr>
        <w:t>оно</w:t>
      </w:r>
      <w:r w:rsidR="00FD7F44" w:rsidRPr="0052271C">
        <w:rPr>
          <w:lang w:val="sr-Cyrl-RS"/>
        </w:rPr>
        <w:t xml:space="preserve"> </w:t>
      </w:r>
      <w:r w:rsidRPr="0052271C">
        <w:rPr>
          <w:lang w:val="sr-Cyrl-RS"/>
        </w:rPr>
        <w:t>једино</w:t>
      </w:r>
      <w:r w:rsidR="00FD7F44" w:rsidRPr="0052271C">
        <w:rPr>
          <w:lang w:val="sr-Cyrl-RS"/>
        </w:rPr>
        <w:t xml:space="preserve"> </w:t>
      </w:r>
      <w:r w:rsidRPr="0052271C">
        <w:rPr>
          <w:lang w:val="sr-Cyrl-RS"/>
        </w:rPr>
        <w:t>у</w:t>
      </w:r>
      <w:r w:rsidR="00FD7F44" w:rsidRPr="0052271C">
        <w:rPr>
          <w:lang w:val="sr-Cyrl-RS"/>
        </w:rPr>
        <w:t xml:space="preserve"> </w:t>
      </w:r>
      <w:r w:rsidRPr="0052271C">
        <w:rPr>
          <w:lang w:val="sr-Cyrl-RS"/>
        </w:rPr>
        <w:t>стању</w:t>
      </w:r>
      <w:r w:rsidR="00FD7F44" w:rsidRPr="0052271C">
        <w:rPr>
          <w:lang w:val="sr-Cyrl-RS"/>
        </w:rPr>
        <w:t xml:space="preserve"> </w:t>
      </w:r>
      <w:r w:rsidRPr="0052271C">
        <w:rPr>
          <w:lang w:val="sr-Cyrl-RS"/>
        </w:rPr>
        <w:t>да</w:t>
      </w:r>
      <w:r w:rsidR="00FD7F44" w:rsidRPr="0052271C">
        <w:rPr>
          <w:lang w:val="sr-Cyrl-RS"/>
        </w:rPr>
        <w:t xml:space="preserve"> </w:t>
      </w:r>
      <w:r w:rsidRPr="0052271C">
        <w:rPr>
          <w:lang w:val="sr-Cyrl-RS"/>
        </w:rPr>
        <w:t>пружи</w:t>
      </w:r>
      <w:r w:rsidR="00FD7F44" w:rsidRPr="0052271C">
        <w:rPr>
          <w:lang w:val="sr-Cyrl-RS"/>
        </w:rPr>
        <w:t xml:space="preserve"> </w:t>
      </w:r>
      <w:r w:rsidR="002511C6" w:rsidRPr="0052271C">
        <w:rPr>
          <w:lang w:val="sr-Cyrl-RS"/>
        </w:rPr>
        <w:t>В</w:t>
      </w:r>
      <w:r w:rsidRPr="0052271C">
        <w:rPr>
          <w:lang w:val="sr-Cyrl-RS"/>
        </w:rPr>
        <w:t>лади</w:t>
      </w:r>
      <w:r w:rsidR="00FD7F44" w:rsidRPr="0052271C">
        <w:rPr>
          <w:lang w:val="sr-Cyrl-RS"/>
        </w:rPr>
        <w:t xml:space="preserve"> </w:t>
      </w:r>
      <w:r w:rsidRPr="0052271C">
        <w:rPr>
          <w:lang w:val="sr-Cyrl-RS"/>
        </w:rPr>
        <w:t>свеобухватне</w:t>
      </w:r>
      <w:r w:rsidR="00FD7F44" w:rsidRPr="0052271C">
        <w:rPr>
          <w:lang w:val="sr-Cyrl-RS"/>
        </w:rPr>
        <w:t xml:space="preserve"> </w:t>
      </w:r>
      <w:r w:rsidRPr="0052271C">
        <w:rPr>
          <w:lang w:val="sr-Cyrl-RS"/>
        </w:rPr>
        <w:t>податке</w:t>
      </w:r>
      <w:r w:rsidR="00FD7F44" w:rsidRPr="0052271C">
        <w:rPr>
          <w:lang w:val="sr-Cyrl-RS"/>
        </w:rPr>
        <w:t xml:space="preserve"> </w:t>
      </w:r>
      <w:r w:rsidRPr="0052271C">
        <w:rPr>
          <w:lang w:val="sr-Cyrl-RS"/>
        </w:rPr>
        <w:t>и</w:t>
      </w:r>
      <w:r w:rsidR="00FD7F44" w:rsidRPr="0052271C">
        <w:rPr>
          <w:lang w:val="sr-Cyrl-RS"/>
        </w:rPr>
        <w:t xml:space="preserve"> </w:t>
      </w:r>
      <w:r w:rsidR="002471AE" w:rsidRPr="0052271C">
        <w:rPr>
          <w:lang w:val="sr-Cyrl-RS"/>
        </w:rPr>
        <w:t>в</w:t>
      </w:r>
      <w:r w:rsidR="00FD7F44" w:rsidRPr="0052271C">
        <w:rPr>
          <w:lang w:val="sr-Cyrl-RS"/>
        </w:rPr>
        <w:t xml:space="preserve">) </w:t>
      </w:r>
      <w:r w:rsidRPr="0052271C">
        <w:rPr>
          <w:lang w:val="sr-Cyrl-RS"/>
        </w:rPr>
        <w:t>често</w:t>
      </w:r>
      <w:r w:rsidR="00FD7F44" w:rsidRPr="0052271C">
        <w:rPr>
          <w:lang w:val="sr-Cyrl-RS"/>
        </w:rPr>
        <w:t xml:space="preserve"> </w:t>
      </w:r>
      <w:r w:rsidRPr="0052271C">
        <w:rPr>
          <w:lang w:val="sr-Cyrl-RS"/>
        </w:rPr>
        <w:t>има</w:t>
      </w:r>
      <w:r w:rsidR="00FD7F44" w:rsidRPr="0052271C">
        <w:rPr>
          <w:lang w:val="sr-Cyrl-RS"/>
        </w:rPr>
        <w:t xml:space="preserve"> </w:t>
      </w:r>
      <w:r w:rsidR="00836C5B" w:rsidRPr="0052271C">
        <w:rPr>
          <w:lang w:val="sr-Cyrl-RS"/>
        </w:rPr>
        <w:t>кадрове</w:t>
      </w:r>
      <w:r w:rsidR="00FD7F44" w:rsidRPr="0052271C">
        <w:rPr>
          <w:lang w:val="sr-Cyrl-RS"/>
        </w:rPr>
        <w:t xml:space="preserve"> </w:t>
      </w:r>
      <w:r w:rsidRPr="0052271C">
        <w:rPr>
          <w:lang w:val="sr-Cyrl-RS"/>
        </w:rPr>
        <w:t>са</w:t>
      </w:r>
      <w:r w:rsidR="00FD7F44" w:rsidRPr="0052271C">
        <w:rPr>
          <w:lang w:val="sr-Cyrl-RS"/>
        </w:rPr>
        <w:t xml:space="preserve"> </w:t>
      </w:r>
      <w:r w:rsidRPr="0052271C">
        <w:rPr>
          <w:lang w:val="sr-Cyrl-RS"/>
        </w:rPr>
        <w:t>посебним</w:t>
      </w:r>
      <w:r w:rsidR="00FD7F44" w:rsidRPr="0052271C">
        <w:rPr>
          <w:lang w:val="sr-Cyrl-RS"/>
        </w:rPr>
        <w:t xml:space="preserve"> </w:t>
      </w:r>
      <w:r w:rsidRPr="0052271C">
        <w:rPr>
          <w:lang w:val="sr-Cyrl-RS"/>
        </w:rPr>
        <w:t>финансијским</w:t>
      </w:r>
      <w:r w:rsidR="00FD7F44" w:rsidRPr="0052271C">
        <w:rPr>
          <w:lang w:val="sr-Cyrl-RS"/>
        </w:rPr>
        <w:t xml:space="preserve"> </w:t>
      </w:r>
      <w:r w:rsidRPr="0052271C">
        <w:rPr>
          <w:lang w:val="sr-Cyrl-RS"/>
        </w:rPr>
        <w:t>и</w:t>
      </w:r>
      <w:r w:rsidR="00FD7F44" w:rsidRPr="0052271C">
        <w:rPr>
          <w:lang w:val="sr-Cyrl-RS"/>
        </w:rPr>
        <w:t xml:space="preserve"> </w:t>
      </w:r>
      <w:r w:rsidRPr="0052271C">
        <w:rPr>
          <w:lang w:val="sr-Cyrl-RS"/>
        </w:rPr>
        <w:t>економским</w:t>
      </w:r>
      <w:r w:rsidR="00FD7F44" w:rsidRPr="0052271C">
        <w:rPr>
          <w:lang w:val="sr-Cyrl-RS"/>
        </w:rPr>
        <w:t xml:space="preserve"> </w:t>
      </w:r>
      <w:r w:rsidRPr="0052271C">
        <w:rPr>
          <w:lang w:val="sr-Cyrl-RS"/>
        </w:rPr>
        <w:t>знањима</w:t>
      </w:r>
      <w:r w:rsidR="00FD7F44" w:rsidRPr="0052271C">
        <w:rPr>
          <w:lang w:val="sr-Cyrl-RS"/>
        </w:rPr>
        <w:t xml:space="preserve"> </w:t>
      </w:r>
      <w:r w:rsidRPr="0052271C">
        <w:rPr>
          <w:lang w:val="sr-Cyrl-RS"/>
        </w:rPr>
        <w:t>и</w:t>
      </w:r>
      <w:r w:rsidR="00FD7F44" w:rsidRPr="0052271C">
        <w:rPr>
          <w:lang w:val="sr-Cyrl-RS"/>
        </w:rPr>
        <w:t xml:space="preserve"> </w:t>
      </w:r>
      <w:r w:rsidRPr="0052271C">
        <w:rPr>
          <w:lang w:val="sr-Cyrl-RS"/>
        </w:rPr>
        <w:t>вештинама</w:t>
      </w:r>
      <w:r w:rsidR="00FD7F44" w:rsidRPr="0052271C">
        <w:rPr>
          <w:lang w:val="sr-Cyrl-RS"/>
        </w:rPr>
        <w:t>.</w:t>
      </w:r>
      <w:r w:rsidRPr="0052271C">
        <w:rPr>
          <w:rStyle w:val="FootnoteReference"/>
          <w:lang w:val="sr-Cyrl-RS"/>
        </w:rPr>
        <w:footnoteReference w:id="15"/>
      </w:r>
    </w:p>
    <w:p w14:paraId="4A34E13A" w14:textId="691D9BFC" w:rsidR="00961531" w:rsidRPr="0052271C" w:rsidRDefault="00961531" w:rsidP="00F9577D">
      <w:pPr>
        <w:spacing w:line="276" w:lineRule="auto"/>
        <w:ind w:firstLine="567"/>
        <w:jc w:val="both"/>
        <w:rPr>
          <w:lang w:val="sr-Cyrl-RS" w:eastAsia="en-US"/>
        </w:rPr>
      </w:pPr>
      <w:r w:rsidRPr="0052271C">
        <w:rPr>
          <w:lang w:val="sr-Cyrl-RS"/>
        </w:rPr>
        <w:t xml:space="preserve">На основу наведеног, </w:t>
      </w:r>
      <w:r w:rsidR="00DA3FE0" w:rsidRPr="0052271C">
        <w:rPr>
          <w:lang w:val="sr-Cyrl-RS"/>
        </w:rPr>
        <w:t xml:space="preserve">Полазним основама </w:t>
      </w:r>
      <w:r w:rsidRPr="0052271C">
        <w:rPr>
          <w:lang w:val="sr-Cyrl-RS"/>
        </w:rPr>
        <w:t xml:space="preserve">је утврђено да ће </w:t>
      </w:r>
      <w:r w:rsidRPr="0052271C">
        <w:rPr>
          <w:lang w:val="sr-Cyrl-RS" w:eastAsia="en-US"/>
        </w:rPr>
        <w:t xml:space="preserve">Министарство бити </w:t>
      </w:r>
      <w:r w:rsidR="00BC050A" w:rsidRPr="0052271C">
        <w:rPr>
          <w:rFonts w:eastAsiaTheme="minorHAnsi"/>
          <w:lang w:val="sr-Cyrl-RS" w:eastAsia="en-US"/>
        </w:rPr>
        <w:t xml:space="preserve">орган државне управе који обавља </w:t>
      </w:r>
      <w:r w:rsidR="00BC050A" w:rsidRPr="0052271C">
        <w:rPr>
          <w:lang w:val="sr-Cyrl-RS" w:eastAsia="en-US"/>
        </w:rPr>
        <w:t>централизовану власничку функцију</w:t>
      </w:r>
      <w:r w:rsidRPr="0052271C">
        <w:rPr>
          <w:lang w:val="sr-Cyrl-RS" w:eastAsia="en-US"/>
        </w:rPr>
        <w:t xml:space="preserve">, </w:t>
      </w:r>
      <w:r w:rsidR="00B051BD" w:rsidRPr="0052271C">
        <w:rPr>
          <w:lang w:val="sr-Cyrl-RS" w:eastAsia="en-US"/>
        </w:rPr>
        <w:t>у складу са надлежношћу прописаном</w:t>
      </w:r>
      <w:r w:rsidRPr="0052271C">
        <w:rPr>
          <w:lang w:val="sr-Cyrl-RS" w:eastAsia="en-US"/>
        </w:rPr>
        <w:t xml:space="preserve"> Законом о министарствима.  </w:t>
      </w:r>
    </w:p>
    <w:p w14:paraId="55B61A18" w14:textId="5BFE3818" w:rsidR="00ED5A4E" w:rsidRPr="0052271C" w:rsidRDefault="00961531" w:rsidP="001213A0">
      <w:pPr>
        <w:spacing w:line="276" w:lineRule="auto"/>
        <w:ind w:firstLine="567"/>
        <w:jc w:val="both"/>
        <w:rPr>
          <w:lang w:val="sr-Cyrl-RS" w:eastAsia="en-US"/>
        </w:rPr>
      </w:pPr>
      <w:r w:rsidRPr="0052271C">
        <w:rPr>
          <w:lang w:val="sr-Cyrl-RS" w:eastAsia="en-US"/>
        </w:rPr>
        <w:t>Имајући у виду прописану надлежност, Министарство</w:t>
      </w:r>
      <w:r w:rsidR="00531104" w:rsidRPr="0052271C">
        <w:rPr>
          <w:lang w:val="sr-Cyrl-RS" w:eastAsia="en-US"/>
        </w:rPr>
        <w:t xml:space="preserve"> ће као</w:t>
      </w:r>
      <w:r w:rsidR="009A1CA7" w:rsidRPr="0052271C">
        <w:rPr>
          <w:rFonts w:eastAsiaTheme="minorHAnsi"/>
          <w:lang w:val="sr-Cyrl-RS" w:eastAsia="en-US"/>
        </w:rPr>
        <w:t xml:space="preserve"> орган државне управе који обавља </w:t>
      </w:r>
      <w:r w:rsidR="009A1CA7" w:rsidRPr="0052271C">
        <w:rPr>
          <w:lang w:val="sr-Cyrl-RS" w:eastAsia="en-US"/>
        </w:rPr>
        <w:t>централизовану власничку функцију</w:t>
      </w:r>
      <w:r w:rsidR="00531104" w:rsidRPr="0052271C">
        <w:rPr>
          <w:lang w:val="sr-Cyrl-RS" w:eastAsia="en-US"/>
        </w:rPr>
        <w:t xml:space="preserve"> </w:t>
      </w:r>
      <w:r w:rsidR="009A1CA7" w:rsidRPr="0052271C">
        <w:rPr>
          <w:lang w:val="sr-Cyrl-RS" w:eastAsia="en-US"/>
        </w:rPr>
        <w:t xml:space="preserve">(у даљем тексту: централизовани власнички ентитет) </w:t>
      </w:r>
      <w:r w:rsidRPr="0052271C">
        <w:rPr>
          <w:lang w:val="sr-Cyrl-RS" w:eastAsia="en-US"/>
        </w:rPr>
        <w:t xml:space="preserve">вршити даље активности на успостављању јединствене политике државног власништва, укључујући и координацију осталих надлежних министарстава и органа, као и постављање јасних очекивања </w:t>
      </w:r>
      <w:r w:rsidR="00EB4593" w:rsidRPr="0052271C">
        <w:rPr>
          <w:lang w:val="sr-Cyrl-RS" w:eastAsia="en-US"/>
        </w:rPr>
        <w:t>ПСРС</w:t>
      </w:r>
      <w:r w:rsidRPr="0052271C">
        <w:rPr>
          <w:lang w:val="sr-Cyrl-RS" w:eastAsia="en-US"/>
        </w:rPr>
        <w:t>.</w:t>
      </w:r>
    </w:p>
    <w:p w14:paraId="19B87CA3" w14:textId="6B1709CB" w:rsidR="006E2FAD" w:rsidRPr="0052271C" w:rsidRDefault="006E2FAD" w:rsidP="00B16CB6">
      <w:pPr>
        <w:spacing w:before="240" w:line="276" w:lineRule="auto"/>
        <w:ind w:firstLine="567"/>
        <w:jc w:val="both"/>
        <w:rPr>
          <w:lang w:val="sr-Cyrl-RS" w:eastAsia="en-US"/>
        </w:rPr>
      </w:pPr>
      <w:r w:rsidRPr="0052271C">
        <w:rPr>
          <w:lang w:val="sr-Cyrl-RS" w:eastAsia="en-US"/>
        </w:rPr>
        <w:t xml:space="preserve">Стратегијом </w:t>
      </w:r>
      <w:r w:rsidR="00531104" w:rsidRPr="0052271C">
        <w:rPr>
          <w:lang w:val="sr-Cyrl-RS" w:eastAsia="en-US"/>
        </w:rPr>
        <w:t xml:space="preserve">се </w:t>
      </w:r>
      <w:r w:rsidRPr="0052271C">
        <w:rPr>
          <w:lang w:val="sr-Cyrl-RS" w:eastAsia="en-US"/>
        </w:rPr>
        <w:t>утврђује улога Министарства као центр</w:t>
      </w:r>
      <w:r w:rsidR="009A1CA7" w:rsidRPr="0052271C">
        <w:rPr>
          <w:lang w:val="sr-Cyrl-RS" w:eastAsia="en-US"/>
        </w:rPr>
        <w:t>ализова</w:t>
      </w:r>
      <w:r w:rsidRPr="0052271C">
        <w:rPr>
          <w:lang w:val="sr-Cyrl-RS" w:eastAsia="en-US"/>
        </w:rPr>
        <w:t>ног власничког ентитета, а такође се утврђују мере потребне да му се омогући да испуни ову функцију (ажурирање досадашњег и израда новог правног оквира као и јачање кадровског и материјално-техничког капацитета Министарства).</w:t>
      </w:r>
    </w:p>
    <w:p w14:paraId="0F96F12F" w14:textId="6DDFA076" w:rsidR="00D97C8E" w:rsidRPr="0052271C" w:rsidRDefault="00765EC1" w:rsidP="00D93305">
      <w:pPr>
        <w:pStyle w:val="NoSpacing"/>
        <w:spacing w:before="120" w:after="120" w:line="276" w:lineRule="auto"/>
        <w:ind w:firstLine="567"/>
        <w:jc w:val="both"/>
        <w:rPr>
          <w:rFonts w:ascii="Times New Roman" w:hAnsi="Times New Roman" w:cs="Times New Roman"/>
          <w:lang w:val="sr-Cyrl-RS"/>
        </w:rPr>
      </w:pPr>
      <w:r w:rsidRPr="0052271C">
        <w:rPr>
          <w:rFonts w:ascii="Times New Roman" w:hAnsi="Times New Roman" w:cs="Times New Roman"/>
          <w:lang w:val="sr-Cyrl-RS"/>
        </w:rPr>
        <w:t>Стратегијом се</w:t>
      </w:r>
      <w:r w:rsidR="00A50000" w:rsidRPr="0052271C">
        <w:rPr>
          <w:rFonts w:ascii="Times New Roman" w:hAnsi="Times New Roman" w:cs="Times New Roman"/>
          <w:lang w:val="sr-Cyrl-RS"/>
        </w:rPr>
        <w:t xml:space="preserve"> </w:t>
      </w:r>
      <w:r w:rsidRPr="0052271C">
        <w:rPr>
          <w:rFonts w:ascii="Times New Roman" w:hAnsi="Times New Roman" w:cs="Times New Roman"/>
          <w:lang w:val="sr-Cyrl-RS"/>
        </w:rPr>
        <w:t>одређују</w:t>
      </w:r>
      <w:r w:rsidR="00A50000" w:rsidRPr="0052271C">
        <w:rPr>
          <w:rFonts w:ascii="Times New Roman" w:hAnsi="Times New Roman" w:cs="Times New Roman"/>
          <w:lang w:val="sr-Cyrl-RS"/>
        </w:rPr>
        <w:t xml:space="preserve"> </w:t>
      </w:r>
      <w:r w:rsidRPr="0052271C">
        <w:rPr>
          <w:rFonts w:ascii="Times New Roman" w:hAnsi="Times New Roman" w:cs="Times New Roman"/>
          <w:lang w:val="sr-Cyrl-RS"/>
        </w:rPr>
        <w:t>разлози</w:t>
      </w:r>
      <w:r w:rsidR="00A50000" w:rsidRPr="0052271C">
        <w:rPr>
          <w:rFonts w:ascii="Times New Roman" w:hAnsi="Times New Roman" w:cs="Times New Roman"/>
          <w:lang w:val="sr-Cyrl-RS"/>
        </w:rPr>
        <w:t xml:space="preserve"> за централизовани власнички систем</w:t>
      </w:r>
      <w:r w:rsidRPr="0052271C">
        <w:rPr>
          <w:rFonts w:ascii="Times New Roman" w:hAnsi="Times New Roman" w:cs="Times New Roman"/>
          <w:lang w:val="sr-Cyrl-RS"/>
        </w:rPr>
        <w:t xml:space="preserve"> и</w:t>
      </w:r>
      <w:r w:rsidR="00A50000" w:rsidRPr="0052271C">
        <w:rPr>
          <w:rFonts w:ascii="Times New Roman" w:hAnsi="Times New Roman" w:cs="Times New Roman"/>
          <w:lang w:val="sr-Cyrl-RS"/>
        </w:rPr>
        <w:t xml:space="preserve"> улог</w:t>
      </w:r>
      <w:r w:rsidRPr="0052271C">
        <w:rPr>
          <w:rFonts w:ascii="Times New Roman" w:hAnsi="Times New Roman" w:cs="Times New Roman"/>
          <w:lang w:val="sr-Cyrl-RS"/>
        </w:rPr>
        <w:t>а</w:t>
      </w:r>
      <w:r w:rsidR="00A50000" w:rsidRPr="0052271C">
        <w:rPr>
          <w:rFonts w:ascii="Times New Roman" w:hAnsi="Times New Roman" w:cs="Times New Roman"/>
          <w:lang w:val="sr-Cyrl-RS"/>
        </w:rPr>
        <w:t xml:space="preserve"> Министарства у управљању </w:t>
      </w:r>
      <w:r w:rsidR="00B433F9" w:rsidRPr="0052271C">
        <w:rPr>
          <w:rFonts w:ascii="Times New Roman" w:hAnsi="Times New Roman" w:cs="Times New Roman"/>
          <w:lang w:val="sr-Cyrl-RS"/>
        </w:rPr>
        <w:t>ПСРС</w:t>
      </w:r>
      <w:r w:rsidR="00A50000" w:rsidRPr="0052271C">
        <w:rPr>
          <w:rFonts w:ascii="Times New Roman" w:hAnsi="Times New Roman" w:cs="Times New Roman"/>
          <w:lang w:val="sr-Cyrl-RS"/>
        </w:rPr>
        <w:t>, док ће о</w:t>
      </w:r>
      <w:r w:rsidR="004200FC" w:rsidRPr="0052271C">
        <w:rPr>
          <w:rFonts w:ascii="Times New Roman" w:hAnsi="Times New Roman" w:cs="Times New Roman"/>
          <w:lang w:val="sr-Cyrl-RS"/>
        </w:rPr>
        <w:t>бим и делокруг државног влас</w:t>
      </w:r>
      <w:r w:rsidR="00A50000" w:rsidRPr="0052271C">
        <w:rPr>
          <w:rFonts w:ascii="Times New Roman" w:hAnsi="Times New Roman" w:cs="Times New Roman"/>
          <w:lang w:val="sr-Cyrl-RS"/>
        </w:rPr>
        <w:t>ништва бити</w:t>
      </w:r>
      <w:r w:rsidR="004200FC" w:rsidRPr="0052271C">
        <w:rPr>
          <w:rFonts w:ascii="Times New Roman" w:hAnsi="Times New Roman" w:cs="Times New Roman"/>
          <w:lang w:val="sr-Cyrl-RS"/>
        </w:rPr>
        <w:t xml:space="preserve"> дијагностикован</w:t>
      </w:r>
      <w:r w:rsidR="001523E2" w:rsidRPr="0052271C">
        <w:rPr>
          <w:rFonts w:ascii="Times New Roman" w:hAnsi="Times New Roman" w:cs="Times New Roman"/>
          <w:lang w:val="sr-Cyrl-RS"/>
        </w:rPr>
        <w:t>и</w:t>
      </w:r>
      <w:r w:rsidR="004200FC" w:rsidRPr="0052271C">
        <w:rPr>
          <w:rFonts w:ascii="Times New Roman" w:hAnsi="Times New Roman" w:cs="Times New Roman"/>
          <w:lang w:val="sr-Cyrl-RS"/>
        </w:rPr>
        <w:t xml:space="preserve"> и дефинисан</w:t>
      </w:r>
      <w:r w:rsidR="001523E2" w:rsidRPr="0052271C">
        <w:rPr>
          <w:rFonts w:ascii="Times New Roman" w:hAnsi="Times New Roman" w:cs="Times New Roman"/>
          <w:lang w:val="sr-Cyrl-RS"/>
        </w:rPr>
        <w:t>и</w:t>
      </w:r>
      <w:r w:rsidR="004200FC" w:rsidRPr="0052271C">
        <w:rPr>
          <w:rFonts w:ascii="Times New Roman" w:hAnsi="Times New Roman" w:cs="Times New Roman"/>
          <w:lang w:val="sr-Cyrl-RS"/>
        </w:rPr>
        <w:t xml:space="preserve"> кроз </w:t>
      </w:r>
      <w:r w:rsidR="00D24CAF" w:rsidRPr="0052271C">
        <w:rPr>
          <w:rFonts w:ascii="Times New Roman" w:hAnsi="Times New Roman" w:cs="Times New Roman"/>
          <w:lang w:val="sr-Cyrl-RS"/>
        </w:rPr>
        <w:t>будућу измену</w:t>
      </w:r>
      <w:r w:rsidRPr="0052271C">
        <w:rPr>
          <w:rFonts w:ascii="Times New Roman" w:hAnsi="Times New Roman" w:cs="Times New Roman"/>
          <w:lang w:val="sr-Cyrl-RS"/>
        </w:rPr>
        <w:t xml:space="preserve"> и уједначавање</w:t>
      </w:r>
      <w:r w:rsidR="004200FC" w:rsidRPr="0052271C">
        <w:rPr>
          <w:rFonts w:ascii="Times New Roman" w:hAnsi="Times New Roman" w:cs="Times New Roman"/>
          <w:lang w:val="sr-Cyrl-RS"/>
        </w:rPr>
        <w:t xml:space="preserve"> пра</w:t>
      </w:r>
      <w:r w:rsidR="00D24CAF" w:rsidRPr="0052271C">
        <w:rPr>
          <w:rFonts w:ascii="Times New Roman" w:hAnsi="Times New Roman" w:cs="Times New Roman"/>
          <w:lang w:val="sr-Cyrl-RS"/>
        </w:rPr>
        <w:t>вног</w:t>
      </w:r>
      <w:r w:rsidR="004200FC" w:rsidRPr="0052271C">
        <w:rPr>
          <w:rFonts w:ascii="Times New Roman" w:hAnsi="Times New Roman" w:cs="Times New Roman"/>
          <w:lang w:val="sr-Cyrl-RS"/>
        </w:rPr>
        <w:t xml:space="preserve"> оквир</w:t>
      </w:r>
      <w:r w:rsidR="00D24CAF" w:rsidRPr="0052271C">
        <w:rPr>
          <w:rFonts w:ascii="Times New Roman" w:hAnsi="Times New Roman" w:cs="Times New Roman"/>
          <w:lang w:val="sr-Cyrl-RS"/>
        </w:rPr>
        <w:t>а</w:t>
      </w:r>
      <w:r w:rsidR="004E240E" w:rsidRPr="0052271C">
        <w:rPr>
          <w:rStyle w:val="FootnoteReference"/>
          <w:rFonts w:ascii="Times New Roman" w:hAnsi="Times New Roman" w:cs="Times New Roman"/>
          <w:lang w:val="sr-Cyrl-RS"/>
        </w:rPr>
        <w:footnoteReference w:id="16"/>
      </w:r>
      <w:r w:rsidR="00A50000" w:rsidRPr="0052271C">
        <w:rPr>
          <w:rFonts w:ascii="Times New Roman" w:hAnsi="Times New Roman" w:cs="Times New Roman"/>
          <w:lang w:val="sr-Cyrl-RS"/>
        </w:rPr>
        <w:t>.</w:t>
      </w:r>
    </w:p>
    <w:p w14:paraId="67B62F9D" w14:textId="2428820D" w:rsidR="00D1127E" w:rsidRPr="0052271C" w:rsidRDefault="00D1127E" w:rsidP="00D93305">
      <w:pPr>
        <w:spacing w:line="276" w:lineRule="auto"/>
        <w:ind w:firstLine="567"/>
        <w:jc w:val="both"/>
        <w:rPr>
          <w:lang w:val="sr-Cyrl-RS" w:eastAsia="en-US"/>
        </w:rPr>
      </w:pPr>
      <w:r w:rsidRPr="0052271C">
        <w:rPr>
          <w:lang w:val="sr-Cyrl-RS" w:eastAsia="en-US"/>
        </w:rPr>
        <w:t>У спровођењу</w:t>
      </w:r>
      <w:r w:rsidRPr="0052271C">
        <w:rPr>
          <w:lang w:val="sr-Cyrl-RS"/>
        </w:rPr>
        <w:t xml:space="preserve"> јединствене политике државног власништва,</w:t>
      </w:r>
      <w:r w:rsidRPr="0052271C">
        <w:rPr>
          <w:lang w:val="sr-Cyrl-RS" w:eastAsia="en-US"/>
        </w:rPr>
        <w:t xml:space="preserve"> Министарство ће, у сарадњи са ресорним министарствима и надлежним органима</w:t>
      </w:r>
      <w:r w:rsidR="00D479D1" w:rsidRPr="0052271C">
        <w:rPr>
          <w:lang w:val="sr-Cyrl-RS" w:eastAsia="en-US"/>
        </w:rPr>
        <w:t>,</w:t>
      </w:r>
      <w:r w:rsidRPr="0052271C">
        <w:rPr>
          <w:lang w:val="sr-Cyrl-RS" w:eastAsia="en-US"/>
        </w:rPr>
        <w:t xml:space="preserve"> предузети следеће активности:</w:t>
      </w:r>
    </w:p>
    <w:p w14:paraId="534D8C3A" w14:textId="42BAE4EF" w:rsidR="00D1127E" w:rsidRPr="0052271C" w:rsidRDefault="00FC08F4" w:rsidP="00B16CB6">
      <w:pPr>
        <w:numPr>
          <w:ilvl w:val="0"/>
          <w:numId w:val="12"/>
        </w:numPr>
        <w:spacing w:line="276" w:lineRule="auto"/>
        <w:ind w:left="851" w:hanging="284"/>
        <w:jc w:val="both"/>
        <w:rPr>
          <w:lang w:val="sr-Cyrl-RS" w:eastAsia="en-US"/>
        </w:rPr>
      </w:pPr>
      <w:r w:rsidRPr="0052271C">
        <w:rPr>
          <w:lang w:val="sr-Cyrl-RS" w:eastAsia="en-US"/>
        </w:rPr>
        <w:t>и</w:t>
      </w:r>
      <w:r w:rsidR="00D1127E" w:rsidRPr="0052271C">
        <w:rPr>
          <w:lang w:val="sr-Cyrl-RS" w:eastAsia="en-US"/>
        </w:rPr>
        <w:t>звршити анализу свих ПСРС (финансијску, имовинскоправну, корпоративну итд.);</w:t>
      </w:r>
    </w:p>
    <w:p w14:paraId="61096004" w14:textId="16ED741A" w:rsidR="00D1127E" w:rsidRPr="0052271C" w:rsidRDefault="00FC08F4" w:rsidP="00B16CB6">
      <w:pPr>
        <w:numPr>
          <w:ilvl w:val="0"/>
          <w:numId w:val="12"/>
        </w:numPr>
        <w:spacing w:line="276" w:lineRule="auto"/>
        <w:ind w:left="851" w:hanging="284"/>
        <w:jc w:val="both"/>
        <w:rPr>
          <w:lang w:val="sr-Cyrl-RS" w:eastAsia="en-US"/>
        </w:rPr>
      </w:pPr>
      <w:r w:rsidRPr="0052271C">
        <w:rPr>
          <w:lang w:val="sr-Cyrl-RS" w:eastAsia="en-US"/>
        </w:rPr>
        <w:t>и</w:t>
      </w:r>
      <w:r w:rsidR="00D1127E" w:rsidRPr="0052271C">
        <w:rPr>
          <w:lang w:val="sr-Cyrl-RS" w:eastAsia="en-US"/>
        </w:rPr>
        <w:t>звршити класификацију ПСРС (по делатности и важности за државу);</w:t>
      </w:r>
    </w:p>
    <w:p w14:paraId="3FB55637" w14:textId="2E8BC3AA" w:rsidR="00D1127E" w:rsidRPr="0052271C" w:rsidRDefault="00FC08F4" w:rsidP="00B16CB6">
      <w:pPr>
        <w:numPr>
          <w:ilvl w:val="0"/>
          <w:numId w:val="12"/>
        </w:numPr>
        <w:spacing w:line="276" w:lineRule="auto"/>
        <w:ind w:left="851" w:hanging="284"/>
        <w:jc w:val="both"/>
        <w:rPr>
          <w:lang w:val="sr-Cyrl-RS" w:eastAsia="en-US"/>
        </w:rPr>
      </w:pPr>
      <w:r w:rsidRPr="0052271C">
        <w:rPr>
          <w:lang w:val="sr-Cyrl-RS" w:eastAsia="en-US"/>
        </w:rPr>
        <w:t>у</w:t>
      </w:r>
      <w:r w:rsidR="00D1127E" w:rsidRPr="0052271C">
        <w:rPr>
          <w:lang w:val="sr-Cyrl-RS" w:eastAsia="en-US"/>
        </w:rPr>
        <w:t>споставити јединствену евиденцију ПСРС;</w:t>
      </w:r>
    </w:p>
    <w:p w14:paraId="2AB950E0" w14:textId="726EE27C" w:rsidR="00D1127E" w:rsidRPr="0052271C" w:rsidRDefault="00FC08F4" w:rsidP="00B16CB6">
      <w:pPr>
        <w:numPr>
          <w:ilvl w:val="0"/>
          <w:numId w:val="12"/>
        </w:numPr>
        <w:spacing w:line="276" w:lineRule="auto"/>
        <w:ind w:left="851" w:hanging="284"/>
        <w:jc w:val="both"/>
        <w:rPr>
          <w:lang w:val="sr-Cyrl-RS" w:eastAsia="en-US"/>
        </w:rPr>
      </w:pPr>
      <w:r w:rsidRPr="0052271C">
        <w:rPr>
          <w:lang w:val="sr-Cyrl-RS" w:eastAsia="en-US"/>
        </w:rPr>
        <w:t>а</w:t>
      </w:r>
      <w:r w:rsidR="00D1127E" w:rsidRPr="0052271C">
        <w:rPr>
          <w:lang w:val="sr-Cyrl-RS" w:eastAsia="en-US"/>
        </w:rPr>
        <w:t xml:space="preserve">нализирати тренутни правни оквир и пописати акте које је потребно донети, </w:t>
      </w:r>
      <w:r w:rsidRPr="0052271C">
        <w:rPr>
          <w:lang w:val="sr-Cyrl-RS" w:eastAsia="en-US"/>
        </w:rPr>
        <w:t>из</w:t>
      </w:r>
      <w:r w:rsidR="00D1127E" w:rsidRPr="0052271C">
        <w:rPr>
          <w:lang w:val="sr-Cyrl-RS" w:eastAsia="en-US"/>
        </w:rPr>
        <w:t>менити, укинути</w:t>
      </w:r>
      <w:r w:rsidR="00051A05" w:rsidRPr="0052271C">
        <w:rPr>
          <w:lang w:val="sr-Cyrl-RS" w:eastAsia="en-US"/>
        </w:rPr>
        <w:t>, ставити ван снаге</w:t>
      </w:r>
      <w:r w:rsidR="00D1127E" w:rsidRPr="0052271C">
        <w:rPr>
          <w:lang w:val="sr-Cyrl-RS" w:eastAsia="en-US"/>
        </w:rPr>
        <w:t xml:space="preserve"> итд.;</w:t>
      </w:r>
    </w:p>
    <w:p w14:paraId="3F3B79A3" w14:textId="59D87E75" w:rsidR="00D1127E" w:rsidRPr="0052271C" w:rsidRDefault="00FC08F4" w:rsidP="00B16CB6">
      <w:pPr>
        <w:numPr>
          <w:ilvl w:val="0"/>
          <w:numId w:val="12"/>
        </w:numPr>
        <w:spacing w:line="276" w:lineRule="auto"/>
        <w:ind w:left="851" w:hanging="284"/>
        <w:jc w:val="both"/>
        <w:rPr>
          <w:u w:val="single"/>
          <w:lang w:val="sr-Cyrl-RS"/>
        </w:rPr>
      </w:pPr>
      <w:r w:rsidRPr="0052271C">
        <w:rPr>
          <w:lang w:val="sr-Cyrl-RS" w:eastAsia="en-US"/>
        </w:rPr>
        <w:lastRenderedPageBreak/>
        <w:t>и</w:t>
      </w:r>
      <w:r w:rsidR="00D1127E" w:rsidRPr="0052271C">
        <w:rPr>
          <w:lang w:val="sr-Cyrl-RS" w:eastAsia="en-US"/>
        </w:rPr>
        <w:t>зрадити акте за уређење система свих ПСРС и њихових зависних друштава.</w:t>
      </w:r>
    </w:p>
    <w:p w14:paraId="73AAF9AF" w14:textId="77777777" w:rsidR="008F7FA1" w:rsidRPr="0052271C" w:rsidRDefault="008F7FA1" w:rsidP="008F7FA1">
      <w:pPr>
        <w:spacing w:line="276" w:lineRule="auto"/>
        <w:ind w:left="851"/>
        <w:jc w:val="both"/>
        <w:rPr>
          <w:u w:val="single"/>
          <w:lang w:val="sr-Cyrl-RS"/>
        </w:rPr>
      </w:pPr>
    </w:p>
    <w:p w14:paraId="51D948A5" w14:textId="67AA40FD" w:rsidR="007908CF" w:rsidRPr="0052271C" w:rsidRDefault="00096E08" w:rsidP="00096E08">
      <w:pPr>
        <w:spacing w:line="276" w:lineRule="auto"/>
        <w:ind w:firstLine="567"/>
        <w:jc w:val="both"/>
        <w:rPr>
          <w:color w:val="000000" w:themeColor="text1"/>
          <w:lang w:val="sr-Cyrl-RS" w:eastAsia="en-US"/>
        </w:rPr>
      </w:pPr>
      <w:r w:rsidRPr="0052271C">
        <w:rPr>
          <w:color w:val="000000" w:themeColor="text1"/>
          <w:lang w:val="sr-Cyrl-RS" w:eastAsia="en-US"/>
        </w:rPr>
        <w:t xml:space="preserve">Обухват </w:t>
      </w:r>
      <w:r w:rsidR="00D479D1" w:rsidRPr="0052271C">
        <w:rPr>
          <w:color w:val="000000" w:themeColor="text1"/>
          <w:lang w:val="sr-Cyrl-RS" w:eastAsia="en-US"/>
        </w:rPr>
        <w:t>Стратегије</w:t>
      </w:r>
    </w:p>
    <w:p w14:paraId="51102582" w14:textId="77777777" w:rsidR="00096E08" w:rsidRPr="0052271C" w:rsidRDefault="00096E08" w:rsidP="00096E08">
      <w:pPr>
        <w:spacing w:line="276" w:lineRule="auto"/>
        <w:ind w:firstLine="567"/>
        <w:jc w:val="both"/>
        <w:rPr>
          <w:b/>
          <w:color w:val="000000" w:themeColor="text1"/>
          <w:lang w:val="sr-Cyrl-RS" w:eastAsia="en-US"/>
        </w:rPr>
      </w:pPr>
    </w:p>
    <w:p w14:paraId="494551AB" w14:textId="61783694" w:rsidR="007908CF" w:rsidRPr="0052271C" w:rsidRDefault="007908CF" w:rsidP="00096E08">
      <w:pPr>
        <w:spacing w:line="276" w:lineRule="auto"/>
        <w:ind w:firstLine="567"/>
        <w:jc w:val="both"/>
        <w:rPr>
          <w:color w:val="000000" w:themeColor="text1"/>
          <w:lang w:val="sr-Cyrl-RS" w:eastAsia="en-US"/>
        </w:rPr>
      </w:pPr>
      <w:r w:rsidRPr="0052271C">
        <w:rPr>
          <w:color w:val="000000" w:themeColor="text1"/>
          <w:lang w:val="sr-Cyrl-RS" w:eastAsia="en-US"/>
        </w:rPr>
        <w:t>Стратегија се примењује на св</w:t>
      </w:r>
      <w:r w:rsidR="008458DF" w:rsidRPr="0052271C">
        <w:rPr>
          <w:color w:val="000000" w:themeColor="text1"/>
          <w:lang w:val="sr-Cyrl-RS" w:eastAsia="en-US"/>
        </w:rPr>
        <w:t>е</w:t>
      </w:r>
      <w:r w:rsidRPr="0052271C">
        <w:rPr>
          <w:color w:val="000000" w:themeColor="text1"/>
          <w:lang w:val="sr-Cyrl-RS" w:eastAsia="en-US"/>
        </w:rPr>
        <w:t xml:space="preserve"> ПСРС, укључујући и </w:t>
      </w:r>
      <w:r w:rsidR="00446BD6" w:rsidRPr="0052271C">
        <w:rPr>
          <w:color w:val="000000" w:themeColor="text1"/>
          <w:lang w:val="sr-Cyrl-RS" w:eastAsia="en-US"/>
        </w:rPr>
        <w:t xml:space="preserve">њихова </w:t>
      </w:r>
      <w:r w:rsidRPr="0052271C">
        <w:rPr>
          <w:color w:val="000000" w:themeColor="text1"/>
          <w:lang w:val="sr-Cyrl-RS" w:eastAsia="en-US"/>
        </w:rPr>
        <w:t xml:space="preserve">зависна друштва </w:t>
      </w:r>
      <w:r w:rsidR="00BF2186" w:rsidRPr="0052271C">
        <w:rPr>
          <w:color w:val="000000" w:themeColor="text1"/>
          <w:lang w:val="sr-Cyrl-RS" w:eastAsia="en-US"/>
        </w:rPr>
        <w:t>(</w:t>
      </w:r>
      <w:r w:rsidR="00913C79" w:rsidRPr="0052271C">
        <w:rPr>
          <w:color w:val="000000" w:themeColor="text1"/>
          <w:lang w:val="sr-Cyrl-RS" w:eastAsia="en-US"/>
        </w:rPr>
        <w:t xml:space="preserve">у којима су власници са </w:t>
      </w:r>
      <w:r w:rsidR="00BF2186" w:rsidRPr="0052271C">
        <w:rPr>
          <w:color w:val="000000" w:themeColor="text1"/>
          <w:lang w:val="sr-Cyrl-RS" w:eastAsia="en-US"/>
        </w:rPr>
        <w:t xml:space="preserve">више од 50% </w:t>
      </w:r>
      <w:r w:rsidR="00913C79" w:rsidRPr="0052271C">
        <w:rPr>
          <w:color w:val="000000" w:themeColor="text1"/>
          <w:lang w:val="sr-Cyrl-RS" w:eastAsia="en-US"/>
        </w:rPr>
        <w:t>капитала</w:t>
      </w:r>
      <w:r w:rsidR="00BF2186" w:rsidRPr="0052271C">
        <w:rPr>
          <w:color w:val="000000" w:themeColor="text1"/>
          <w:lang w:val="sr-Cyrl-RS" w:eastAsia="en-US"/>
        </w:rPr>
        <w:t>)</w:t>
      </w:r>
      <w:r w:rsidRPr="0052271C">
        <w:rPr>
          <w:color w:val="000000" w:themeColor="text1"/>
          <w:lang w:val="sr-Cyrl-RS" w:eastAsia="en-US"/>
        </w:rPr>
        <w:t>.</w:t>
      </w:r>
    </w:p>
    <w:p w14:paraId="18342B73" w14:textId="2EFF1F7B" w:rsidR="00F656AB" w:rsidRPr="0052271C" w:rsidRDefault="00006AB5" w:rsidP="00096E08">
      <w:pPr>
        <w:spacing w:line="276" w:lineRule="auto"/>
        <w:ind w:firstLine="567"/>
        <w:jc w:val="both"/>
        <w:rPr>
          <w:lang w:val="sr-Cyrl-RS" w:eastAsia="en-US"/>
        </w:rPr>
      </w:pPr>
      <w:r w:rsidRPr="0052271C">
        <w:rPr>
          <w:lang w:val="sr-Cyrl-RS" w:eastAsia="en-US"/>
        </w:rPr>
        <w:t>До к</w:t>
      </w:r>
      <w:r w:rsidR="00C51A51" w:rsidRPr="0052271C">
        <w:rPr>
          <w:lang w:val="sr-Cyrl-RS" w:eastAsia="en-US"/>
        </w:rPr>
        <w:t>ласификације</w:t>
      </w:r>
      <w:r w:rsidRPr="0052271C">
        <w:rPr>
          <w:lang w:val="sr-Cyrl-RS" w:eastAsia="en-US"/>
        </w:rPr>
        <w:t xml:space="preserve"> ПСРС</w:t>
      </w:r>
      <w:r w:rsidR="00F76CCB" w:rsidRPr="0052271C">
        <w:rPr>
          <w:rStyle w:val="FootnoteReference"/>
          <w:lang w:val="sr-Cyrl-RS" w:eastAsia="en-US"/>
        </w:rPr>
        <w:footnoteReference w:id="17"/>
      </w:r>
      <w:r w:rsidRPr="0052271C">
        <w:rPr>
          <w:lang w:val="sr-Cyrl-RS" w:eastAsia="en-US"/>
        </w:rPr>
        <w:t xml:space="preserve">, </w:t>
      </w:r>
      <w:r w:rsidR="0063388F" w:rsidRPr="0052271C">
        <w:rPr>
          <w:lang w:val="sr-Cyrl-RS" w:eastAsia="en-US"/>
        </w:rPr>
        <w:t xml:space="preserve">Стратегија обухвата и </w:t>
      </w:r>
      <w:r w:rsidR="00BF2186" w:rsidRPr="0052271C">
        <w:rPr>
          <w:lang w:val="sr-Cyrl-RS" w:eastAsia="en-US"/>
        </w:rPr>
        <w:t>привредн</w:t>
      </w:r>
      <w:r w:rsidR="0063388F" w:rsidRPr="0052271C">
        <w:rPr>
          <w:lang w:val="sr-Cyrl-RS" w:eastAsia="en-US"/>
        </w:rPr>
        <w:t>е</w:t>
      </w:r>
      <w:r w:rsidR="00BF2186" w:rsidRPr="0052271C">
        <w:rPr>
          <w:lang w:val="sr-Cyrl-RS" w:eastAsia="en-US"/>
        </w:rPr>
        <w:t xml:space="preserve"> субјект</w:t>
      </w:r>
      <w:r w:rsidR="0063388F" w:rsidRPr="0052271C">
        <w:rPr>
          <w:lang w:val="sr-Cyrl-RS" w:eastAsia="en-US"/>
        </w:rPr>
        <w:t>е</w:t>
      </w:r>
      <w:r w:rsidR="00BF2186" w:rsidRPr="0052271C">
        <w:rPr>
          <w:lang w:val="sr-Cyrl-RS" w:eastAsia="en-US"/>
        </w:rPr>
        <w:t xml:space="preserve"> </w:t>
      </w:r>
      <w:r w:rsidR="007908CF" w:rsidRPr="0052271C">
        <w:rPr>
          <w:lang w:val="sr-Cyrl-RS" w:eastAsia="en-US"/>
        </w:rPr>
        <w:t>у којима Република Србија има мањинско право гласа</w:t>
      </w:r>
      <w:r w:rsidR="00BF2186" w:rsidRPr="0052271C">
        <w:rPr>
          <w:lang w:val="sr-Cyrl-RS" w:eastAsia="en-US"/>
        </w:rPr>
        <w:t xml:space="preserve"> </w:t>
      </w:r>
      <w:r w:rsidR="007908CF" w:rsidRPr="0052271C">
        <w:rPr>
          <w:lang w:val="sr-Cyrl-RS" w:eastAsia="en-US"/>
        </w:rPr>
        <w:t>(</w:t>
      </w:r>
      <w:r w:rsidR="00913C79" w:rsidRPr="0052271C">
        <w:rPr>
          <w:lang w:val="sr-Cyrl-RS" w:eastAsia="en-US"/>
        </w:rPr>
        <w:t xml:space="preserve">са власништвом </w:t>
      </w:r>
      <w:r w:rsidR="007908CF" w:rsidRPr="0052271C">
        <w:rPr>
          <w:lang w:val="sr-Cyrl-RS" w:eastAsia="en-US"/>
        </w:rPr>
        <w:t>испод 50%</w:t>
      </w:r>
      <w:r w:rsidR="00BF2186" w:rsidRPr="0052271C">
        <w:rPr>
          <w:lang w:val="sr-Cyrl-RS" w:eastAsia="en-US"/>
        </w:rPr>
        <w:t xml:space="preserve"> </w:t>
      </w:r>
      <w:r w:rsidR="00913C79" w:rsidRPr="0052271C">
        <w:rPr>
          <w:lang w:val="sr-Cyrl-RS" w:eastAsia="en-US"/>
        </w:rPr>
        <w:t>капитала</w:t>
      </w:r>
      <w:r w:rsidR="007908CF" w:rsidRPr="0052271C">
        <w:rPr>
          <w:lang w:val="sr-Cyrl-RS" w:eastAsia="en-US"/>
        </w:rPr>
        <w:t>)</w:t>
      </w:r>
      <w:r w:rsidR="00BF2186" w:rsidRPr="0052271C">
        <w:rPr>
          <w:lang w:val="sr-Cyrl-RS" w:eastAsia="en-US"/>
        </w:rPr>
        <w:t>, након чега ће се одлучити о њиховом статусу.</w:t>
      </w:r>
    </w:p>
    <w:p w14:paraId="5F071D62" w14:textId="5FEEEF32" w:rsidR="007908CF" w:rsidRPr="0052271C" w:rsidRDefault="00F656AB" w:rsidP="00D23B49">
      <w:pPr>
        <w:spacing w:after="160" w:line="259" w:lineRule="auto"/>
        <w:rPr>
          <w:lang w:val="sr-Cyrl-RS" w:eastAsia="en-US"/>
        </w:rPr>
      </w:pPr>
      <w:r w:rsidRPr="0052271C">
        <w:rPr>
          <w:lang w:val="sr-Cyrl-RS" w:eastAsia="en-US"/>
        </w:rPr>
        <w:br w:type="page"/>
      </w:r>
    </w:p>
    <w:p w14:paraId="43770076" w14:textId="77777777" w:rsidR="00096E08" w:rsidRPr="0052271C" w:rsidRDefault="00096E08" w:rsidP="00096E08">
      <w:pPr>
        <w:spacing w:line="276" w:lineRule="auto"/>
        <w:ind w:firstLine="567"/>
        <w:jc w:val="both"/>
        <w:rPr>
          <w:lang w:val="sr-Cyrl-RS" w:eastAsia="en-US"/>
        </w:rPr>
      </w:pPr>
    </w:p>
    <w:p w14:paraId="578A3D96" w14:textId="564422D4" w:rsidR="00096E08" w:rsidRPr="0052271C" w:rsidRDefault="00AE4C69" w:rsidP="00E66320">
      <w:pPr>
        <w:pStyle w:val="Heading1"/>
        <w:numPr>
          <w:ilvl w:val="0"/>
          <w:numId w:val="26"/>
        </w:numPr>
        <w:tabs>
          <w:tab w:val="left" w:pos="426"/>
          <w:tab w:val="left" w:pos="993"/>
        </w:tabs>
        <w:spacing w:line="276" w:lineRule="auto"/>
        <w:ind w:left="0" w:firstLine="0"/>
        <w:jc w:val="center"/>
        <w:rPr>
          <w:rFonts w:ascii="Times New Roman" w:hAnsi="Times New Roman"/>
          <w:b w:val="0"/>
          <w:sz w:val="28"/>
          <w:szCs w:val="28"/>
          <w:lang w:val="sr-Cyrl-RS"/>
        </w:rPr>
      </w:pPr>
      <w:r w:rsidRPr="0052271C">
        <w:rPr>
          <w:rFonts w:ascii="Times New Roman" w:hAnsi="Times New Roman"/>
          <w:b w:val="0"/>
          <w:sz w:val="28"/>
          <w:szCs w:val="28"/>
          <w:lang w:val="sr-Cyrl-RS"/>
        </w:rPr>
        <w:t>ВИЗИЈА</w:t>
      </w:r>
    </w:p>
    <w:p w14:paraId="0EF909A4" w14:textId="77777777" w:rsidR="00783353" w:rsidRPr="0052271C" w:rsidRDefault="00783353" w:rsidP="00783353">
      <w:pPr>
        <w:rPr>
          <w:lang w:val="sr-Cyrl-RS"/>
        </w:rPr>
      </w:pPr>
    </w:p>
    <w:p w14:paraId="2D42BB50" w14:textId="32525FFF" w:rsidR="001F7193" w:rsidRPr="0052271C" w:rsidRDefault="00EA0E6F" w:rsidP="00B16CB6">
      <w:pPr>
        <w:spacing w:line="276" w:lineRule="auto"/>
        <w:ind w:left="142"/>
        <w:jc w:val="both"/>
        <w:rPr>
          <w:lang w:val="sr-Cyrl-RS"/>
        </w:rPr>
      </w:pPr>
      <w:r w:rsidRPr="0052271C">
        <w:rPr>
          <w:noProof/>
          <w:lang w:val="en-US" w:eastAsia="en-US"/>
        </w:rPr>
        <mc:AlternateContent>
          <mc:Choice Requires="wps">
            <w:drawing>
              <wp:anchor distT="0" distB="0" distL="114300" distR="114300" simplePos="0" relativeHeight="251664384" behindDoc="0" locked="0" layoutInCell="1" allowOverlap="1" wp14:anchorId="297DCD43" wp14:editId="44EFA016">
                <wp:simplePos x="0" y="0"/>
                <wp:positionH relativeFrom="column">
                  <wp:posOffset>2353310</wp:posOffset>
                </wp:positionH>
                <wp:positionV relativeFrom="paragraph">
                  <wp:posOffset>1718945</wp:posOffset>
                </wp:positionV>
                <wp:extent cx="838200" cy="409575"/>
                <wp:effectExtent l="38100" t="0" r="0" b="47625"/>
                <wp:wrapNone/>
                <wp:docPr id="2" name="Down Arrow 2"/>
                <wp:cNvGraphicFramePr/>
                <a:graphic xmlns:a="http://schemas.openxmlformats.org/drawingml/2006/main">
                  <a:graphicData uri="http://schemas.microsoft.com/office/word/2010/wordprocessingShape">
                    <wps:wsp>
                      <wps:cNvSpPr/>
                      <wps:spPr>
                        <a:xfrm>
                          <a:off x="0" y="0"/>
                          <a:ext cx="838200" cy="409575"/>
                        </a:xfrm>
                        <a:prstGeom prst="downArrow">
                          <a:avLst/>
                        </a:prstGeom>
                        <a:solidFill>
                          <a:srgbClr val="5B9BD5">
                            <a:lumMod val="40000"/>
                            <a:lumOff val="60000"/>
                          </a:srgbClr>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16DCB471"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2" o:spid="_x0000_s1026" type="#_x0000_t67" style="position:absolute;margin-left:185.3pt;margin-top:135.35pt;width:66pt;height:32.2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" adj="10800" fillcolor="#bdd7ee" strokecolor="#41719c" strokeweight="1pt"/>
            </w:pict>
          </mc:Fallback>
        </mc:AlternateContent>
      </w:r>
      <w:r w:rsidR="00AD1E46" w:rsidRPr="0052271C">
        <w:rPr>
          <w:rFonts w:asciiTheme="minorHAnsi" w:eastAsiaTheme="minorHAnsi" w:hAnsiTheme="minorHAnsi" w:cstheme="minorBidi"/>
          <w:noProof/>
          <w:sz w:val="22"/>
          <w:szCs w:val="22"/>
          <w:lang w:val="en-US" w:eastAsia="en-US"/>
        </w:rPr>
        <mc:AlternateContent>
          <mc:Choice Requires="wps">
            <w:drawing>
              <wp:anchor distT="45720" distB="45720" distL="114300" distR="114300" simplePos="0" relativeHeight="251663360" behindDoc="0" locked="0" layoutInCell="1" allowOverlap="1" wp14:anchorId="0F0125E9" wp14:editId="1D399401">
                <wp:simplePos x="0" y="0"/>
                <wp:positionH relativeFrom="column">
                  <wp:posOffset>-49530</wp:posOffset>
                </wp:positionH>
                <wp:positionV relativeFrom="paragraph">
                  <wp:posOffset>2124075</wp:posOffset>
                </wp:positionV>
                <wp:extent cx="5715000" cy="1428750"/>
                <wp:effectExtent l="0" t="0" r="19050" b="19050"/>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1428750"/>
                        </a:xfrm>
                        <a:prstGeom prst="roundRect">
                          <a:avLst/>
                        </a:prstGeom>
                        <a:solidFill>
                          <a:srgbClr val="5B9BD5">
                            <a:lumMod val="60000"/>
                            <a:lumOff val="40000"/>
                          </a:srgbClr>
                        </a:solidFill>
                        <a:ln w="9525">
                          <a:solidFill>
                            <a:srgbClr val="000000"/>
                          </a:solidFill>
                          <a:miter lim="800000"/>
                          <a:headEnd/>
                          <a:tailEnd/>
                        </a:ln>
                      </wps:spPr>
                      <wps:txbx>
                        <w:txbxContent>
                          <w:p w14:paraId="3EC90616" w14:textId="77777777" w:rsidR="00757C68" w:rsidRPr="009B026B" w:rsidRDefault="00757C68" w:rsidP="001F7193">
                            <w:pPr>
                              <w:jc w:val="center"/>
                              <w:rPr>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B026B">
                              <w:rPr>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Визија</w:t>
                            </w:r>
                          </w:p>
                          <w:p w14:paraId="7E11A9C3" w14:textId="2F8F4F73" w:rsidR="00757C68" w:rsidRPr="00B16CB6" w:rsidRDefault="00757C68" w:rsidP="006B30EF">
                            <w:pPr>
                              <w:spacing w:line="259" w:lineRule="auto"/>
                              <w:jc w:val="both"/>
                              <w:rPr>
                                <w:rFonts w:eastAsiaTheme="minorHAnsi"/>
                                <w:sz w:val="22"/>
                                <w:szCs w:val="22"/>
                                <w:lang w:val="sr-Cyrl-RS" w:eastAsia="en-US"/>
                              </w:rPr>
                            </w:pPr>
                            <w:r w:rsidRPr="00B16CB6">
                              <w:rPr>
                                <w:rFonts w:eastAsiaTheme="minorHAnsi"/>
                                <w:sz w:val="22"/>
                                <w:szCs w:val="22"/>
                                <w:lang w:val="sr-Cyrl-RS" w:eastAsia="en-US"/>
                              </w:rPr>
                              <w:t xml:space="preserve">Професионално и одговорно власничко управљање ПСРС, којим ће се ефикасно и дугорочно штитити и одржавати вредност портфеља ПСРС. </w:t>
                            </w:r>
                          </w:p>
                          <w:p w14:paraId="06AAA889" w14:textId="6C8F366E" w:rsidR="00757C68" w:rsidRPr="00B16CB6" w:rsidRDefault="00757C68" w:rsidP="006B30EF">
                            <w:pPr>
                              <w:spacing w:after="160" w:line="259" w:lineRule="auto"/>
                              <w:jc w:val="both"/>
                              <w:rPr>
                                <w:rFonts w:eastAsiaTheme="minorHAnsi"/>
                                <w:sz w:val="22"/>
                                <w:szCs w:val="22"/>
                                <w:lang w:val="sr-Cyrl-RS" w:eastAsia="en-US"/>
                              </w:rPr>
                            </w:pPr>
                            <w:r w:rsidRPr="00B16CB6">
                              <w:rPr>
                                <w:rFonts w:eastAsiaTheme="minorHAnsi"/>
                                <w:sz w:val="22"/>
                                <w:szCs w:val="22"/>
                                <w:lang w:val="sr-Cyrl-RS" w:eastAsia="en-US"/>
                              </w:rPr>
                              <w:t>Квалитетно успостављен систем доброг корпоративног управљања у ПСРС кој</w:t>
                            </w:r>
                            <w:r w:rsidR="00EA0E6F">
                              <w:rPr>
                                <w:rFonts w:eastAsiaTheme="minorHAnsi"/>
                                <w:sz w:val="22"/>
                                <w:szCs w:val="22"/>
                                <w:lang w:val="sr-Cyrl-RS" w:eastAsia="en-US"/>
                              </w:rPr>
                              <w:t>им је осигурано да она доприноси</w:t>
                            </w:r>
                            <w:r w:rsidRPr="00B16CB6">
                              <w:rPr>
                                <w:rFonts w:eastAsiaTheme="minorHAnsi"/>
                                <w:sz w:val="22"/>
                                <w:szCs w:val="22"/>
                                <w:lang w:val="sr-Cyrl-RS" w:eastAsia="en-US"/>
                              </w:rPr>
                              <w:t xml:space="preserve"> економској ефикасности и конкурентности привреде.</w:t>
                            </w:r>
                          </w:p>
                          <w:p w14:paraId="73B1AA98" w14:textId="77777777" w:rsidR="00757C68" w:rsidRPr="006B30EF" w:rsidRDefault="00757C68" w:rsidP="001F7193">
                            <w:pPr>
                              <w:rPr>
                                <w:sz w:val="22"/>
                                <w:szCs w:val="2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w14:anchorId="0F0125E9" id="Text Box 2" o:spid="_x0000_s1026" style="position:absolute;left:0;text-align:left;margin-left:-3.9pt;margin-top:167.25pt;width:450pt;height:112.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" fillcolor="#9dc3e6">
                <v:stroke joinstyle="miter"/>
                <v:textbox>
                  <w:txbxContent>
                    <w:p w14:paraId="3EC90616" w14:textId="77777777" w:rsidR="00757C68" w:rsidRPr="009B026B" w:rsidRDefault="00757C68" w:rsidP="001F7193">
                      <w:pPr>
                        <w:jc w:val="center"/>
                        <w:rPr>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B026B">
                        <w:rPr>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Визија</w:t>
                      </w:r>
                    </w:p>
                    <w:p w14:paraId="7E11A9C3" w14:textId="2F8F4F73" w:rsidR="00757C68" w:rsidRPr="00B16CB6" w:rsidRDefault="00757C68" w:rsidP="006B30EF">
                      <w:pPr>
                        <w:spacing w:line="259" w:lineRule="auto"/>
                        <w:jc w:val="both"/>
                        <w:rPr>
                          <w:rFonts w:eastAsiaTheme="minorHAnsi"/>
                          <w:sz w:val="22"/>
                          <w:szCs w:val="22"/>
                          <w:lang w:val="sr-Cyrl-RS" w:eastAsia="en-US"/>
                        </w:rPr>
                      </w:pPr>
                      <w:r w:rsidRPr="00B16CB6">
                        <w:rPr>
                          <w:rFonts w:eastAsiaTheme="minorHAnsi"/>
                          <w:sz w:val="22"/>
                          <w:szCs w:val="22"/>
                          <w:lang w:val="sr-Cyrl-RS" w:eastAsia="en-US"/>
                        </w:rPr>
                        <w:t xml:space="preserve">Професионално и одговорно власничко управљање ПСРС, којим ће се ефикасно и дугорочно штитити и одржавати вредност портфеља ПСРС. </w:t>
                      </w:r>
                    </w:p>
                    <w:p w14:paraId="06AAA889" w14:textId="6C8F366E" w:rsidR="00757C68" w:rsidRPr="00B16CB6" w:rsidRDefault="00757C68" w:rsidP="006B30EF">
                      <w:pPr>
                        <w:spacing w:after="160" w:line="259" w:lineRule="auto"/>
                        <w:jc w:val="both"/>
                        <w:rPr>
                          <w:rFonts w:eastAsiaTheme="minorHAnsi"/>
                          <w:sz w:val="22"/>
                          <w:szCs w:val="22"/>
                          <w:lang w:val="sr-Cyrl-RS" w:eastAsia="en-US"/>
                        </w:rPr>
                      </w:pPr>
                      <w:r w:rsidRPr="00B16CB6">
                        <w:rPr>
                          <w:rFonts w:eastAsiaTheme="minorHAnsi"/>
                          <w:sz w:val="22"/>
                          <w:szCs w:val="22"/>
                          <w:lang w:val="sr-Cyrl-RS" w:eastAsia="en-US"/>
                        </w:rPr>
                        <w:t>Квалитетно успостављен систем доброг корпоративног управљања у ПСРС кој</w:t>
                      </w:r>
                      <w:r w:rsidR="00EA0E6F">
                        <w:rPr>
                          <w:rFonts w:eastAsiaTheme="minorHAnsi"/>
                          <w:sz w:val="22"/>
                          <w:szCs w:val="22"/>
                          <w:lang w:val="sr-Cyrl-RS" w:eastAsia="en-US"/>
                        </w:rPr>
                        <w:t>им је осигурано да она доприноси</w:t>
                      </w:r>
                      <w:r w:rsidRPr="00B16CB6">
                        <w:rPr>
                          <w:rFonts w:eastAsiaTheme="minorHAnsi"/>
                          <w:sz w:val="22"/>
                          <w:szCs w:val="22"/>
                          <w:lang w:val="sr-Cyrl-RS" w:eastAsia="en-US"/>
                        </w:rPr>
                        <w:t xml:space="preserve"> економској ефикасности и конкурентности привреде.</w:t>
                      </w:r>
                    </w:p>
                    <w:p w14:paraId="73B1AA98" w14:textId="77777777" w:rsidR="00757C68" w:rsidRPr="006B30EF" w:rsidRDefault="00757C68" w:rsidP="001F7193">
                      <w:pPr>
                        <w:rPr>
                          <w:sz w:val="22"/>
                          <w:szCs w:val="22"/>
                        </w:rPr>
                      </w:pPr>
                    </w:p>
                  </w:txbxContent>
                </v:textbox>
                <w10:wrap type="square"/>
              </v:roundrect>
            </w:pict>
          </mc:Fallback>
        </mc:AlternateContent>
      </w:r>
      <w:r w:rsidR="00B16CB6" w:rsidRPr="0052271C">
        <w:rPr>
          <w:rFonts w:asciiTheme="minorHAnsi" w:eastAsiaTheme="minorHAnsi" w:hAnsiTheme="minorHAnsi" w:cstheme="minorBidi"/>
          <w:noProof/>
          <w:sz w:val="22"/>
          <w:szCs w:val="22"/>
          <w:lang w:val="en-US" w:eastAsia="en-US"/>
        </w:rPr>
        <mc:AlternateContent>
          <mc:Choice Requires="wps">
            <w:drawing>
              <wp:anchor distT="45720" distB="45720" distL="114300" distR="114300" simplePos="0" relativeHeight="251659264" behindDoc="0" locked="0" layoutInCell="1" allowOverlap="1" wp14:anchorId="128DC4D6" wp14:editId="608B0E7E">
                <wp:simplePos x="0" y="0"/>
                <wp:positionH relativeFrom="column">
                  <wp:posOffset>38100</wp:posOffset>
                </wp:positionH>
                <wp:positionV relativeFrom="paragraph">
                  <wp:posOffset>241935</wp:posOffset>
                </wp:positionV>
                <wp:extent cx="5715000" cy="1476375"/>
                <wp:effectExtent l="0" t="0" r="19050"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1476375"/>
                        </a:xfrm>
                        <a:prstGeom prst="roundRect">
                          <a:avLst/>
                        </a:prstGeom>
                        <a:solidFill>
                          <a:srgbClr val="5B9BD5">
                            <a:lumMod val="40000"/>
                            <a:lumOff val="60000"/>
                          </a:srgbClr>
                        </a:solidFill>
                        <a:ln w="9525">
                          <a:solidFill>
                            <a:srgbClr val="000000"/>
                          </a:solidFill>
                          <a:miter lim="800000"/>
                          <a:headEnd/>
                          <a:tailEnd/>
                        </a:ln>
                      </wps:spPr>
                      <wps:txbx>
                        <w:txbxContent>
                          <w:p w14:paraId="711050A8" w14:textId="77777777" w:rsidR="00757C68" w:rsidRDefault="00757C68" w:rsidP="001F7193">
                            <w:pPr>
                              <w:jc w:val="center"/>
                              <w:rPr>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B026B">
                              <w:rPr>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Мисија</w:t>
                            </w:r>
                          </w:p>
                          <w:p w14:paraId="354E8A6F" w14:textId="38A28BFE" w:rsidR="00757C68" w:rsidRPr="00B16CB6" w:rsidRDefault="00757C68" w:rsidP="006B30EF">
                            <w:pPr>
                              <w:spacing w:after="160" w:line="276" w:lineRule="auto"/>
                              <w:jc w:val="both"/>
                              <w:rPr>
                                <w:rFonts w:eastAsiaTheme="minorHAnsi"/>
                                <w:sz w:val="22"/>
                                <w:szCs w:val="22"/>
                                <w:lang w:val="sr-Cyrl-RS" w:eastAsia="en-US"/>
                              </w:rPr>
                            </w:pPr>
                            <w:r w:rsidRPr="00B16CB6">
                              <w:rPr>
                                <w:rFonts w:eastAsiaTheme="minorHAnsi"/>
                                <w:sz w:val="22"/>
                                <w:szCs w:val="22"/>
                                <w:lang w:val="sr-Cyrl-RS" w:eastAsia="en-US"/>
                              </w:rPr>
                              <w:t>Обезбеђивање услова и неопходних капацитета за израду одговарајућег правног оквира који ће регулисати и подржати управљање портфељ</w:t>
                            </w:r>
                            <w:r>
                              <w:rPr>
                                <w:rFonts w:eastAsiaTheme="minorHAnsi"/>
                                <w:sz w:val="22"/>
                                <w:szCs w:val="22"/>
                                <w:lang w:val="sr-Cyrl-RS" w:eastAsia="en-US"/>
                              </w:rPr>
                              <w:t>е</w:t>
                            </w:r>
                            <w:r w:rsidRPr="00B16CB6">
                              <w:rPr>
                                <w:rFonts w:eastAsiaTheme="minorHAnsi"/>
                                <w:sz w:val="22"/>
                                <w:szCs w:val="22"/>
                                <w:lang w:val="sr-Cyrl-RS" w:eastAsia="en-US"/>
                              </w:rPr>
                              <w:t>м ПСРС. Креирање ефикасног система и мера надзора над радом ПСРС како би се омогућио привредни раст и развој а у циљу заштите националног и општег интереса и свеукупног развоја привреде Републике Србије.</w:t>
                            </w:r>
                          </w:p>
                          <w:p w14:paraId="228DCF18" w14:textId="77777777" w:rsidR="00757C68" w:rsidRDefault="00757C68" w:rsidP="001F7193">
                            <w:pPr>
                              <w:jc w:val="center"/>
                              <w:rPr>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w14:anchorId="128DC4D6" id="_x0000_s1027" style="position:absolute;left:0;text-align:left;margin-left:3pt;margin-top:19.05pt;width:450pt;height:116.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" fillcolor="#bdd7ee">
                <v:stroke joinstyle="miter"/>
                <v:textbox>
                  <w:txbxContent>
                    <w:p w14:paraId="711050A8" w14:textId="77777777" w:rsidR="00757C68" w:rsidRDefault="00757C68" w:rsidP="001F7193">
                      <w:pPr>
                        <w:jc w:val="center"/>
                        <w:rPr>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B026B">
                        <w:rPr>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Мисија</w:t>
                      </w:r>
                    </w:p>
                    <w:p w14:paraId="354E8A6F" w14:textId="38A28BFE" w:rsidR="00757C68" w:rsidRPr="00B16CB6" w:rsidRDefault="00757C68" w:rsidP="006B30EF">
                      <w:pPr>
                        <w:spacing w:after="160" w:line="276" w:lineRule="auto"/>
                        <w:jc w:val="both"/>
                        <w:rPr>
                          <w:rFonts w:eastAsiaTheme="minorHAnsi"/>
                          <w:sz w:val="22"/>
                          <w:szCs w:val="22"/>
                          <w:lang w:val="sr-Cyrl-RS" w:eastAsia="en-US"/>
                        </w:rPr>
                      </w:pPr>
                      <w:r w:rsidRPr="00B16CB6">
                        <w:rPr>
                          <w:rFonts w:eastAsiaTheme="minorHAnsi"/>
                          <w:sz w:val="22"/>
                          <w:szCs w:val="22"/>
                          <w:lang w:val="sr-Cyrl-RS" w:eastAsia="en-US"/>
                        </w:rPr>
                        <w:t>Обезбеђивање услова и неопходних капацитета за израду одговарајућег правног оквира који ће регулисати и подржати управљање портфељ</w:t>
                      </w:r>
                      <w:r>
                        <w:rPr>
                          <w:rFonts w:eastAsiaTheme="minorHAnsi"/>
                          <w:sz w:val="22"/>
                          <w:szCs w:val="22"/>
                          <w:lang w:val="sr-Cyrl-RS" w:eastAsia="en-US"/>
                        </w:rPr>
                        <w:t>е</w:t>
                      </w:r>
                      <w:r w:rsidRPr="00B16CB6">
                        <w:rPr>
                          <w:rFonts w:eastAsiaTheme="minorHAnsi"/>
                          <w:sz w:val="22"/>
                          <w:szCs w:val="22"/>
                          <w:lang w:val="sr-Cyrl-RS" w:eastAsia="en-US"/>
                        </w:rPr>
                        <w:t>м ПСРС. Креирање ефикасног система и мера надзора над радом ПСРС како би се омогућио привредни раст и развој а у циљу заштите националног и општег интереса и свеукупног развоја привреде Републике Србије.</w:t>
                      </w:r>
                    </w:p>
                    <w:p w14:paraId="228DCF18" w14:textId="77777777" w:rsidR="00757C68" w:rsidRDefault="00757C68" w:rsidP="001F7193">
                      <w:pPr>
                        <w:jc w:val="center"/>
                        <w:rPr>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type="square"/>
              </v:roundrect>
            </w:pict>
          </mc:Fallback>
        </mc:AlternateContent>
      </w:r>
    </w:p>
    <w:p w14:paraId="7418BF15" w14:textId="19771281" w:rsidR="001F7193" w:rsidRPr="0052271C" w:rsidRDefault="00AD1E46" w:rsidP="00B16CB6">
      <w:pPr>
        <w:spacing w:line="276" w:lineRule="auto"/>
        <w:ind w:left="142"/>
        <w:jc w:val="both"/>
        <w:rPr>
          <w:lang w:val="sr-Cyrl-RS"/>
        </w:rPr>
      </w:pPr>
      <w:r w:rsidRPr="0052271C">
        <w:rPr>
          <w:rFonts w:asciiTheme="minorHAnsi" w:eastAsiaTheme="minorHAnsi" w:hAnsiTheme="minorHAnsi" w:cstheme="minorBidi"/>
          <w:noProof/>
          <w:sz w:val="22"/>
          <w:szCs w:val="22"/>
          <w:lang w:val="en-US" w:eastAsia="en-US"/>
        </w:rPr>
        <mc:AlternateContent>
          <mc:Choice Requires="wps">
            <w:drawing>
              <wp:anchor distT="45720" distB="45720" distL="114300" distR="114300" simplePos="0" relativeHeight="251668480" behindDoc="0" locked="0" layoutInCell="1" allowOverlap="1" wp14:anchorId="6B21B0CE" wp14:editId="2BD4943E">
                <wp:simplePos x="0" y="0"/>
                <wp:positionH relativeFrom="margin">
                  <wp:posOffset>0</wp:posOffset>
                </wp:positionH>
                <wp:positionV relativeFrom="paragraph">
                  <wp:posOffset>1980565</wp:posOffset>
                </wp:positionV>
                <wp:extent cx="5716270" cy="952500"/>
                <wp:effectExtent l="0" t="0" r="17780" b="19050"/>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6270" cy="952500"/>
                        </a:xfrm>
                        <a:prstGeom prst="roundRect">
                          <a:avLst/>
                        </a:prstGeom>
                        <a:solidFill>
                          <a:srgbClr val="5B9BD5">
                            <a:lumMod val="75000"/>
                          </a:srgbClr>
                        </a:solidFill>
                        <a:ln w="9525">
                          <a:solidFill>
                            <a:srgbClr val="000000"/>
                          </a:solidFill>
                          <a:miter lim="800000"/>
                          <a:headEnd/>
                          <a:tailEnd/>
                        </a:ln>
                      </wps:spPr>
                      <wps:txbx>
                        <w:txbxContent>
                          <w:p w14:paraId="1406A055" w14:textId="77777777" w:rsidR="00757C68" w:rsidRPr="001664CB" w:rsidRDefault="00757C68" w:rsidP="001F7193">
                            <w:pPr>
                              <w:jc w:val="center"/>
                              <w:rPr>
                                <w:color w:val="FFFFFF" w:themeColor="background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664CB">
                              <w:rPr>
                                <w:color w:val="FFFFFF" w:themeColor="background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Општи циљ</w:t>
                            </w:r>
                          </w:p>
                          <w:p w14:paraId="5D41AC3A" w14:textId="6C4E4404" w:rsidR="00757C68" w:rsidRPr="001664CB" w:rsidRDefault="00757C68" w:rsidP="001F7193">
                            <w:pPr>
                              <w:jc w:val="center"/>
                              <w:rPr>
                                <w:color w:val="FFFFFF" w:themeColor="background1"/>
                                <w:sz w:val="28"/>
                                <w:szCs w:val="28"/>
                                <w:lang w:val="sr-Cyrl-RS"/>
                              </w:rPr>
                            </w:pPr>
                            <w:r w:rsidRPr="001664CB">
                              <w:rPr>
                                <w:color w:val="FFFFFF" w:themeColor="background1"/>
                                <w:sz w:val="28"/>
                                <w:szCs w:val="28"/>
                              </w:rPr>
                              <w:t xml:space="preserve">Одрживо и ефикасно управљање </w:t>
                            </w:r>
                            <w:r w:rsidRPr="001664CB">
                              <w:rPr>
                                <w:color w:val="FFFFFF" w:themeColor="background1"/>
                                <w:sz w:val="28"/>
                                <w:szCs w:val="28"/>
                                <w:lang w:val="sr-Cyrl-RS"/>
                              </w:rPr>
                              <w:t>ПСРС</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w14:anchorId="6B21B0CE" id="_x0000_s1028" style="position:absolute;left:0;text-align:left;margin-left:0;margin-top:155.95pt;width:450.1pt;height:75pt;z-index:2516684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" fillcolor="#2e75b6">
                <v:stroke joinstyle="miter"/>
                <v:textbox>
                  <w:txbxContent>
                    <w:p w14:paraId="1406A055" w14:textId="77777777" w:rsidR="00757C68" w:rsidRPr="001664CB" w:rsidRDefault="00757C68" w:rsidP="001F7193">
                      <w:pPr>
                        <w:jc w:val="center"/>
                        <w:rPr>
                          <w:color w:val="FFFFFF" w:themeColor="background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664CB">
                        <w:rPr>
                          <w:color w:val="FFFFFF" w:themeColor="background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Општи циљ</w:t>
                      </w:r>
                    </w:p>
                    <w:p w14:paraId="5D41AC3A" w14:textId="6C4E4404" w:rsidR="00757C68" w:rsidRPr="001664CB" w:rsidRDefault="00757C68" w:rsidP="001F7193">
                      <w:pPr>
                        <w:jc w:val="center"/>
                        <w:rPr>
                          <w:color w:val="FFFFFF" w:themeColor="background1"/>
                          <w:sz w:val="28"/>
                          <w:szCs w:val="28"/>
                          <w:lang w:val="sr-Cyrl-RS"/>
                        </w:rPr>
                      </w:pPr>
                      <w:r w:rsidRPr="001664CB">
                        <w:rPr>
                          <w:color w:val="FFFFFF" w:themeColor="background1"/>
                          <w:sz w:val="28"/>
                          <w:szCs w:val="28"/>
                        </w:rPr>
                        <w:t xml:space="preserve">Одрживо и ефикасно управљање </w:t>
                      </w:r>
                      <w:r w:rsidRPr="001664CB">
                        <w:rPr>
                          <w:color w:val="FFFFFF" w:themeColor="background1"/>
                          <w:sz w:val="28"/>
                          <w:szCs w:val="28"/>
                          <w:lang w:val="sr-Cyrl-RS"/>
                        </w:rPr>
                        <w:t>ПСРС</w:t>
                      </w:r>
                    </w:p>
                  </w:txbxContent>
                </v:textbox>
                <w10:wrap type="square" anchorx="margin"/>
              </v:roundrect>
            </w:pict>
          </mc:Fallback>
        </mc:AlternateContent>
      </w:r>
      <w:r w:rsidRPr="0052271C">
        <w:rPr>
          <w:noProof/>
          <w:lang w:val="en-US" w:eastAsia="en-US"/>
        </w:rPr>
        <mc:AlternateContent>
          <mc:Choice Requires="wps">
            <w:drawing>
              <wp:anchor distT="0" distB="0" distL="114300" distR="114300" simplePos="0" relativeHeight="251669504" behindDoc="0" locked="0" layoutInCell="1" allowOverlap="1" wp14:anchorId="39A1783A" wp14:editId="080DABD2">
                <wp:simplePos x="0" y="0"/>
                <wp:positionH relativeFrom="column">
                  <wp:posOffset>2359025</wp:posOffset>
                </wp:positionH>
                <wp:positionV relativeFrom="paragraph">
                  <wp:posOffset>1556385</wp:posOffset>
                </wp:positionV>
                <wp:extent cx="838200" cy="409575"/>
                <wp:effectExtent l="38100" t="0" r="0" b="47625"/>
                <wp:wrapNone/>
                <wp:docPr id="4" name="Down Arrow 4"/>
                <wp:cNvGraphicFramePr/>
                <a:graphic xmlns:a="http://schemas.openxmlformats.org/drawingml/2006/main">
                  <a:graphicData uri="http://schemas.microsoft.com/office/word/2010/wordprocessingShape">
                    <wps:wsp>
                      <wps:cNvSpPr/>
                      <wps:spPr>
                        <a:xfrm>
                          <a:off x="0" y="0"/>
                          <a:ext cx="838200" cy="409575"/>
                        </a:xfrm>
                        <a:prstGeom prst="downArrow">
                          <a:avLst/>
                        </a:prstGeom>
                        <a:solidFill>
                          <a:srgbClr val="5B9BD5">
                            <a:lumMod val="60000"/>
                            <a:lumOff val="40000"/>
                          </a:srgbClr>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61D779E" id="Down Arrow 4" o:spid="_x0000_s1026" type="#_x0000_t67" style="position:absolute;margin-left:185.75pt;margin-top:122.55pt;width:66pt;height:32.2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" adj="10800" fillcolor="#9dc3e6" strokecolor="#41719c" strokeweight="1pt"/>
            </w:pict>
          </mc:Fallback>
        </mc:AlternateContent>
      </w:r>
    </w:p>
    <w:p w14:paraId="13971317" w14:textId="77777777" w:rsidR="00AD1E46" w:rsidRPr="0052271C" w:rsidRDefault="00AD1E46" w:rsidP="00AD1E46">
      <w:pPr>
        <w:spacing w:line="276" w:lineRule="auto"/>
        <w:jc w:val="both"/>
        <w:rPr>
          <w:lang w:val="sr-Cyrl-RS"/>
        </w:rPr>
      </w:pPr>
    </w:p>
    <w:p w14:paraId="24C8916A" w14:textId="3CDFC932" w:rsidR="00B204B9" w:rsidRPr="0052271C" w:rsidRDefault="0077556C" w:rsidP="00B204B9">
      <w:pPr>
        <w:spacing w:line="276" w:lineRule="auto"/>
        <w:ind w:firstLine="567"/>
        <w:jc w:val="both"/>
        <w:rPr>
          <w:rFonts w:eastAsiaTheme="minorHAnsi"/>
          <w:lang w:val="sr-Cyrl-RS" w:eastAsia="en-US"/>
        </w:rPr>
      </w:pPr>
      <w:r w:rsidRPr="0052271C">
        <w:rPr>
          <w:lang w:val="sr-Cyrl-RS"/>
        </w:rPr>
        <w:t>Мисија се огледа</w:t>
      </w:r>
      <w:r w:rsidR="009D1368" w:rsidRPr="0052271C">
        <w:rPr>
          <w:lang w:val="sr-Cyrl-RS"/>
        </w:rPr>
        <w:t xml:space="preserve"> у о</w:t>
      </w:r>
      <w:r w:rsidR="009D1368" w:rsidRPr="0052271C">
        <w:rPr>
          <w:rFonts w:eastAsiaTheme="minorHAnsi"/>
          <w:lang w:val="sr-Cyrl-RS" w:eastAsia="en-US"/>
        </w:rPr>
        <w:t>безбеђивању услова и неопходних капацитета за израду одговарајућег правног оквира који</w:t>
      </w:r>
      <w:r w:rsidR="00783353" w:rsidRPr="0052271C">
        <w:rPr>
          <w:rFonts w:eastAsiaTheme="minorHAnsi"/>
          <w:lang w:val="sr-Cyrl-RS" w:eastAsia="en-US"/>
        </w:rPr>
        <w:t>м</w:t>
      </w:r>
      <w:r w:rsidR="009D1368" w:rsidRPr="0052271C">
        <w:rPr>
          <w:rFonts w:eastAsiaTheme="minorHAnsi"/>
          <w:lang w:val="sr-Cyrl-RS" w:eastAsia="en-US"/>
        </w:rPr>
        <w:t xml:space="preserve"> ће </w:t>
      </w:r>
      <w:r w:rsidR="00783353" w:rsidRPr="0052271C">
        <w:rPr>
          <w:rFonts w:eastAsiaTheme="minorHAnsi"/>
          <w:lang w:val="sr-Cyrl-RS" w:eastAsia="en-US"/>
        </w:rPr>
        <w:t>се уредити</w:t>
      </w:r>
      <w:r w:rsidR="009D1368" w:rsidRPr="0052271C">
        <w:rPr>
          <w:rFonts w:eastAsiaTheme="minorHAnsi"/>
          <w:lang w:val="sr-Cyrl-RS" w:eastAsia="en-US"/>
        </w:rPr>
        <w:t xml:space="preserve"> и подржати управљање портф</w:t>
      </w:r>
      <w:r w:rsidRPr="0052271C">
        <w:rPr>
          <w:rFonts w:eastAsiaTheme="minorHAnsi"/>
          <w:lang w:val="sr-Cyrl-RS" w:eastAsia="en-US"/>
        </w:rPr>
        <w:t>ељ</w:t>
      </w:r>
      <w:r w:rsidR="006A082B" w:rsidRPr="0052271C">
        <w:rPr>
          <w:rFonts w:eastAsiaTheme="minorHAnsi"/>
          <w:lang w:val="sr-Cyrl-RS" w:eastAsia="en-US"/>
        </w:rPr>
        <w:t>е</w:t>
      </w:r>
      <w:r w:rsidRPr="0052271C">
        <w:rPr>
          <w:rFonts w:eastAsiaTheme="minorHAnsi"/>
          <w:lang w:val="sr-Cyrl-RS" w:eastAsia="en-US"/>
        </w:rPr>
        <w:t>м</w:t>
      </w:r>
      <w:r w:rsidR="009D1368" w:rsidRPr="0052271C">
        <w:rPr>
          <w:rFonts w:eastAsiaTheme="minorHAnsi"/>
          <w:lang w:val="sr-Cyrl-RS" w:eastAsia="en-US"/>
        </w:rPr>
        <w:t xml:space="preserve"> </w:t>
      </w:r>
      <w:r w:rsidR="00B433F9" w:rsidRPr="0052271C">
        <w:rPr>
          <w:rFonts w:eastAsiaTheme="minorHAnsi"/>
          <w:lang w:val="sr-Cyrl-RS" w:eastAsia="en-US"/>
        </w:rPr>
        <w:t>ПСРС</w:t>
      </w:r>
      <w:r w:rsidR="009D1368" w:rsidRPr="0052271C">
        <w:rPr>
          <w:rFonts w:eastAsiaTheme="minorHAnsi"/>
          <w:lang w:val="sr-Cyrl-RS" w:eastAsia="en-US"/>
        </w:rPr>
        <w:t xml:space="preserve">. </w:t>
      </w:r>
      <w:r w:rsidR="00431B7A" w:rsidRPr="0052271C">
        <w:rPr>
          <w:rFonts w:eastAsiaTheme="minorHAnsi"/>
          <w:lang w:val="sr-Cyrl-RS" w:eastAsia="en-US"/>
        </w:rPr>
        <w:t>Мисијом се предвиђа к</w:t>
      </w:r>
      <w:r w:rsidR="009D1368" w:rsidRPr="0052271C">
        <w:rPr>
          <w:rFonts w:eastAsiaTheme="minorHAnsi"/>
          <w:lang w:val="sr-Cyrl-RS" w:eastAsia="en-US"/>
        </w:rPr>
        <w:t xml:space="preserve">реирање ефикасног система и мера надзора над радом </w:t>
      </w:r>
      <w:r w:rsidR="00B433F9" w:rsidRPr="0052271C">
        <w:rPr>
          <w:rFonts w:eastAsiaTheme="minorHAnsi"/>
          <w:lang w:val="sr-Cyrl-RS" w:eastAsia="en-US"/>
        </w:rPr>
        <w:t>ПСРС</w:t>
      </w:r>
      <w:r w:rsidR="009D1368" w:rsidRPr="0052271C">
        <w:rPr>
          <w:rFonts w:eastAsiaTheme="minorHAnsi"/>
          <w:lang w:val="sr-Cyrl-RS" w:eastAsia="en-US"/>
        </w:rPr>
        <w:t xml:space="preserve"> како би се омогућио привредни раст и развој</w:t>
      </w:r>
      <w:r w:rsidR="00783353" w:rsidRPr="0052271C">
        <w:rPr>
          <w:rFonts w:eastAsiaTheme="minorHAnsi"/>
          <w:lang w:val="sr-Cyrl-RS" w:eastAsia="en-US"/>
        </w:rPr>
        <w:t>,</w:t>
      </w:r>
      <w:r w:rsidR="009D1368" w:rsidRPr="0052271C">
        <w:rPr>
          <w:rFonts w:eastAsiaTheme="minorHAnsi"/>
          <w:lang w:val="sr-Cyrl-RS" w:eastAsia="en-US"/>
        </w:rPr>
        <w:t xml:space="preserve"> а у циљу заштите националног и општег интереса и свеукупног развоја привреде Републике Србије.</w:t>
      </w:r>
    </w:p>
    <w:p w14:paraId="35031E4F" w14:textId="6C513215" w:rsidR="00783353" w:rsidRPr="0052271C" w:rsidRDefault="009D1368" w:rsidP="00096E08">
      <w:pPr>
        <w:spacing w:line="276" w:lineRule="auto"/>
        <w:ind w:firstLine="567"/>
        <w:jc w:val="both"/>
        <w:rPr>
          <w:rFonts w:eastAsiaTheme="minorHAnsi"/>
          <w:lang w:val="sr-Cyrl-RS" w:eastAsia="en-US"/>
        </w:rPr>
      </w:pPr>
      <w:r w:rsidRPr="0052271C">
        <w:rPr>
          <w:lang w:val="sr-Cyrl-RS"/>
        </w:rPr>
        <w:t>Ви</w:t>
      </w:r>
      <w:r w:rsidR="00D972B4" w:rsidRPr="0052271C">
        <w:rPr>
          <w:lang w:val="sr-Cyrl-RS"/>
        </w:rPr>
        <w:t xml:space="preserve">зијом се предвиђа </w:t>
      </w:r>
      <w:r w:rsidRPr="0052271C">
        <w:rPr>
          <w:rStyle w:val="jlqj4b"/>
          <w:lang w:val="sr-Cyrl-RS"/>
        </w:rPr>
        <w:t>п</w:t>
      </w:r>
      <w:r w:rsidRPr="0052271C">
        <w:rPr>
          <w:rFonts w:eastAsiaTheme="minorHAnsi"/>
          <w:lang w:val="sr-Cyrl-RS" w:eastAsia="en-US"/>
        </w:rPr>
        <w:t xml:space="preserve">рофесионално и одговорно власничко управљање </w:t>
      </w:r>
      <w:r w:rsidR="00B433F9" w:rsidRPr="0052271C">
        <w:rPr>
          <w:rFonts w:eastAsiaTheme="minorHAnsi"/>
          <w:lang w:val="sr-Cyrl-RS" w:eastAsia="en-US"/>
        </w:rPr>
        <w:t>ПСРС</w:t>
      </w:r>
      <w:r w:rsidRPr="0052271C">
        <w:rPr>
          <w:rFonts w:eastAsiaTheme="minorHAnsi"/>
          <w:lang w:val="sr-Cyrl-RS" w:eastAsia="en-US"/>
        </w:rPr>
        <w:t>, који</w:t>
      </w:r>
      <w:r w:rsidR="00431B7A" w:rsidRPr="0052271C">
        <w:rPr>
          <w:rFonts w:eastAsiaTheme="minorHAnsi"/>
          <w:lang w:val="sr-Cyrl-RS" w:eastAsia="en-US"/>
        </w:rPr>
        <w:t>м се</w:t>
      </w:r>
      <w:r w:rsidRPr="0052271C">
        <w:rPr>
          <w:rFonts w:eastAsiaTheme="minorHAnsi"/>
          <w:lang w:val="sr-Cyrl-RS" w:eastAsia="en-US"/>
        </w:rPr>
        <w:t xml:space="preserve"> </w:t>
      </w:r>
      <w:r w:rsidR="0068669B" w:rsidRPr="0052271C">
        <w:rPr>
          <w:rFonts w:eastAsiaTheme="minorHAnsi"/>
          <w:lang w:val="sr-Cyrl-RS" w:eastAsia="en-US"/>
        </w:rPr>
        <w:t>ефикасно</w:t>
      </w:r>
      <w:r w:rsidRPr="0052271C">
        <w:rPr>
          <w:rFonts w:eastAsiaTheme="minorHAnsi"/>
          <w:lang w:val="sr-Cyrl-RS" w:eastAsia="en-US"/>
        </w:rPr>
        <w:t xml:space="preserve"> и дугорочно штити и одржава вредност портф</w:t>
      </w:r>
      <w:r w:rsidR="0077556C" w:rsidRPr="0052271C">
        <w:rPr>
          <w:rFonts w:eastAsiaTheme="minorHAnsi"/>
          <w:lang w:val="sr-Cyrl-RS" w:eastAsia="en-US"/>
        </w:rPr>
        <w:t>еља</w:t>
      </w:r>
      <w:r w:rsidR="00F92DF4" w:rsidRPr="0052271C">
        <w:rPr>
          <w:rFonts w:eastAsiaTheme="minorHAnsi"/>
          <w:lang w:val="sr-Cyrl-RS" w:eastAsia="en-US"/>
        </w:rPr>
        <w:t xml:space="preserve"> ПСРС</w:t>
      </w:r>
      <w:r w:rsidRPr="0052271C">
        <w:rPr>
          <w:rFonts w:eastAsiaTheme="minorHAnsi"/>
          <w:lang w:val="sr-Cyrl-RS" w:eastAsia="en-US"/>
        </w:rPr>
        <w:t xml:space="preserve">. </w:t>
      </w:r>
      <w:bookmarkStart w:id="18" w:name="_Ref51758819"/>
      <w:bookmarkEnd w:id="11"/>
    </w:p>
    <w:p w14:paraId="01FB30D1" w14:textId="77777777" w:rsidR="00783353" w:rsidRPr="0052271C" w:rsidRDefault="00783353">
      <w:pPr>
        <w:spacing w:after="160" w:line="259" w:lineRule="auto"/>
        <w:rPr>
          <w:rFonts w:eastAsiaTheme="minorHAnsi"/>
          <w:lang w:val="sr-Cyrl-RS" w:eastAsia="en-US"/>
        </w:rPr>
      </w:pPr>
      <w:r w:rsidRPr="0052271C">
        <w:rPr>
          <w:rFonts w:eastAsiaTheme="minorHAnsi"/>
          <w:lang w:val="sr-Cyrl-RS" w:eastAsia="en-US"/>
        </w:rPr>
        <w:br w:type="page"/>
      </w:r>
    </w:p>
    <w:p w14:paraId="5DFDCA92" w14:textId="77777777" w:rsidR="00D97C8E" w:rsidRPr="0052271C" w:rsidRDefault="00D97C8E" w:rsidP="00096E08">
      <w:pPr>
        <w:spacing w:line="276" w:lineRule="auto"/>
        <w:ind w:firstLine="567"/>
        <w:jc w:val="both"/>
        <w:rPr>
          <w:rFonts w:eastAsiaTheme="minorHAnsi"/>
          <w:lang w:val="sr-Cyrl-RS" w:eastAsia="en-US"/>
        </w:rPr>
      </w:pPr>
    </w:p>
    <w:p w14:paraId="6D18C694" w14:textId="2CFB69BA" w:rsidR="00D93305" w:rsidRPr="0052271C" w:rsidRDefault="00783353" w:rsidP="00E66320">
      <w:pPr>
        <w:pStyle w:val="Heading1"/>
        <w:numPr>
          <w:ilvl w:val="0"/>
          <w:numId w:val="26"/>
        </w:numPr>
        <w:tabs>
          <w:tab w:val="left" w:pos="567"/>
        </w:tabs>
        <w:spacing w:after="0" w:line="276" w:lineRule="auto"/>
        <w:ind w:left="0" w:firstLine="0"/>
        <w:jc w:val="center"/>
        <w:rPr>
          <w:rFonts w:ascii="Times New Roman" w:hAnsi="Times New Roman"/>
          <w:b w:val="0"/>
          <w:sz w:val="24"/>
          <w:szCs w:val="24"/>
          <w:lang w:val="sr-Cyrl-RS"/>
        </w:rPr>
      </w:pPr>
      <w:r w:rsidRPr="0052271C">
        <w:rPr>
          <w:rFonts w:ascii="Times New Roman" w:hAnsi="Times New Roman"/>
          <w:b w:val="0"/>
          <w:sz w:val="24"/>
          <w:szCs w:val="24"/>
          <w:lang w:val="sr-Cyrl-RS"/>
        </w:rPr>
        <w:t>ПРЕГЛЕД И АНАЛИЗА ПОСТОЈЕЋЕГ СТАЊА</w:t>
      </w:r>
    </w:p>
    <w:p w14:paraId="4413C9A7" w14:textId="77777777" w:rsidR="00783353" w:rsidRPr="0052271C" w:rsidRDefault="00783353" w:rsidP="00783353">
      <w:pPr>
        <w:rPr>
          <w:lang w:val="sr-Cyrl-RS"/>
        </w:rPr>
      </w:pPr>
    </w:p>
    <w:p w14:paraId="527DD370" w14:textId="77777777" w:rsidR="00D97C8E" w:rsidRPr="0052271C" w:rsidRDefault="00D97C8E" w:rsidP="00D97C8E">
      <w:pPr>
        <w:rPr>
          <w:b/>
          <w:bCs/>
          <w:color w:val="00417D"/>
          <w:sz w:val="28"/>
          <w:szCs w:val="28"/>
          <w:lang w:val="sr-Cyrl-RS" w:eastAsia="en-US"/>
        </w:rPr>
      </w:pPr>
    </w:p>
    <w:p w14:paraId="1B35D265" w14:textId="56EF96C5" w:rsidR="007E176E" w:rsidRPr="0052271C" w:rsidRDefault="00B433F9" w:rsidP="00E015FA">
      <w:pPr>
        <w:spacing w:line="276" w:lineRule="auto"/>
        <w:ind w:firstLine="567"/>
        <w:jc w:val="both"/>
        <w:rPr>
          <w:lang w:val="sr-Cyrl-RS"/>
        </w:rPr>
      </w:pPr>
      <w:r w:rsidRPr="0052271C">
        <w:rPr>
          <w:lang w:val="sr-Cyrl-RS"/>
        </w:rPr>
        <w:t>ПСРС</w:t>
      </w:r>
      <w:r w:rsidR="007E176E" w:rsidRPr="0052271C">
        <w:rPr>
          <w:lang w:val="sr-Cyrl-RS"/>
        </w:rPr>
        <w:t xml:space="preserve"> имају важну улогу у развоју свеукупне економије и због тога реформа управљања </w:t>
      </w:r>
      <w:r w:rsidR="00E35AC5" w:rsidRPr="0052271C">
        <w:rPr>
          <w:lang w:val="sr-Cyrl-RS"/>
        </w:rPr>
        <w:t>ПСРС</w:t>
      </w:r>
      <w:r w:rsidR="007E176E" w:rsidRPr="0052271C">
        <w:rPr>
          <w:lang w:val="sr-Cyrl-RS"/>
        </w:rPr>
        <w:t xml:space="preserve"> има велики значај. Добро и</w:t>
      </w:r>
      <w:r w:rsidRPr="0052271C">
        <w:rPr>
          <w:lang w:val="sr-Cyrl-RS"/>
        </w:rPr>
        <w:t xml:space="preserve"> одговорно управљање ПСРС</w:t>
      </w:r>
      <w:r w:rsidR="007E176E" w:rsidRPr="0052271C">
        <w:rPr>
          <w:lang w:val="sr-Cyrl-RS"/>
        </w:rPr>
        <w:t xml:space="preserve"> је кључно за постојање ефикасних и отворених домаћих и глобалних тржишта.  Као таква, она су најважнији извор обезбеђивања јавних услуга, </w:t>
      </w:r>
      <w:r w:rsidR="00044980" w:rsidRPr="0052271C">
        <w:rPr>
          <w:lang w:val="sr-Cyrl-RS"/>
        </w:rPr>
        <w:t>а</w:t>
      </w:r>
      <w:r w:rsidR="007E176E" w:rsidRPr="0052271C">
        <w:rPr>
          <w:lang w:val="sr-Cyrl-RS"/>
        </w:rPr>
        <w:t xml:space="preserve"> њихов рад утиче на свакодневни живот грађана као и на конкурентност остатка привреде. Специфични изазови управљања са којима се </w:t>
      </w:r>
      <w:r w:rsidR="00361F9C" w:rsidRPr="0052271C">
        <w:rPr>
          <w:lang w:val="sr-Cyrl-RS"/>
        </w:rPr>
        <w:t>ПСРС сусре</w:t>
      </w:r>
      <w:r w:rsidR="007E176E" w:rsidRPr="0052271C">
        <w:rPr>
          <w:lang w:val="sr-Cyrl-RS"/>
        </w:rPr>
        <w:t xml:space="preserve">ћу проистичу првенствено из чињенице да је држава у исто време власник учесника на тржишту и регулатор тржишта. Друштва у којима је држава власник суочавају се и са нарочитим циљевима власника, јер </w:t>
      </w:r>
      <w:r w:rsidR="00044980" w:rsidRPr="0052271C">
        <w:rPr>
          <w:lang w:val="sr-Cyrl-RS"/>
        </w:rPr>
        <w:t>т</w:t>
      </w:r>
      <w:r w:rsidR="007E176E" w:rsidRPr="0052271C">
        <w:rPr>
          <w:lang w:val="sr-Cyrl-RS"/>
        </w:rPr>
        <w:t xml:space="preserve">а друштва за циљ немају само остваривање профита, већ и остваривање социјалних, политичких, друштвених и сличних циљева у области запошљавања, контроле цена, регионалног економског развоја и сл. </w:t>
      </w:r>
    </w:p>
    <w:p w14:paraId="34850D06" w14:textId="2E91FB01" w:rsidR="007E176E" w:rsidRPr="0052271C" w:rsidRDefault="007E176E" w:rsidP="00ED4BA8">
      <w:pPr>
        <w:spacing w:line="276" w:lineRule="auto"/>
        <w:ind w:firstLine="567"/>
        <w:jc w:val="both"/>
        <w:rPr>
          <w:rFonts w:eastAsiaTheme="minorHAnsi"/>
          <w:lang w:val="sr-Cyrl-RS" w:eastAsia="en-US"/>
        </w:rPr>
      </w:pPr>
      <w:r w:rsidRPr="0052271C">
        <w:rPr>
          <w:lang w:val="sr-Cyrl-RS"/>
        </w:rPr>
        <w:t xml:space="preserve">Резултати анализа и препорука проистеклих из </w:t>
      </w:r>
      <w:r w:rsidR="00742438" w:rsidRPr="0052271C">
        <w:rPr>
          <w:lang w:val="sr-Cyrl-RS"/>
        </w:rPr>
        <w:t xml:space="preserve">досадашњих </w:t>
      </w:r>
      <w:r w:rsidRPr="0052271C">
        <w:rPr>
          <w:lang w:val="sr-Cyrl-RS"/>
        </w:rPr>
        <w:t xml:space="preserve">истраживања имају за циљ да на свеобухватан и упоредан начин сагледају тренутно </w:t>
      </w:r>
      <w:r w:rsidR="00831B67" w:rsidRPr="0052271C">
        <w:rPr>
          <w:lang w:val="sr-Cyrl-RS"/>
        </w:rPr>
        <w:t>стање</w:t>
      </w:r>
      <w:r w:rsidRPr="0052271C">
        <w:rPr>
          <w:lang w:val="sr-Cyrl-RS"/>
        </w:rPr>
        <w:t xml:space="preserve"> и ниво развијености управљања у ПСРС</w:t>
      </w:r>
      <w:r w:rsidR="00ED4BA8" w:rsidRPr="0052271C">
        <w:rPr>
          <w:lang w:val="sr-Cyrl-RS"/>
        </w:rPr>
        <w:t>, а и</w:t>
      </w:r>
      <w:r w:rsidR="008E1036" w:rsidRPr="0052271C">
        <w:rPr>
          <w:rFonts w:eastAsiaTheme="minorHAnsi"/>
          <w:lang w:val="sr-Cyrl-RS" w:eastAsia="en-US"/>
        </w:rPr>
        <w:t xml:space="preserve">звршен је преглед и анализа постојећег стања из </w:t>
      </w:r>
      <w:r w:rsidRPr="0052271C">
        <w:rPr>
          <w:rFonts w:eastAsiaTheme="minorHAnsi"/>
          <w:lang w:val="sr-Cyrl-RS" w:eastAsia="en-US"/>
        </w:rPr>
        <w:t>следећих области:</w:t>
      </w:r>
    </w:p>
    <w:p w14:paraId="137163B9" w14:textId="4077F622" w:rsidR="001B7C28" w:rsidRPr="0052271C" w:rsidRDefault="00044980" w:rsidP="00B16CB6">
      <w:pPr>
        <w:numPr>
          <w:ilvl w:val="0"/>
          <w:numId w:val="15"/>
        </w:numPr>
        <w:spacing w:after="160" w:line="259" w:lineRule="auto"/>
        <w:ind w:left="851" w:hanging="284"/>
        <w:contextualSpacing/>
        <w:jc w:val="both"/>
        <w:rPr>
          <w:rFonts w:eastAsiaTheme="minorHAnsi"/>
          <w:lang w:val="sr-Cyrl-RS" w:eastAsia="en-US"/>
        </w:rPr>
      </w:pPr>
      <w:r w:rsidRPr="0052271C">
        <w:rPr>
          <w:rFonts w:eastAsiaTheme="minorHAnsi"/>
          <w:lang w:val="sr-Cyrl-RS" w:eastAsia="en-US"/>
        </w:rPr>
        <w:t>п</w:t>
      </w:r>
      <w:r w:rsidR="00A71E9F" w:rsidRPr="0052271C">
        <w:rPr>
          <w:rFonts w:eastAsiaTheme="minorHAnsi"/>
          <w:lang w:val="sr-Cyrl-RS" w:eastAsia="en-US"/>
        </w:rPr>
        <w:t>равни оквир</w:t>
      </w:r>
      <w:r w:rsidR="00002CDD" w:rsidRPr="0052271C">
        <w:rPr>
          <w:rFonts w:eastAsiaTheme="minorHAnsi"/>
          <w:lang w:val="sr-Cyrl-RS" w:eastAsia="en-US"/>
        </w:rPr>
        <w:t xml:space="preserve"> </w:t>
      </w:r>
      <w:r w:rsidR="00301D86" w:rsidRPr="0052271C">
        <w:rPr>
          <w:rFonts w:eastAsiaTheme="minorHAnsi"/>
          <w:lang w:val="sr-Cyrl-RS" w:eastAsia="en-US"/>
        </w:rPr>
        <w:t>ПСРС</w:t>
      </w:r>
      <w:r w:rsidR="00C629B3" w:rsidRPr="0052271C">
        <w:rPr>
          <w:rFonts w:eastAsiaTheme="minorHAnsi"/>
          <w:lang w:val="sr-Cyrl-RS" w:eastAsia="en-US"/>
        </w:rPr>
        <w:t>;</w:t>
      </w:r>
    </w:p>
    <w:p w14:paraId="6C2D5255" w14:textId="552A45C6" w:rsidR="001B7C28" w:rsidRPr="0052271C" w:rsidRDefault="00044980" w:rsidP="00B16CB6">
      <w:pPr>
        <w:numPr>
          <w:ilvl w:val="0"/>
          <w:numId w:val="15"/>
        </w:numPr>
        <w:spacing w:after="160" w:line="259" w:lineRule="auto"/>
        <w:ind w:left="851" w:hanging="284"/>
        <w:contextualSpacing/>
        <w:jc w:val="both"/>
        <w:rPr>
          <w:rFonts w:eastAsiaTheme="minorHAnsi"/>
          <w:lang w:val="sr-Cyrl-RS" w:eastAsia="en-US"/>
        </w:rPr>
      </w:pPr>
      <w:r w:rsidRPr="0052271C">
        <w:rPr>
          <w:rFonts w:eastAsiaTheme="minorHAnsi"/>
          <w:lang w:val="sr-Cyrl-RS" w:eastAsia="en-US"/>
        </w:rPr>
        <w:t>в</w:t>
      </w:r>
      <w:r w:rsidR="00301D86" w:rsidRPr="0052271C">
        <w:rPr>
          <w:rFonts w:eastAsiaTheme="minorHAnsi"/>
          <w:lang w:val="sr-Cyrl-RS" w:eastAsia="en-US"/>
        </w:rPr>
        <w:t>ласничко управљање</w:t>
      </w:r>
      <w:r w:rsidR="00C629B3" w:rsidRPr="0052271C">
        <w:rPr>
          <w:rFonts w:eastAsiaTheme="minorHAnsi"/>
          <w:lang w:val="sr-Cyrl-RS" w:eastAsia="en-US"/>
        </w:rPr>
        <w:t>;</w:t>
      </w:r>
    </w:p>
    <w:p w14:paraId="1D4B3936" w14:textId="2D0D4EB2" w:rsidR="00B34AE6" w:rsidRPr="00DF5832" w:rsidRDefault="00044980" w:rsidP="00DF5832">
      <w:pPr>
        <w:numPr>
          <w:ilvl w:val="0"/>
          <w:numId w:val="15"/>
        </w:numPr>
        <w:spacing w:after="160" w:line="259" w:lineRule="auto"/>
        <w:ind w:left="851" w:hanging="284"/>
        <w:contextualSpacing/>
        <w:jc w:val="both"/>
        <w:rPr>
          <w:rFonts w:eastAsiaTheme="minorHAnsi"/>
          <w:lang w:val="sr-Cyrl-RS" w:eastAsia="en-US"/>
        </w:rPr>
      </w:pPr>
      <w:r w:rsidRPr="0052271C">
        <w:rPr>
          <w:rFonts w:eastAsiaTheme="minorHAnsi"/>
          <w:lang w:val="sr-Cyrl-RS" w:eastAsia="en-US"/>
        </w:rPr>
        <w:t>к</w:t>
      </w:r>
      <w:r w:rsidR="0020697D" w:rsidRPr="0052271C">
        <w:rPr>
          <w:rFonts w:eastAsiaTheme="minorHAnsi"/>
          <w:lang w:val="sr-Cyrl-RS" w:eastAsia="en-US"/>
        </w:rPr>
        <w:t>орпоративно управљање</w:t>
      </w:r>
      <w:r w:rsidR="00C629B3" w:rsidRPr="0052271C">
        <w:rPr>
          <w:rFonts w:eastAsiaTheme="minorHAnsi"/>
          <w:lang w:val="sr-Cyrl-RS" w:eastAsia="en-US"/>
        </w:rPr>
        <w:t>.</w:t>
      </w:r>
      <w:r w:rsidR="001B7C28" w:rsidRPr="0052271C">
        <w:rPr>
          <w:rFonts w:eastAsiaTheme="minorHAnsi"/>
          <w:lang w:val="sr-Cyrl-RS" w:eastAsia="en-US"/>
        </w:rPr>
        <w:t xml:space="preserve"> </w:t>
      </w:r>
    </w:p>
    <w:p w14:paraId="148BAFFE" w14:textId="16E771E0" w:rsidR="00002CDD" w:rsidRPr="00D21AEB" w:rsidRDefault="00002CDD" w:rsidP="00D21AEB">
      <w:pPr>
        <w:pStyle w:val="Heading2"/>
        <w:numPr>
          <w:ilvl w:val="0"/>
          <w:numId w:val="34"/>
        </w:numPr>
        <w:tabs>
          <w:tab w:val="left" w:pos="284"/>
        </w:tabs>
        <w:ind w:left="0" w:firstLine="0"/>
        <w:jc w:val="center"/>
        <w:rPr>
          <w:rFonts w:ascii="Times New Roman" w:eastAsia="Calibri" w:hAnsi="Times New Roman"/>
          <w:b w:val="0"/>
          <w:bCs w:val="0"/>
          <w:i w:val="0"/>
          <w:iCs w:val="0"/>
          <w:sz w:val="24"/>
          <w:szCs w:val="24"/>
          <w:lang w:val="sr-Cyrl-RS"/>
        </w:rPr>
      </w:pPr>
      <w:bookmarkStart w:id="19" w:name="_Toc62208261"/>
      <w:bookmarkStart w:id="20" w:name="_Toc63452448"/>
      <w:bookmarkStart w:id="21" w:name="_Toc63587083"/>
      <w:r w:rsidRPr="0052271C">
        <w:rPr>
          <w:rFonts w:ascii="Times New Roman" w:eastAsia="Calibri" w:hAnsi="Times New Roman"/>
          <w:b w:val="0"/>
          <w:bCs w:val="0"/>
          <w:i w:val="0"/>
          <w:iCs w:val="0"/>
          <w:sz w:val="24"/>
          <w:szCs w:val="24"/>
          <w:lang w:val="sr-Cyrl-RS"/>
        </w:rPr>
        <w:t>П</w:t>
      </w:r>
      <w:r w:rsidR="00B722DD" w:rsidRPr="0052271C">
        <w:rPr>
          <w:rFonts w:ascii="Times New Roman" w:eastAsia="Calibri" w:hAnsi="Times New Roman"/>
          <w:b w:val="0"/>
          <w:bCs w:val="0"/>
          <w:i w:val="0"/>
          <w:iCs w:val="0"/>
          <w:sz w:val="24"/>
          <w:szCs w:val="24"/>
          <w:lang w:val="sr-Cyrl-RS"/>
        </w:rPr>
        <w:t>равни оквир</w:t>
      </w:r>
      <w:r w:rsidRPr="0052271C">
        <w:rPr>
          <w:rFonts w:ascii="Times New Roman" w:eastAsia="Calibri" w:hAnsi="Times New Roman"/>
          <w:b w:val="0"/>
          <w:bCs w:val="0"/>
          <w:i w:val="0"/>
          <w:iCs w:val="0"/>
          <w:sz w:val="24"/>
          <w:szCs w:val="24"/>
          <w:lang w:val="sr-Cyrl-RS"/>
        </w:rPr>
        <w:t xml:space="preserve"> ПСРС</w:t>
      </w:r>
      <w:bookmarkEnd w:id="19"/>
      <w:bookmarkEnd w:id="20"/>
      <w:bookmarkEnd w:id="21"/>
    </w:p>
    <w:p w14:paraId="6C230434" w14:textId="4B6E8D69" w:rsidR="00C52235" w:rsidRPr="0052271C" w:rsidRDefault="00CA2612" w:rsidP="00B16CB6">
      <w:pPr>
        <w:spacing w:line="259" w:lineRule="auto"/>
        <w:ind w:firstLine="567"/>
        <w:jc w:val="both"/>
        <w:rPr>
          <w:rFonts w:eastAsiaTheme="minorHAnsi"/>
          <w:lang w:val="sr-Cyrl-RS" w:eastAsia="en-US"/>
        </w:rPr>
      </w:pPr>
      <w:r w:rsidRPr="0052271C">
        <w:rPr>
          <w:rFonts w:eastAsiaTheme="minorHAnsi"/>
          <w:lang w:val="sr-Cyrl-RS" w:eastAsia="en-US"/>
        </w:rPr>
        <w:t xml:space="preserve">Према прелиминарним подацима, </w:t>
      </w:r>
      <w:r w:rsidR="00C52235" w:rsidRPr="0052271C">
        <w:rPr>
          <w:rFonts w:eastAsiaTheme="minorHAnsi"/>
          <w:lang w:val="sr-Cyrl-RS" w:eastAsia="en-US"/>
        </w:rPr>
        <w:t xml:space="preserve">Република Србија </w:t>
      </w:r>
      <w:r w:rsidR="002136F8" w:rsidRPr="0052271C">
        <w:rPr>
          <w:rFonts w:eastAsiaTheme="minorHAnsi"/>
          <w:lang w:val="sr-Cyrl-RS" w:eastAsia="en-US"/>
        </w:rPr>
        <w:t xml:space="preserve">у свом портфељу </w:t>
      </w:r>
      <w:r w:rsidR="00C52235" w:rsidRPr="0052271C">
        <w:rPr>
          <w:rFonts w:eastAsiaTheme="minorHAnsi"/>
          <w:lang w:val="sr-Cyrl-RS" w:eastAsia="en-US"/>
        </w:rPr>
        <w:t>има 270 активних привредних субјеката, од чега:</w:t>
      </w:r>
    </w:p>
    <w:p w14:paraId="16652D0A" w14:textId="6B33DA5F" w:rsidR="00C52235" w:rsidRPr="0052271C" w:rsidRDefault="002136F8" w:rsidP="00B16CB6">
      <w:pPr>
        <w:numPr>
          <w:ilvl w:val="0"/>
          <w:numId w:val="15"/>
        </w:numPr>
        <w:spacing w:after="160" w:line="259" w:lineRule="auto"/>
        <w:ind w:left="851" w:hanging="284"/>
        <w:contextualSpacing/>
        <w:jc w:val="both"/>
        <w:rPr>
          <w:rFonts w:eastAsiaTheme="minorHAnsi"/>
          <w:lang w:val="sr-Cyrl-RS" w:eastAsia="en-US"/>
        </w:rPr>
      </w:pPr>
      <w:r w:rsidRPr="0052271C">
        <w:rPr>
          <w:rFonts w:eastAsiaTheme="minorHAnsi"/>
          <w:lang w:val="sr-Cyrl-RS" w:eastAsia="en-US"/>
        </w:rPr>
        <w:t>д</w:t>
      </w:r>
      <w:r w:rsidR="00C52235" w:rsidRPr="0052271C">
        <w:rPr>
          <w:rFonts w:eastAsiaTheme="minorHAnsi"/>
          <w:lang w:val="sr-Cyrl-RS" w:eastAsia="en-US"/>
        </w:rPr>
        <w:t>руштва с ограниченом одговорношћу (ДОО): 157</w:t>
      </w:r>
      <w:r w:rsidRPr="0052271C">
        <w:rPr>
          <w:rFonts w:eastAsiaTheme="minorHAnsi"/>
          <w:lang w:val="sr-Cyrl-RS" w:eastAsia="en-US"/>
        </w:rPr>
        <w:t>;</w:t>
      </w:r>
    </w:p>
    <w:p w14:paraId="427D8CB5" w14:textId="3F4D5790" w:rsidR="00C52235" w:rsidRPr="0052271C" w:rsidRDefault="002136F8" w:rsidP="00B16CB6">
      <w:pPr>
        <w:numPr>
          <w:ilvl w:val="0"/>
          <w:numId w:val="15"/>
        </w:numPr>
        <w:spacing w:after="160" w:line="259" w:lineRule="auto"/>
        <w:ind w:left="851" w:hanging="284"/>
        <w:contextualSpacing/>
        <w:rPr>
          <w:rFonts w:eastAsiaTheme="minorHAnsi"/>
          <w:lang w:val="sr-Cyrl-RS" w:eastAsia="en-US"/>
        </w:rPr>
      </w:pPr>
      <w:r w:rsidRPr="0052271C">
        <w:rPr>
          <w:rFonts w:eastAsiaTheme="minorHAnsi"/>
          <w:lang w:val="sr-Cyrl-RS" w:eastAsia="en-US"/>
        </w:rPr>
        <w:t>а</w:t>
      </w:r>
      <w:r w:rsidR="00C52235" w:rsidRPr="0052271C">
        <w:rPr>
          <w:rFonts w:eastAsiaTheme="minorHAnsi"/>
          <w:lang w:val="sr-Cyrl-RS" w:eastAsia="en-US"/>
        </w:rPr>
        <w:t>кционарска друштва (АД): 82</w:t>
      </w:r>
      <w:r w:rsidRPr="0052271C">
        <w:rPr>
          <w:rFonts w:eastAsiaTheme="minorHAnsi"/>
          <w:lang w:val="sr-Cyrl-RS" w:eastAsia="en-US"/>
        </w:rPr>
        <w:t>;</w:t>
      </w:r>
    </w:p>
    <w:p w14:paraId="658BDECF" w14:textId="1524FC44" w:rsidR="00C52235" w:rsidRPr="00D21AEB" w:rsidRDefault="002136F8" w:rsidP="00B16CB6">
      <w:pPr>
        <w:numPr>
          <w:ilvl w:val="0"/>
          <w:numId w:val="15"/>
        </w:numPr>
        <w:spacing w:after="160" w:line="259" w:lineRule="auto"/>
        <w:ind w:left="851" w:hanging="284"/>
        <w:contextualSpacing/>
        <w:jc w:val="both"/>
        <w:rPr>
          <w:rFonts w:eastAsiaTheme="minorHAnsi"/>
          <w:lang w:val="sr-Cyrl-RS" w:eastAsia="en-US"/>
        </w:rPr>
      </w:pPr>
      <w:r w:rsidRPr="0052271C">
        <w:rPr>
          <w:rFonts w:eastAsiaTheme="minorHAnsi"/>
          <w:lang w:val="sr-Cyrl-RS" w:eastAsia="en-US"/>
        </w:rPr>
        <w:t>ј</w:t>
      </w:r>
      <w:r w:rsidR="00C52235" w:rsidRPr="0052271C">
        <w:rPr>
          <w:rFonts w:eastAsiaTheme="minorHAnsi"/>
          <w:lang w:val="sr-Cyrl-RS" w:eastAsia="en-US"/>
        </w:rPr>
        <w:t>авна предузећа (ЈП): 26</w:t>
      </w:r>
      <w:r w:rsidRPr="0052271C">
        <w:rPr>
          <w:rFonts w:eastAsiaTheme="minorHAnsi"/>
          <w:lang w:val="sr-Cyrl-RS" w:eastAsia="en-US"/>
        </w:rPr>
        <w:t>;</w:t>
      </w:r>
    </w:p>
    <w:p w14:paraId="781C8548" w14:textId="656ACF6C" w:rsidR="00D21AEB" w:rsidRPr="0052271C" w:rsidRDefault="00D21AEB" w:rsidP="00B16CB6">
      <w:pPr>
        <w:numPr>
          <w:ilvl w:val="0"/>
          <w:numId w:val="15"/>
        </w:numPr>
        <w:spacing w:after="160" w:line="259" w:lineRule="auto"/>
        <w:ind w:left="851" w:hanging="284"/>
        <w:contextualSpacing/>
        <w:jc w:val="both"/>
        <w:rPr>
          <w:rFonts w:eastAsiaTheme="minorHAnsi"/>
          <w:lang w:val="sr-Cyrl-RS" w:eastAsia="en-US"/>
        </w:rPr>
      </w:pPr>
      <w:r w:rsidRPr="0052271C">
        <w:rPr>
          <w:rFonts w:eastAsiaTheme="minorHAnsi"/>
          <w:lang w:val="sr-Cyrl-RS" w:eastAsia="en-US"/>
        </w:rPr>
        <w:t>остали: пет.</w:t>
      </w:r>
    </w:p>
    <w:p w14:paraId="41EF89FC" w14:textId="176DD5D6" w:rsidR="00C52235" w:rsidRPr="0052271C" w:rsidRDefault="00DF5832" w:rsidP="00D21AEB">
      <w:pPr>
        <w:spacing w:after="160" w:line="259" w:lineRule="auto"/>
        <w:ind w:left="851"/>
        <w:contextualSpacing/>
        <w:jc w:val="both"/>
        <w:rPr>
          <w:rFonts w:eastAsiaTheme="minorHAnsi"/>
          <w:lang w:val="sr-Cyrl-RS" w:eastAsia="en-US"/>
        </w:rPr>
      </w:pPr>
      <w:r w:rsidRPr="00DF5832">
        <w:rPr>
          <w:rFonts w:eastAsiaTheme="minorHAnsi"/>
          <w:noProof/>
          <w:lang w:val="en-US" w:eastAsia="en-US"/>
        </w:rPr>
        <w:t xml:space="preserve"> </w:t>
      </w:r>
      <w:r w:rsidRPr="0052271C">
        <w:rPr>
          <w:rFonts w:eastAsiaTheme="minorHAnsi"/>
          <w:noProof/>
          <w:lang w:val="en-US" w:eastAsia="en-US"/>
        </w:rPr>
        <w:drawing>
          <wp:inline distT="0" distB="0" distL="0" distR="0" wp14:anchorId="089380D6" wp14:editId="1DC24C57">
            <wp:extent cx="4029075" cy="2438400"/>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29075" cy="2438400"/>
                    </a:xfrm>
                    <a:prstGeom prst="rect">
                      <a:avLst/>
                    </a:prstGeom>
                    <a:noFill/>
                  </pic:spPr>
                </pic:pic>
              </a:graphicData>
            </a:graphic>
          </wp:inline>
        </w:drawing>
      </w:r>
    </w:p>
    <w:p w14:paraId="10C70FB0" w14:textId="521DBD7B" w:rsidR="00FD34AD" w:rsidRPr="0052271C" w:rsidRDefault="00FD34AD" w:rsidP="007A09D5">
      <w:pPr>
        <w:spacing w:after="160" w:line="259" w:lineRule="auto"/>
        <w:jc w:val="center"/>
        <w:rPr>
          <w:rFonts w:eastAsiaTheme="minorHAnsi"/>
          <w:lang w:val="sr-Cyrl-RS" w:eastAsia="en-US"/>
        </w:rPr>
      </w:pPr>
    </w:p>
    <w:p w14:paraId="45F4D425" w14:textId="3DC0F19C" w:rsidR="00F55B2C" w:rsidRPr="0052271C" w:rsidRDefault="00C629B3" w:rsidP="007E176E">
      <w:pPr>
        <w:spacing w:after="160" w:line="259" w:lineRule="auto"/>
        <w:jc w:val="center"/>
        <w:rPr>
          <w:rFonts w:eastAsiaTheme="minorHAnsi"/>
          <w:b/>
          <w:lang w:val="sr-Cyrl-RS" w:eastAsia="en-US"/>
        </w:rPr>
      </w:pPr>
      <w:r w:rsidRPr="0052271C">
        <w:rPr>
          <w:rFonts w:eastAsiaTheme="minorHAnsi"/>
          <w:b/>
          <w:lang w:val="sr-Cyrl-RS" w:eastAsia="en-US"/>
        </w:rPr>
        <w:lastRenderedPageBreak/>
        <w:t>Упоредна анализа</w:t>
      </w:r>
      <w:r w:rsidR="006813B1" w:rsidRPr="0052271C">
        <w:rPr>
          <w:rFonts w:eastAsiaTheme="minorHAnsi"/>
          <w:b/>
          <w:lang w:val="sr-Cyrl-RS" w:eastAsia="en-US"/>
        </w:rPr>
        <w:t xml:space="preserve"> </w:t>
      </w:r>
      <w:r w:rsidR="002F7A3D" w:rsidRPr="0052271C">
        <w:rPr>
          <w:rFonts w:eastAsiaTheme="minorHAnsi"/>
          <w:b/>
          <w:lang w:val="sr-Cyrl-RS" w:eastAsia="en-US"/>
        </w:rPr>
        <w:t xml:space="preserve">правног оквира </w:t>
      </w:r>
      <w:r w:rsidR="006813B1" w:rsidRPr="0052271C">
        <w:rPr>
          <w:rFonts w:eastAsiaTheme="minorHAnsi"/>
          <w:b/>
          <w:lang w:val="sr-Cyrl-RS" w:eastAsia="en-US"/>
        </w:rPr>
        <w:t xml:space="preserve">корпоративног организовања </w:t>
      </w:r>
      <w:r w:rsidRPr="0052271C">
        <w:rPr>
          <w:rFonts w:eastAsiaTheme="minorHAnsi"/>
          <w:b/>
          <w:lang w:val="sr-Cyrl-RS" w:eastAsia="en-US"/>
        </w:rPr>
        <w:t xml:space="preserve">у </w:t>
      </w:r>
      <w:r w:rsidR="00C658FF" w:rsidRPr="0052271C">
        <w:rPr>
          <w:rFonts w:eastAsiaTheme="minorHAnsi"/>
          <w:b/>
          <w:lang w:val="sr-Cyrl-RS" w:eastAsia="en-US"/>
        </w:rPr>
        <w:t>ПСРС</w:t>
      </w:r>
    </w:p>
    <w:tbl>
      <w:tblPr>
        <w:tblStyle w:val="TableGrid6"/>
        <w:tblW w:w="9175" w:type="dxa"/>
        <w:tblLayout w:type="fixed"/>
        <w:tblLook w:val="04A0" w:firstRow="1" w:lastRow="0" w:firstColumn="1" w:lastColumn="0" w:noHBand="0" w:noVBand="1"/>
      </w:tblPr>
      <w:tblGrid>
        <w:gridCol w:w="1555"/>
        <w:gridCol w:w="1842"/>
        <w:gridCol w:w="2029"/>
        <w:gridCol w:w="2039"/>
        <w:gridCol w:w="1710"/>
      </w:tblGrid>
      <w:tr w:rsidR="006813B1" w:rsidRPr="0052271C" w14:paraId="7748318D" w14:textId="77777777" w:rsidTr="007227B1">
        <w:trPr>
          <w:trHeight w:val="431"/>
        </w:trPr>
        <w:tc>
          <w:tcPr>
            <w:tcW w:w="1555" w:type="dxa"/>
            <w:shd w:val="clear" w:color="auto" w:fill="BDD6EE" w:themeFill="accent1" w:themeFillTint="66"/>
            <w:vAlign w:val="center"/>
          </w:tcPr>
          <w:p w14:paraId="6481484A" w14:textId="30149591" w:rsidR="006813B1" w:rsidRPr="0052271C" w:rsidRDefault="006813B1" w:rsidP="00F55B2C">
            <w:pPr>
              <w:tabs>
                <w:tab w:val="num" w:pos="573"/>
              </w:tabs>
              <w:jc w:val="center"/>
              <w:rPr>
                <w:b/>
                <w:sz w:val="20"/>
                <w:szCs w:val="20"/>
                <w:lang w:val="sr-Cyrl-RS"/>
              </w:rPr>
            </w:pPr>
            <w:r w:rsidRPr="0052271C">
              <w:rPr>
                <w:b/>
                <w:sz w:val="20"/>
                <w:szCs w:val="20"/>
                <w:lang w:val="sr-Cyrl-RS"/>
              </w:rPr>
              <w:t>Правна форма</w:t>
            </w:r>
          </w:p>
        </w:tc>
        <w:tc>
          <w:tcPr>
            <w:tcW w:w="1842" w:type="dxa"/>
            <w:shd w:val="clear" w:color="auto" w:fill="BDD6EE" w:themeFill="accent1" w:themeFillTint="66"/>
            <w:vAlign w:val="center"/>
          </w:tcPr>
          <w:p w14:paraId="4EBF3D10" w14:textId="77777777" w:rsidR="006813B1" w:rsidRPr="0052271C" w:rsidRDefault="006813B1" w:rsidP="00F55B2C">
            <w:pPr>
              <w:tabs>
                <w:tab w:val="num" w:pos="573"/>
              </w:tabs>
              <w:jc w:val="center"/>
              <w:rPr>
                <w:b/>
                <w:sz w:val="20"/>
                <w:szCs w:val="20"/>
                <w:lang w:val="sr-Cyrl-RS"/>
              </w:rPr>
            </w:pPr>
            <w:r w:rsidRPr="0052271C">
              <w:rPr>
                <w:b/>
                <w:sz w:val="20"/>
                <w:szCs w:val="20"/>
                <w:lang w:val="sr-Cyrl-RS"/>
              </w:rPr>
              <w:t>Начин оснивања</w:t>
            </w:r>
          </w:p>
        </w:tc>
        <w:tc>
          <w:tcPr>
            <w:tcW w:w="4068" w:type="dxa"/>
            <w:gridSpan w:val="2"/>
            <w:shd w:val="clear" w:color="auto" w:fill="BDD6EE" w:themeFill="accent1" w:themeFillTint="66"/>
            <w:vAlign w:val="center"/>
          </w:tcPr>
          <w:p w14:paraId="19966429" w14:textId="739C30F0" w:rsidR="006813B1" w:rsidRPr="0052271C" w:rsidRDefault="006813B1" w:rsidP="00F55B2C">
            <w:pPr>
              <w:jc w:val="center"/>
              <w:rPr>
                <w:b/>
                <w:sz w:val="20"/>
                <w:szCs w:val="20"/>
                <w:lang w:val="sr-Cyrl-RS"/>
              </w:rPr>
            </w:pPr>
            <w:r w:rsidRPr="0052271C">
              <w:rPr>
                <w:b/>
                <w:sz w:val="20"/>
                <w:szCs w:val="20"/>
                <w:lang w:val="sr-Cyrl-RS"/>
              </w:rPr>
              <w:t>Управљање</w:t>
            </w:r>
          </w:p>
        </w:tc>
        <w:tc>
          <w:tcPr>
            <w:tcW w:w="1710" w:type="dxa"/>
            <w:shd w:val="clear" w:color="auto" w:fill="BDD6EE" w:themeFill="accent1" w:themeFillTint="66"/>
            <w:vAlign w:val="center"/>
          </w:tcPr>
          <w:p w14:paraId="398D281A" w14:textId="770B9E3C" w:rsidR="00F55B2C" w:rsidRPr="0052271C" w:rsidRDefault="00C658FF" w:rsidP="00F55B2C">
            <w:pPr>
              <w:jc w:val="center"/>
              <w:rPr>
                <w:b/>
                <w:sz w:val="20"/>
                <w:szCs w:val="20"/>
                <w:lang w:val="sr-Cyrl-RS"/>
              </w:rPr>
            </w:pPr>
            <w:r w:rsidRPr="0052271C">
              <w:rPr>
                <w:b/>
                <w:sz w:val="20"/>
                <w:szCs w:val="20"/>
                <w:lang w:val="sr-Cyrl-RS"/>
              </w:rPr>
              <w:t>Правни оквир</w:t>
            </w:r>
          </w:p>
        </w:tc>
      </w:tr>
      <w:tr w:rsidR="006813B1" w:rsidRPr="0052271C" w14:paraId="09865DF9" w14:textId="77777777" w:rsidTr="007227B1">
        <w:tc>
          <w:tcPr>
            <w:tcW w:w="1555" w:type="dxa"/>
            <w:shd w:val="clear" w:color="auto" w:fill="DEEAF6" w:themeFill="accent1" w:themeFillTint="33"/>
            <w:vAlign w:val="center"/>
          </w:tcPr>
          <w:p w14:paraId="77C142AD" w14:textId="77777777" w:rsidR="006813B1" w:rsidRPr="0052271C" w:rsidRDefault="006813B1" w:rsidP="007E176E">
            <w:pPr>
              <w:tabs>
                <w:tab w:val="num" w:pos="573"/>
              </w:tabs>
              <w:jc w:val="center"/>
              <w:rPr>
                <w:b/>
                <w:sz w:val="20"/>
                <w:szCs w:val="20"/>
                <w:lang w:val="sr-Cyrl-RS"/>
              </w:rPr>
            </w:pPr>
            <w:r w:rsidRPr="0052271C">
              <w:rPr>
                <w:b/>
                <w:sz w:val="20"/>
                <w:szCs w:val="20"/>
                <w:lang w:val="sr-Cyrl-RS"/>
              </w:rPr>
              <w:t>Друштво с ограниченом одговорношћу</w:t>
            </w:r>
          </w:p>
          <w:p w14:paraId="27A1F2B3" w14:textId="3096832F" w:rsidR="006813B1" w:rsidRPr="0052271C" w:rsidRDefault="006813B1" w:rsidP="007E176E">
            <w:pPr>
              <w:tabs>
                <w:tab w:val="num" w:pos="573"/>
              </w:tabs>
              <w:jc w:val="center"/>
              <w:rPr>
                <w:sz w:val="18"/>
                <w:szCs w:val="18"/>
                <w:lang w:val="sr-Cyrl-RS"/>
              </w:rPr>
            </w:pPr>
            <w:r w:rsidRPr="0052271C">
              <w:rPr>
                <w:b/>
                <w:sz w:val="20"/>
                <w:szCs w:val="20"/>
                <w:lang w:val="sr-Cyrl-RS"/>
              </w:rPr>
              <w:t>(ДОО)</w:t>
            </w:r>
          </w:p>
        </w:tc>
        <w:tc>
          <w:tcPr>
            <w:tcW w:w="1842" w:type="dxa"/>
          </w:tcPr>
          <w:p w14:paraId="0AE875E7" w14:textId="12CA0213" w:rsidR="006813B1" w:rsidRPr="0052271C" w:rsidRDefault="006813B1" w:rsidP="006813B1">
            <w:pPr>
              <w:tabs>
                <w:tab w:val="num" w:pos="573"/>
              </w:tabs>
              <w:rPr>
                <w:sz w:val="20"/>
                <w:szCs w:val="20"/>
                <w:lang w:val="sr-Cyrl-RS"/>
              </w:rPr>
            </w:pPr>
            <w:r w:rsidRPr="0052271C">
              <w:rPr>
                <w:sz w:val="20"/>
                <w:szCs w:val="20"/>
                <w:lang w:val="sr-Cyrl-RS"/>
              </w:rPr>
              <w:t>Основни капитал ДОО чине удели који представљају улог оснивача (члана).</w:t>
            </w:r>
            <w:r w:rsidR="000F357D" w:rsidRPr="0052271C">
              <w:rPr>
                <w:sz w:val="20"/>
                <w:szCs w:val="20"/>
                <w:lang w:val="sr-Cyrl-RS"/>
              </w:rPr>
              <w:t xml:space="preserve"> </w:t>
            </w:r>
            <w:r w:rsidRPr="0052271C">
              <w:rPr>
                <w:sz w:val="20"/>
                <w:szCs w:val="20"/>
                <w:lang w:val="sr-Cyrl-RS"/>
              </w:rPr>
              <w:t>Један или више чланова друштва имају уделе у основном капиталу друштва.</w:t>
            </w:r>
          </w:p>
        </w:tc>
        <w:tc>
          <w:tcPr>
            <w:tcW w:w="2029" w:type="dxa"/>
          </w:tcPr>
          <w:p w14:paraId="7E54E1F2" w14:textId="132FFE95" w:rsidR="006813B1" w:rsidRPr="0052271C" w:rsidRDefault="006813B1" w:rsidP="006813B1">
            <w:pPr>
              <w:rPr>
                <w:sz w:val="20"/>
                <w:szCs w:val="20"/>
                <w:lang w:val="sr-Cyrl-RS"/>
              </w:rPr>
            </w:pPr>
            <w:r w:rsidRPr="0052271C">
              <w:rPr>
                <w:sz w:val="20"/>
                <w:szCs w:val="20"/>
                <w:lang w:val="sr-Cyrl-RS"/>
              </w:rPr>
              <w:t xml:space="preserve">Једнодомно управљање- ДОО има следеће органе:    Скупштину </w:t>
            </w:r>
          </w:p>
          <w:p w14:paraId="12FFCD3A" w14:textId="45421517" w:rsidR="006813B1" w:rsidRPr="0052271C" w:rsidRDefault="006813B1" w:rsidP="006813B1">
            <w:pPr>
              <w:rPr>
                <w:sz w:val="20"/>
                <w:szCs w:val="20"/>
                <w:lang w:val="sr-Cyrl-RS"/>
              </w:rPr>
            </w:pPr>
            <w:r w:rsidRPr="0052271C">
              <w:rPr>
                <w:sz w:val="20"/>
                <w:szCs w:val="20"/>
                <w:lang w:val="sr-Cyrl-RS"/>
              </w:rPr>
              <w:t>једног или више директора (који не чине одбор директора).</w:t>
            </w:r>
          </w:p>
          <w:p w14:paraId="7A70E749" w14:textId="77777777" w:rsidR="006813B1" w:rsidRPr="0052271C" w:rsidRDefault="006813B1" w:rsidP="006813B1">
            <w:pPr>
              <w:tabs>
                <w:tab w:val="num" w:pos="573"/>
              </w:tabs>
              <w:rPr>
                <w:sz w:val="20"/>
                <w:szCs w:val="20"/>
                <w:lang w:val="sr-Cyrl-RS"/>
              </w:rPr>
            </w:pPr>
          </w:p>
        </w:tc>
        <w:tc>
          <w:tcPr>
            <w:tcW w:w="2039" w:type="dxa"/>
          </w:tcPr>
          <w:p w14:paraId="287F98ED" w14:textId="77777777" w:rsidR="006813B1" w:rsidRPr="0052271C" w:rsidRDefault="006813B1" w:rsidP="006813B1">
            <w:pPr>
              <w:rPr>
                <w:sz w:val="20"/>
                <w:szCs w:val="20"/>
                <w:lang w:val="sr-Cyrl-RS"/>
              </w:rPr>
            </w:pPr>
            <w:r w:rsidRPr="0052271C">
              <w:rPr>
                <w:sz w:val="20"/>
                <w:szCs w:val="20"/>
                <w:lang w:val="sr-Cyrl-RS"/>
              </w:rPr>
              <w:t xml:space="preserve">Дводомно управљање-ДОО има следеће органе: </w:t>
            </w:r>
          </w:p>
          <w:p w14:paraId="38072076" w14:textId="77777777" w:rsidR="006813B1" w:rsidRPr="0052271C" w:rsidRDefault="006813B1" w:rsidP="006813B1">
            <w:pPr>
              <w:rPr>
                <w:sz w:val="20"/>
                <w:szCs w:val="20"/>
                <w:lang w:val="sr-Cyrl-RS"/>
              </w:rPr>
            </w:pPr>
            <w:r w:rsidRPr="0052271C">
              <w:rPr>
                <w:sz w:val="20"/>
                <w:szCs w:val="20"/>
                <w:lang w:val="sr-Cyrl-RS"/>
              </w:rPr>
              <w:t xml:space="preserve">Скупштину, </w:t>
            </w:r>
          </w:p>
          <w:p w14:paraId="1DA32996" w14:textId="77777777" w:rsidR="006813B1" w:rsidRPr="0052271C" w:rsidRDefault="006813B1" w:rsidP="006813B1">
            <w:pPr>
              <w:rPr>
                <w:sz w:val="20"/>
                <w:szCs w:val="20"/>
                <w:lang w:val="sr-Cyrl-RS"/>
              </w:rPr>
            </w:pPr>
            <w:r w:rsidRPr="0052271C">
              <w:rPr>
                <w:sz w:val="20"/>
                <w:szCs w:val="20"/>
                <w:lang w:val="sr-Cyrl-RS"/>
              </w:rPr>
              <w:t xml:space="preserve">Надзорни одбор, </w:t>
            </w:r>
          </w:p>
          <w:p w14:paraId="5865C4B8" w14:textId="177F1538" w:rsidR="006813B1" w:rsidRPr="0052271C" w:rsidRDefault="006813B1" w:rsidP="006813B1">
            <w:pPr>
              <w:rPr>
                <w:sz w:val="20"/>
                <w:szCs w:val="20"/>
                <w:lang w:val="sr-Cyrl-RS"/>
              </w:rPr>
            </w:pPr>
            <w:r w:rsidRPr="0052271C">
              <w:rPr>
                <w:sz w:val="20"/>
                <w:szCs w:val="20"/>
                <w:lang w:val="sr-Cyrl-RS"/>
              </w:rPr>
              <w:t>једног или више директора (који не чине одбор директора).</w:t>
            </w:r>
          </w:p>
          <w:p w14:paraId="5338A195" w14:textId="77777777" w:rsidR="006813B1" w:rsidRPr="0052271C" w:rsidRDefault="006813B1" w:rsidP="006813B1">
            <w:pPr>
              <w:tabs>
                <w:tab w:val="num" w:pos="573"/>
              </w:tabs>
              <w:rPr>
                <w:sz w:val="20"/>
                <w:szCs w:val="20"/>
                <w:lang w:val="sr-Cyrl-RS"/>
              </w:rPr>
            </w:pPr>
          </w:p>
        </w:tc>
        <w:tc>
          <w:tcPr>
            <w:tcW w:w="1710" w:type="dxa"/>
            <w:vMerge w:val="restart"/>
          </w:tcPr>
          <w:p w14:paraId="53585BD1" w14:textId="5BC4225F" w:rsidR="008E1036" w:rsidRPr="0052271C" w:rsidRDefault="006813B1" w:rsidP="008E1036">
            <w:pPr>
              <w:rPr>
                <w:rFonts w:asciiTheme="minorHAnsi" w:eastAsiaTheme="minorHAnsi" w:hAnsiTheme="minorHAnsi" w:cstheme="minorBidi"/>
                <w:sz w:val="20"/>
                <w:szCs w:val="20"/>
                <w:lang w:val="sr-Cyrl-RS" w:eastAsia="en-US"/>
              </w:rPr>
            </w:pPr>
            <w:r w:rsidRPr="0052271C">
              <w:rPr>
                <w:sz w:val="20"/>
                <w:szCs w:val="20"/>
                <w:lang w:val="sr-Cyrl-RS"/>
              </w:rPr>
              <w:t xml:space="preserve">На </w:t>
            </w:r>
            <w:r w:rsidR="008E1036" w:rsidRPr="0052271C">
              <w:rPr>
                <w:sz w:val="20"/>
                <w:szCs w:val="20"/>
                <w:lang w:val="sr-Cyrl-RS"/>
              </w:rPr>
              <w:t xml:space="preserve">јавна предузећа и </w:t>
            </w:r>
            <w:r w:rsidRPr="0052271C">
              <w:rPr>
                <w:sz w:val="20"/>
                <w:szCs w:val="20"/>
                <w:lang w:val="sr-Cyrl-RS"/>
              </w:rPr>
              <w:t xml:space="preserve">ДОО и АД које је у потпуном власништву државе и обавља делатност од општег интереса примењује се првенствено </w:t>
            </w:r>
            <w:r w:rsidRPr="0052271C">
              <w:rPr>
                <w:b/>
                <w:sz w:val="20"/>
                <w:szCs w:val="20"/>
                <w:lang w:val="sr-Cyrl-RS"/>
              </w:rPr>
              <w:t>Закон о јавним предузећима</w:t>
            </w:r>
            <w:r w:rsidR="006D4C38" w:rsidRPr="0052271C">
              <w:rPr>
                <w:b/>
                <w:sz w:val="20"/>
                <w:szCs w:val="20"/>
                <w:lang w:val="sr-Cyrl-RS"/>
              </w:rPr>
              <w:t xml:space="preserve"> </w:t>
            </w:r>
            <w:r w:rsidR="006D4C38" w:rsidRPr="0052271C">
              <w:rPr>
                <w:sz w:val="20"/>
                <w:szCs w:val="20"/>
                <w:lang w:val="sr-Cyrl-RS"/>
              </w:rPr>
              <w:t xml:space="preserve">(„Службени гласник РСˮ, </w:t>
            </w:r>
            <w:r w:rsidR="00B31B34" w:rsidRPr="0052271C">
              <w:rPr>
                <w:sz w:val="20"/>
                <w:szCs w:val="20"/>
                <w:lang w:val="sr-Cyrl-RS"/>
              </w:rPr>
              <w:t>бр.</w:t>
            </w:r>
            <w:r w:rsidR="006D4C38" w:rsidRPr="0052271C">
              <w:rPr>
                <w:sz w:val="20"/>
                <w:szCs w:val="20"/>
                <w:lang w:val="sr-Cyrl-RS"/>
              </w:rPr>
              <w:t xml:space="preserve"> 15/16 и 88/19)</w:t>
            </w:r>
            <w:r w:rsidRPr="0052271C">
              <w:rPr>
                <w:sz w:val="20"/>
                <w:szCs w:val="20"/>
                <w:lang w:val="sr-Cyrl-RS"/>
              </w:rPr>
              <w:t xml:space="preserve">, </w:t>
            </w:r>
            <w:r w:rsidR="008E1036" w:rsidRPr="0052271C">
              <w:rPr>
                <w:sz w:val="20"/>
                <w:szCs w:val="20"/>
                <w:lang w:val="sr-Cyrl-RS"/>
              </w:rPr>
              <w:t>а на</w:t>
            </w:r>
            <w:r w:rsidR="008E1036" w:rsidRPr="0052271C">
              <w:rPr>
                <w:sz w:val="20"/>
                <w:szCs w:val="20"/>
                <w:lang w:val="sr-Cyrl-RS" w:eastAsia="en-US"/>
              </w:rPr>
              <w:t xml:space="preserve"> сва питања која нису посебно уређена овим законом, односно законом којим су одређене делатности од општег интереса, а односе се на јавна предузећа, сходно се примењују  одредбе</w:t>
            </w:r>
          </w:p>
          <w:p w14:paraId="4ACE1F6D" w14:textId="7C001B80" w:rsidR="008E1036" w:rsidRPr="0052271C" w:rsidRDefault="006813B1" w:rsidP="008E1036">
            <w:pPr>
              <w:rPr>
                <w:sz w:val="20"/>
                <w:szCs w:val="20"/>
                <w:lang w:val="sr-Cyrl-RS"/>
              </w:rPr>
            </w:pPr>
            <w:r w:rsidRPr="0052271C">
              <w:rPr>
                <w:b/>
                <w:sz w:val="20"/>
                <w:szCs w:val="20"/>
                <w:lang w:val="sr-Cyrl-RS"/>
              </w:rPr>
              <w:t>Закон</w:t>
            </w:r>
            <w:r w:rsidR="008E1036" w:rsidRPr="0052271C">
              <w:rPr>
                <w:b/>
                <w:sz w:val="20"/>
                <w:szCs w:val="20"/>
                <w:lang w:val="sr-Cyrl-RS"/>
              </w:rPr>
              <w:t>а</w:t>
            </w:r>
            <w:r w:rsidRPr="0052271C">
              <w:rPr>
                <w:b/>
                <w:sz w:val="20"/>
                <w:szCs w:val="20"/>
                <w:lang w:val="sr-Cyrl-RS"/>
              </w:rPr>
              <w:t xml:space="preserve"> о привредним друштвима</w:t>
            </w:r>
            <w:r w:rsidR="00B31B34" w:rsidRPr="0052271C">
              <w:rPr>
                <w:b/>
                <w:sz w:val="20"/>
                <w:szCs w:val="20"/>
                <w:lang w:val="sr-Cyrl-RS"/>
              </w:rPr>
              <w:t xml:space="preserve"> </w:t>
            </w:r>
            <w:r w:rsidR="00B31B34" w:rsidRPr="0052271C">
              <w:rPr>
                <w:sz w:val="20"/>
                <w:szCs w:val="20"/>
                <w:lang w:val="sr-Cyrl-RS"/>
              </w:rPr>
              <w:t>(„Службени гласник РСˮ, бр. 36/11, 99/11, 83/14-др. закон, 5/15, 44/18, 95/18 и 91/19</w:t>
            </w:r>
            <w:r w:rsidRPr="0052271C">
              <w:rPr>
                <w:sz w:val="20"/>
                <w:szCs w:val="20"/>
                <w:lang w:val="sr-Cyrl-RS"/>
              </w:rPr>
              <w:t>.</w:t>
            </w:r>
          </w:p>
          <w:p w14:paraId="6325CC71" w14:textId="60987BA7" w:rsidR="008E1036" w:rsidRPr="0052271C" w:rsidRDefault="008E1036" w:rsidP="008E1036">
            <w:pPr>
              <w:rPr>
                <w:sz w:val="20"/>
                <w:szCs w:val="20"/>
                <w:lang w:val="sr-Cyrl-RS"/>
              </w:rPr>
            </w:pPr>
            <w:r w:rsidRPr="0052271C">
              <w:rPr>
                <w:sz w:val="20"/>
                <w:szCs w:val="20"/>
                <w:lang w:val="sr-Cyrl-RS" w:eastAsia="en-US"/>
              </w:rPr>
              <w:t>Ако је правни положај јавних предузећа и других облика организовања који обављају делатност од општег интереса уређен посебним законом или потврђеним међународним споразумом, примењују се одредбе тог закона, односно споразума.</w:t>
            </w:r>
          </w:p>
          <w:p w14:paraId="7F1FFEFE" w14:textId="77777777" w:rsidR="006813B1" w:rsidRPr="004225B5" w:rsidRDefault="006813B1" w:rsidP="004225B5">
            <w:pPr>
              <w:rPr>
                <w:sz w:val="20"/>
                <w:szCs w:val="20"/>
                <w:lang w:val="en-US"/>
              </w:rPr>
            </w:pPr>
          </w:p>
        </w:tc>
      </w:tr>
      <w:tr w:rsidR="006813B1" w:rsidRPr="0052271C" w14:paraId="41A80B5D" w14:textId="77777777" w:rsidTr="007227B1">
        <w:tc>
          <w:tcPr>
            <w:tcW w:w="1555" w:type="dxa"/>
            <w:shd w:val="clear" w:color="auto" w:fill="DEEAF6" w:themeFill="accent1" w:themeFillTint="33"/>
            <w:vAlign w:val="center"/>
          </w:tcPr>
          <w:p w14:paraId="19336DAE" w14:textId="77777777" w:rsidR="006813B1" w:rsidRPr="0052271C" w:rsidRDefault="006813B1" w:rsidP="007E176E">
            <w:pPr>
              <w:tabs>
                <w:tab w:val="num" w:pos="573"/>
              </w:tabs>
              <w:jc w:val="center"/>
              <w:rPr>
                <w:b/>
                <w:bCs/>
                <w:sz w:val="20"/>
                <w:szCs w:val="20"/>
                <w:lang w:val="sr-Cyrl-RS"/>
              </w:rPr>
            </w:pPr>
            <w:r w:rsidRPr="0052271C">
              <w:rPr>
                <w:b/>
                <w:bCs/>
                <w:sz w:val="20"/>
                <w:szCs w:val="20"/>
                <w:lang w:val="sr-Cyrl-RS"/>
              </w:rPr>
              <w:t>Акционарско друштво</w:t>
            </w:r>
          </w:p>
          <w:p w14:paraId="02CFCB23" w14:textId="65036A40" w:rsidR="006813B1" w:rsidRPr="0052271C" w:rsidRDefault="006813B1" w:rsidP="007E176E">
            <w:pPr>
              <w:tabs>
                <w:tab w:val="num" w:pos="573"/>
              </w:tabs>
              <w:jc w:val="center"/>
              <w:rPr>
                <w:sz w:val="18"/>
                <w:szCs w:val="18"/>
                <w:lang w:val="sr-Cyrl-RS"/>
              </w:rPr>
            </w:pPr>
            <w:r w:rsidRPr="0052271C">
              <w:rPr>
                <w:b/>
                <w:bCs/>
                <w:sz w:val="20"/>
                <w:szCs w:val="20"/>
                <w:lang w:val="sr-Cyrl-RS"/>
              </w:rPr>
              <w:t>(АД)</w:t>
            </w:r>
          </w:p>
        </w:tc>
        <w:tc>
          <w:tcPr>
            <w:tcW w:w="1842" w:type="dxa"/>
          </w:tcPr>
          <w:p w14:paraId="78B0C199" w14:textId="37B674A5" w:rsidR="006813B1" w:rsidRPr="0052271C" w:rsidRDefault="006813B1" w:rsidP="006813B1">
            <w:pPr>
              <w:rPr>
                <w:sz w:val="20"/>
                <w:szCs w:val="20"/>
                <w:lang w:val="sr-Cyrl-RS"/>
              </w:rPr>
            </w:pPr>
            <w:r w:rsidRPr="0052271C">
              <w:rPr>
                <w:sz w:val="20"/>
                <w:szCs w:val="20"/>
                <w:lang w:val="sr-Cyrl-RS"/>
              </w:rPr>
              <w:t xml:space="preserve">Основни капитал АД чине акције  оснивача (акционара). Акције АД издаје као хартије од вредности. </w:t>
            </w:r>
          </w:p>
          <w:p w14:paraId="2FFFFA27" w14:textId="77777777" w:rsidR="006813B1" w:rsidRPr="0052271C" w:rsidRDefault="006813B1" w:rsidP="006813B1">
            <w:pPr>
              <w:tabs>
                <w:tab w:val="num" w:pos="573"/>
              </w:tabs>
              <w:rPr>
                <w:sz w:val="20"/>
                <w:szCs w:val="20"/>
                <w:lang w:val="sr-Cyrl-RS"/>
              </w:rPr>
            </w:pPr>
          </w:p>
        </w:tc>
        <w:tc>
          <w:tcPr>
            <w:tcW w:w="2029" w:type="dxa"/>
          </w:tcPr>
          <w:p w14:paraId="334661D6" w14:textId="77777777" w:rsidR="006813B1" w:rsidRPr="0052271C" w:rsidRDefault="006813B1" w:rsidP="006813B1">
            <w:pPr>
              <w:rPr>
                <w:sz w:val="20"/>
                <w:szCs w:val="20"/>
                <w:lang w:val="sr-Cyrl-RS"/>
              </w:rPr>
            </w:pPr>
            <w:r w:rsidRPr="0052271C">
              <w:rPr>
                <w:sz w:val="20"/>
                <w:szCs w:val="20"/>
                <w:lang w:val="sr-Cyrl-RS"/>
              </w:rPr>
              <w:t>Једнодомно управљање - АД има следеће органе: Скупштину</w:t>
            </w:r>
          </w:p>
          <w:p w14:paraId="6CA43250" w14:textId="77777777" w:rsidR="006813B1" w:rsidRPr="0052271C" w:rsidRDefault="006813B1" w:rsidP="006813B1">
            <w:pPr>
              <w:rPr>
                <w:sz w:val="20"/>
                <w:szCs w:val="20"/>
                <w:lang w:val="sr-Cyrl-RS"/>
              </w:rPr>
            </w:pPr>
            <w:r w:rsidRPr="0052271C">
              <w:rPr>
                <w:sz w:val="20"/>
                <w:szCs w:val="20"/>
                <w:lang w:val="sr-Cyrl-RS"/>
              </w:rPr>
              <w:t>једног или више директора, или одбор директора (у случају да има најмање три директора).</w:t>
            </w:r>
          </w:p>
          <w:p w14:paraId="0A2C8669" w14:textId="6D3BC19D" w:rsidR="006813B1" w:rsidRPr="0052271C" w:rsidRDefault="006813B1" w:rsidP="006813B1">
            <w:pPr>
              <w:rPr>
                <w:sz w:val="20"/>
                <w:szCs w:val="20"/>
                <w:lang w:val="sr-Cyrl-RS"/>
              </w:rPr>
            </w:pPr>
            <w:r w:rsidRPr="0052271C">
              <w:rPr>
                <w:sz w:val="20"/>
                <w:szCs w:val="20"/>
                <w:lang w:val="sr-Cyrl-RS"/>
              </w:rPr>
              <w:t xml:space="preserve">Само јавна АД имају неизвршне директоре у одбору директора, чији број мора бити већи него број извршних директора. АД која нису јавна немају обавезу да имају неизвршне директоре. </w:t>
            </w:r>
          </w:p>
          <w:p w14:paraId="692D0E42" w14:textId="77777777" w:rsidR="006813B1" w:rsidRPr="0052271C" w:rsidRDefault="006813B1" w:rsidP="006813B1">
            <w:pPr>
              <w:tabs>
                <w:tab w:val="num" w:pos="573"/>
              </w:tabs>
              <w:rPr>
                <w:sz w:val="20"/>
                <w:szCs w:val="20"/>
                <w:lang w:val="sr-Cyrl-RS"/>
              </w:rPr>
            </w:pPr>
          </w:p>
        </w:tc>
        <w:tc>
          <w:tcPr>
            <w:tcW w:w="2039" w:type="dxa"/>
          </w:tcPr>
          <w:p w14:paraId="015DC1E4" w14:textId="77777777" w:rsidR="006813B1" w:rsidRPr="0052271C" w:rsidRDefault="006813B1" w:rsidP="006813B1">
            <w:pPr>
              <w:rPr>
                <w:sz w:val="20"/>
                <w:szCs w:val="20"/>
                <w:lang w:val="sr-Cyrl-RS"/>
              </w:rPr>
            </w:pPr>
            <w:r w:rsidRPr="0052271C">
              <w:rPr>
                <w:sz w:val="20"/>
                <w:szCs w:val="20"/>
                <w:lang w:val="sr-Cyrl-RS"/>
              </w:rPr>
              <w:t>Дводомно управљање-</w:t>
            </w:r>
          </w:p>
          <w:p w14:paraId="518DDBBC" w14:textId="77777777" w:rsidR="006813B1" w:rsidRPr="0052271C" w:rsidRDefault="006813B1" w:rsidP="006813B1">
            <w:pPr>
              <w:rPr>
                <w:sz w:val="20"/>
                <w:szCs w:val="20"/>
                <w:lang w:val="sr-Cyrl-RS"/>
              </w:rPr>
            </w:pPr>
            <w:r w:rsidRPr="0052271C">
              <w:rPr>
                <w:sz w:val="20"/>
                <w:szCs w:val="20"/>
                <w:lang w:val="sr-Cyrl-RS"/>
              </w:rPr>
              <w:t>АД има следеће органе: Скупштину,</w:t>
            </w:r>
          </w:p>
          <w:p w14:paraId="0088E8F3" w14:textId="3640E4A8" w:rsidR="006813B1" w:rsidRPr="0052271C" w:rsidRDefault="006813B1" w:rsidP="006813B1">
            <w:pPr>
              <w:rPr>
                <w:sz w:val="20"/>
                <w:szCs w:val="20"/>
                <w:lang w:val="sr-Cyrl-RS"/>
              </w:rPr>
            </w:pPr>
            <w:r w:rsidRPr="0052271C">
              <w:rPr>
                <w:sz w:val="20"/>
                <w:szCs w:val="20"/>
                <w:lang w:val="sr-Cyrl-RS"/>
              </w:rPr>
              <w:t xml:space="preserve">Надзорни одбор и извршни одбор. Скупштина бира Надзорни одбор. </w:t>
            </w:r>
          </w:p>
          <w:p w14:paraId="1F5D6621" w14:textId="77777777" w:rsidR="006813B1" w:rsidRPr="0052271C" w:rsidRDefault="006813B1" w:rsidP="006813B1">
            <w:pPr>
              <w:tabs>
                <w:tab w:val="num" w:pos="573"/>
              </w:tabs>
              <w:rPr>
                <w:sz w:val="20"/>
                <w:szCs w:val="20"/>
                <w:lang w:val="sr-Cyrl-RS"/>
              </w:rPr>
            </w:pPr>
          </w:p>
        </w:tc>
        <w:tc>
          <w:tcPr>
            <w:tcW w:w="1710" w:type="dxa"/>
            <w:vMerge/>
          </w:tcPr>
          <w:p w14:paraId="5D23CE23" w14:textId="77777777" w:rsidR="006813B1" w:rsidRPr="0052271C" w:rsidRDefault="006813B1" w:rsidP="006813B1">
            <w:pPr>
              <w:ind w:firstLine="708"/>
              <w:rPr>
                <w:sz w:val="20"/>
                <w:szCs w:val="20"/>
                <w:lang w:val="sr-Cyrl-RS"/>
              </w:rPr>
            </w:pPr>
          </w:p>
        </w:tc>
      </w:tr>
      <w:tr w:rsidR="007227B1" w:rsidRPr="0052271C" w14:paraId="3D4CEA88" w14:textId="77777777" w:rsidTr="00B5611C">
        <w:trPr>
          <w:trHeight w:val="1143"/>
        </w:trPr>
        <w:tc>
          <w:tcPr>
            <w:tcW w:w="1555" w:type="dxa"/>
            <w:vMerge w:val="restart"/>
            <w:shd w:val="clear" w:color="auto" w:fill="DEEAF6" w:themeFill="accent1" w:themeFillTint="33"/>
            <w:vAlign w:val="center"/>
          </w:tcPr>
          <w:p w14:paraId="66C8CD7E" w14:textId="13971996" w:rsidR="007227B1" w:rsidRPr="0052271C" w:rsidRDefault="007227B1" w:rsidP="007E176E">
            <w:pPr>
              <w:jc w:val="center"/>
              <w:rPr>
                <w:sz w:val="20"/>
                <w:szCs w:val="20"/>
                <w:lang w:val="sr-Cyrl-RS"/>
              </w:rPr>
            </w:pPr>
            <w:r w:rsidRPr="0052271C">
              <w:rPr>
                <w:b/>
                <w:sz w:val="20"/>
                <w:szCs w:val="20"/>
                <w:lang w:val="sr-Cyrl-RS"/>
              </w:rPr>
              <w:t>Јавно предузеће (ЈП)</w:t>
            </w:r>
          </w:p>
        </w:tc>
        <w:tc>
          <w:tcPr>
            <w:tcW w:w="1842" w:type="dxa"/>
            <w:vMerge w:val="restart"/>
            <w:vAlign w:val="center"/>
          </w:tcPr>
          <w:p w14:paraId="40804B64" w14:textId="4F0C9FCE" w:rsidR="007227B1" w:rsidRPr="0052271C" w:rsidRDefault="008E1036" w:rsidP="00B5611C">
            <w:pPr>
              <w:spacing w:after="240"/>
              <w:rPr>
                <w:sz w:val="20"/>
                <w:szCs w:val="20"/>
                <w:lang w:val="sr-Cyrl-RS"/>
              </w:rPr>
            </w:pPr>
            <w:r w:rsidRPr="0052271C">
              <w:rPr>
                <w:sz w:val="20"/>
                <w:szCs w:val="20"/>
                <w:lang w:val="sr-Cyrl-RS"/>
              </w:rPr>
              <w:t>Јавно предузеће</w:t>
            </w:r>
            <w:r w:rsidR="007227B1" w:rsidRPr="0052271C">
              <w:rPr>
                <w:sz w:val="20"/>
                <w:szCs w:val="20"/>
                <w:lang w:val="sr-Cyrl-RS"/>
              </w:rPr>
              <w:t xml:space="preserve"> је специфичан правни облик привредног субјекта који Република Србија оснива за обављање делатности од општег интереса. Такве делатности могу да обављају и ДОО и АД чији је једини власник јавно предузеће, односно зависна друштва чији су једини власник таква привредна друштва.</w:t>
            </w:r>
          </w:p>
          <w:p w14:paraId="14D91565" w14:textId="77777777" w:rsidR="007227B1" w:rsidRPr="0052271C" w:rsidRDefault="007227B1" w:rsidP="00B5611C">
            <w:pPr>
              <w:tabs>
                <w:tab w:val="num" w:pos="573"/>
              </w:tabs>
              <w:rPr>
                <w:sz w:val="20"/>
                <w:szCs w:val="20"/>
                <w:lang w:val="sr-Cyrl-RS"/>
              </w:rPr>
            </w:pPr>
          </w:p>
        </w:tc>
        <w:tc>
          <w:tcPr>
            <w:tcW w:w="4068" w:type="dxa"/>
            <w:gridSpan w:val="2"/>
          </w:tcPr>
          <w:p w14:paraId="61FCCB3F" w14:textId="7B6DA477" w:rsidR="007227B1" w:rsidRPr="0052271C" w:rsidRDefault="008E1036" w:rsidP="00F55B2C">
            <w:pPr>
              <w:rPr>
                <w:sz w:val="20"/>
                <w:szCs w:val="20"/>
                <w:lang w:val="sr-Cyrl-RS"/>
              </w:rPr>
            </w:pPr>
            <w:r w:rsidRPr="0052271C">
              <w:rPr>
                <w:sz w:val="20"/>
                <w:szCs w:val="20"/>
                <w:lang w:val="sr-Cyrl-RS"/>
              </w:rPr>
              <w:t>Н</w:t>
            </w:r>
            <w:r w:rsidR="007227B1" w:rsidRPr="0052271C">
              <w:rPr>
                <w:sz w:val="20"/>
                <w:szCs w:val="20"/>
                <w:lang w:val="sr-Cyrl-RS"/>
              </w:rPr>
              <w:t>адзорни одбор, директор и извршни директори.</w:t>
            </w:r>
          </w:p>
          <w:p w14:paraId="574A2E0C" w14:textId="77777777" w:rsidR="007227B1" w:rsidRPr="0052271C" w:rsidRDefault="007227B1" w:rsidP="006813B1">
            <w:pPr>
              <w:tabs>
                <w:tab w:val="num" w:pos="573"/>
              </w:tabs>
              <w:rPr>
                <w:sz w:val="20"/>
                <w:szCs w:val="20"/>
                <w:lang w:val="sr-Cyrl-RS"/>
              </w:rPr>
            </w:pPr>
          </w:p>
        </w:tc>
        <w:tc>
          <w:tcPr>
            <w:tcW w:w="1710" w:type="dxa"/>
            <w:vMerge/>
          </w:tcPr>
          <w:p w14:paraId="53D569E9" w14:textId="77777777" w:rsidR="007227B1" w:rsidRPr="0052271C" w:rsidRDefault="007227B1" w:rsidP="006813B1">
            <w:pPr>
              <w:tabs>
                <w:tab w:val="num" w:pos="573"/>
              </w:tabs>
              <w:rPr>
                <w:sz w:val="20"/>
                <w:szCs w:val="20"/>
                <w:lang w:val="sr-Cyrl-RS"/>
              </w:rPr>
            </w:pPr>
          </w:p>
        </w:tc>
      </w:tr>
      <w:tr w:rsidR="007227B1" w:rsidRPr="0052271C" w14:paraId="659ACCBA" w14:textId="77777777" w:rsidTr="007227B1">
        <w:trPr>
          <w:trHeight w:val="4099"/>
        </w:trPr>
        <w:tc>
          <w:tcPr>
            <w:tcW w:w="1555" w:type="dxa"/>
            <w:vMerge/>
            <w:shd w:val="clear" w:color="auto" w:fill="DEEAF6" w:themeFill="accent1" w:themeFillTint="33"/>
          </w:tcPr>
          <w:p w14:paraId="4ACE49E8" w14:textId="77777777" w:rsidR="007227B1" w:rsidRPr="0052271C" w:rsidRDefault="007227B1" w:rsidP="006813B1">
            <w:pPr>
              <w:ind w:firstLine="708"/>
              <w:rPr>
                <w:b/>
                <w:sz w:val="18"/>
                <w:szCs w:val="18"/>
                <w:lang w:val="sr-Cyrl-RS"/>
              </w:rPr>
            </w:pPr>
          </w:p>
        </w:tc>
        <w:tc>
          <w:tcPr>
            <w:tcW w:w="1842" w:type="dxa"/>
            <w:vMerge/>
          </w:tcPr>
          <w:p w14:paraId="66F635B3" w14:textId="77777777" w:rsidR="007227B1" w:rsidRPr="0052271C" w:rsidRDefault="007227B1" w:rsidP="006813B1">
            <w:pPr>
              <w:ind w:firstLine="708"/>
              <w:rPr>
                <w:sz w:val="18"/>
                <w:szCs w:val="18"/>
                <w:lang w:val="sr-Cyrl-RS"/>
              </w:rPr>
            </w:pPr>
          </w:p>
        </w:tc>
        <w:tc>
          <w:tcPr>
            <w:tcW w:w="4068" w:type="dxa"/>
            <w:gridSpan w:val="2"/>
          </w:tcPr>
          <w:p w14:paraId="2BD40D93" w14:textId="56EBFE7C" w:rsidR="007227B1" w:rsidRPr="0052271C" w:rsidRDefault="008E1036" w:rsidP="007227B1">
            <w:pPr>
              <w:spacing w:after="240"/>
              <w:jc w:val="both"/>
              <w:rPr>
                <w:sz w:val="20"/>
                <w:szCs w:val="20"/>
                <w:lang w:val="sr-Cyrl-RS"/>
              </w:rPr>
            </w:pPr>
            <w:r w:rsidRPr="0052271C">
              <w:rPr>
                <w:sz w:val="20"/>
                <w:szCs w:val="20"/>
                <w:lang w:val="sr-Cyrl-RS"/>
              </w:rPr>
              <w:t>Јавно предузеће</w:t>
            </w:r>
            <w:r w:rsidR="007227B1" w:rsidRPr="0052271C">
              <w:rPr>
                <w:sz w:val="20"/>
                <w:szCs w:val="20"/>
                <w:lang w:val="sr-Cyrl-RS"/>
              </w:rPr>
              <w:t xml:space="preserve"> је специфичан корпоративни облик који нема скупштину, а орган управљања је надзорни одбор, док је у погледу одређеног броја најважнијих ствари о којима одлучује </w:t>
            </w:r>
            <w:r w:rsidR="00B97F69" w:rsidRPr="0052271C">
              <w:rPr>
                <w:sz w:val="20"/>
                <w:szCs w:val="20"/>
                <w:lang w:val="sr-Cyrl-RS"/>
              </w:rPr>
              <w:t>надзорни одбор</w:t>
            </w:r>
            <w:r w:rsidR="007227B1" w:rsidRPr="0052271C">
              <w:rPr>
                <w:sz w:val="20"/>
                <w:szCs w:val="20"/>
                <w:lang w:val="sr-Cyrl-RS"/>
              </w:rPr>
              <w:t xml:space="preserve"> неопходна сагласност Оснивача.</w:t>
            </w:r>
          </w:p>
          <w:p w14:paraId="01197CA6" w14:textId="1E2B1E34" w:rsidR="007227B1" w:rsidRPr="0052271C" w:rsidRDefault="007227B1" w:rsidP="007227B1">
            <w:pPr>
              <w:spacing w:after="240"/>
              <w:jc w:val="both"/>
              <w:rPr>
                <w:sz w:val="20"/>
                <w:szCs w:val="20"/>
                <w:lang w:val="sr-Cyrl-RS"/>
              </w:rPr>
            </w:pPr>
            <w:r w:rsidRPr="0052271C">
              <w:rPr>
                <w:sz w:val="20"/>
                <w:szCs w:val="20"/>
                <w:lang w:val="sr-Cyrl-RS"/>
              </w:rPr>
              <w:t>Надзорни одбор се састоји од пет чланова које бира Оснивач, као и директора</w:t>
            </w:r>
            <w:r w:rsidR="0022387D" w:rsidRPr="0052271C">
              <w:rPr>
                <w:sz w:val="20"/>
                <w:szCs w:val="20"/>
                <w:lang w:val="sr-Cyrl-RS"/>
              </w:rPr>
              <w:t>,</w:t>
            </w:r>
            <w:r w:rsidRPr="0052271C">
              <w:rPr>
                <w:sz w:val="20"/>
                <w:szCs w:val="20"/>
                <w:lang w:val="sr-Cyrl-RS"/>
              </w:rPr>
              <w:t xml:space="preserve"> и то након спроведеног јавног конкурса. Комисија Владе прегледа пријаве и спроводи конкурс </w:t>
            </w:r>
            <w:r w:rsidR="0022387D" w:rsidRPr="0052271C">
              <w:rPr>
                <w:sz w:val="20"/>
                <w:szCs w:val="20"/>
                <w:lang w:val="sr-Cyrl-RS"/>
              </w:rPr>
              <w:t xml:space="preserve">у ком </w:t>
            </w:r>
            <w:r w:rsidRPr="0052271C">
              <w:rPr>
                <w:sz w:val="20"/>
                <w:szCs w:val="20"/>
                <w:lang w:val="sr-Cyrl-RS"/>
              </w:rPr>
              <w:t>бира три најбоља кандидата, а коначну одлуку доноси Влада. Директор именује извршне директоре (највише седам).</w:t>
            </w:r>
          </w:p>
          <w:p w14:paraId="7E991784" w14:textId="77777777" w:rsidR="007227B1" w:rsidRPr="0052271C" w:rsidRDefault="007227B1" w:rsidP="006813B1">
            <w:pPr>
              <w:tabs>
                <w:tab w:val="num" w:pos="573"/>
              </w:tabs>
              <w:rPr>
                <w:sz w:val="20"/>
                <w:szCs w:val="20"/>
                <w:lang w:val="sr-Cyrl-RS"/>
              </w:rPr>
            </w:pPr>
          </w:p>
        </w:tc>
        <w:tc>
          <w:tcPr>
            <w:tcW w:w="1710" w:type="dxa"/>
            <w:vMerge/>
          </w:tcPr>
          <w:p w14:paraId="52280D80" w14:textId="77777777" w:rsidR="007227B1" w:rsidRPr="0052271C" w:rsidRDefault="007227B1" w:rsidP="006813B1">
            <w:pPr>
              <w:tabs>
                <w:tab w:val="num" w:pos="573"/>
              </w:tabs>
              <w:rPr>
                <w:sz w:val="20"/>
                <w:szCs w:val="20"/>
                <w:lang w:val="sr-Cyrl-RS"/>
              </w:rPr>
            </w:pPr>
          </w:p>
        </w:tc>
      </w:tr>
    </w:tbl>
    <w:p w14:paraId="235C4424" w14:textId="70E603C1" w:rsidR="00965BBF" w:rsidRPr="0052271C" w:rsidRDefault="00965BBF" w:rsidP="00C52235">
      <w:pPr>
        <w:spacing w:after="160" w:line="259" w:lineRule="auto"/>
        <w:ind w:firstLine="708"/>
        <w:jc w:val="both"/>
        <w:rPr>
          <w:rFonts w:eastAsiaTheme="minorHAnsi"/>
          <w:lang w:val="sr-Cyrl-RS" w:eastAsia="en-US"/>
        </w:rPr>
      </w:pPr>
    </w:p>
    <w:p w14:paraId="7F9F97DF" w14:textId="77777777" w:rsidR="00A27F96" w:rsidRPr="0052271C" w:rsidRDefault="00B3710E" w:rsidP="00D93305">
      <w:pPr>
        <w:ind w:firstLine="567"/>
        <w:rPr>
          <w:rFonts w:eastAsiaTheme="minorHAnsi"/>
          <w:iCs/>
          <w:lang w:val="sr-Cyrl-RS" w:eastAsia="en-US"/>
        </w:rPr>
      </w:pPr>
      <w:bookmarkStart w:id="22" w:name="_Toc62208263"/>
      <w:r w:rsidRPr="0052271C">
        <w:rPr>
          <w:rFonts w:eastAsiaTheme="minorHAnsi"/>
          <w:iCs/>
          <w:lang w:val="sr-Cyrl-RS" w:eastAsia="en-US"/>
        </w:rPr>
        <w:t>Анализа стања и у</w:t>
      </w:r>
      <w:r w:rsidR="000F357D" w:rsidRPr="0052271C">
        <w:rPr>
          <w:rFonts w:eastAsiaTheme="minorHAnsi"/>
          <w:iCs/>
          <w:lang w:val="sr-Cyrl-RS" w:eastAsia="en-US"/>
        </w:rPr>
        <w:t>очени недостаци</w:t>
      </w:r>
    </w:p>
    <w:p w14:paraId="1A66E478" w14:textId="2DDC8323" w:rsidR="00301D86" w:rsidRPr="0052271C" w:rsidRDefault="000F357D" w:rsidP="00D93305">
      <w:pPr>
        <w:ind w:firstLine="567"/>
        <w:rPr>
          <w:rFonts w:eastAsiaTheme="minorHAnsi"/>
          <w:iCs/>
          <w:lang w:val="sr-Cyrl-RS" w:eastAsia="en-US"/>
        </w:rPr>
      </w:pPr>
      <w:r w:rsidRPr="0052271C">
        <w:rPr>
          <w:rFonts w:eastAsiaTheme="minorHAnsi"/>
          <w:iCs/>
          <w:lang w:val="sr-Cyrl-RS" w:eastAsia="en-US"/>
        </w:rPr>
        <w:t xml:space="preserve"> </w:t>
      </w:r>
      <w:bookmarkEnd w:id="22"/>
    </w:p>
    <w:p w14:paraId="11DDD33F" w14:textId="37DD4EE6" w:rsidR="00BA61B4" w:rsidRPr="0052271C" w:rsidRDefault="00A27F96" w:rsidP="00413DBF">
      <w:pPr>
        <w:spacing w:line="276" w:lineRule="auto"/>
        <w:ind w:firstLine="567"/>
        <w:jc w:val="both"/>
        <w:rPr>
          <w:lang w:val="sr-Cyrl-RS" w:eastAsia="en-US"/>
        </w:rPr>
      </w:pPr>
      <w:bookmarkStart w:id="23" w:name="_Ref51681907"/>
      <w:r w:rsidRPr="0052271C">
        <w:rPr>
          <w:rFonts w:eastAsiaTheme="minorHAnsi"/>
          <w:lang w:val="sr-Cyrl-RS" w:eastAsia="en-US"/>
        </w:rPr>
        <w:t>Један од уочених недостатака је н</w:t>
      </w:r>
      <w:r w:rsidR="00C629B3" w:rsidRPr="0052271C">
        <w:rPr>
          <w:rFonts w:eastAsiaTheme="minorHAnsi"/>
          <w:lang w:val="sr-Cyrl-RS" w:eastAsia="en-US"/>
        </w:rPr>
        <w:t xml:space="preserve">еуједначен </w:t>
      </w:r>
      <w:r w:rsidR="00C3120A" w:rsidRPr="0052271C">
        <w:rPr>
          <w:rFonts w:eastAsiaTheme="minorHAnsi"/>
          <w:lang w:val="sr-Cyrl-RS" w:eastAsia="en-US"/>
        </w:rPr>
        <w:t xml:space="preserve">правни оквир за ПСРС </w:t>
      </w:r>
      <w:r w:rsidR="00C3120A" w:rsidRPr="0052271C">
        <w:rPr>
          <w:lang w:val="sr-Cyrl-RS" w:eastAsia="en-US"/>
        </w:rPr>
        <w:t xml:space="preserve">и </w:t>
      </w:r>
      <w:r w:rsidR="00BA61B4" w:rsidRPr="0052271C">
        <w:rPr>
          <w:lang w:val="sr-Cyrl-RS" w:eastAsia="en-US"/>
        </w:rPr>
        <w:t>неусаглашеност законодавног оквира, а пре свега</w:t>
      </w:r>
      <w:r w:rsidR="00C3120A" w:rsidRPr="0052271C">
        <w:rPr>
          <w:lang w:val="sr-Cyrl-RS" w:eastAsia="en-US"/>
        </w:rPr>
        <w:t xml:space="preserve"> Закона о јавним предузећима и Закона о привредним друштвима. Непостојање </w:t>
      </w:r>
      <w:r w:rsidR="00C3120A" w:rsidRPr="0052271C">
        <w:rPr>
          <w:lang w:val="sr-Cyrl-RS"/>
        </w:rPr>
        <w:t>универзалних</w:t>
      </w:r>
      <w:r w:rsidR="00EB0EF4" w:rsidRPr="0052271C">
        <w:rPr>
          <w:lang w:val="sr-Cyrl-RS"/>
        </w:rPr>
        <w:t xml:space="preserve"> правила која се односе на организовање и управљање </w:t>
      </w:r>
      <w:r w:rsidR="00BA61B4" w:rsidRPr="0052271C">
        <w:rPr>
          <w:lang w:val="sr-Cyrl-RS"/>
        </w:rPr>
        <w:t>у свим ПСРС</w:t>
      </w:r>
      <w:r w:rsidR="00EA0E6F" w:rsidRPr="0052271C">
        <w:rPr>
          <w:lang w:val="sr-Cyrl-RS"/>
        </w:rPr>
        <w:t>,</w:t>
      </w:r>
      <w:r w:rsidR="00C3120A" w:rsidRPr="0052271C">
        <w:rPr>
          <w:lang w:val="sr-Cyrl-RS"/>
        </w:rPr>
        <w:t xml:space="preserve"> </w:t>
      </w:r>
      <w:r w:rsidR="00EB0EF4" w:rsidRPr="0052271C">
        <w:rPr>
          <w:lang w:val="sr-Cyrl-RS"/>
        </w:rPr>
        <w:t>а п</w:t>
      </w:r>
      <w:r w:rsidR="00BA61B4" w:rsidRPr="0052271C">
        <w:rPr>
          <w:lang w:val="sr-Cyrl-RS" w:eastAsia="en-US"/>
        </w:rPr>
        <w:t>равн</w:t>
      </w:r>
      <w:r w:rsidR="004E561D" w:rsidRPr="0052271C">
        <w:rPr>
          <w:lang w:val="sr-Cyrl-RS" w:eastAsia="en-US"/>
        </w:rPr>
        <w:t>и оквир за постављање стратешког планирања</w:t>
      </w:r>
      <w:r w:rsidR="00BA61B4" w:rsidRPr="0052271C">
        <w:rPr>
          <w:lang w:val="sr-Cyrl-RS" w:eastAsia="en-US"/>
        </w:rPr>
        <w:t xml:space="preserve">, </w:t>
      </w:r>
      <w:r w:rsidR="004E561D" w:rsidRPr="0052271C">
        <w:rPr>
          <w:lang w:val="sr-Cyrl-RS" w:eastAsia="en-US"/>
        </w:rPr>
        <w:t xml:space="preserve">постављање </w:t>
      </w:r>
      <w:r w:rsidR="00BA61B4" w:rsidRPr="0052271C">
        <w:rPr>
          <w:lang w:val="sr-Cyrl-RS" w:eastAsia="en-US"/>
        </w:rPr>
        <w:t xml:space="preserve">циљева и </w:t>
      </w:r>
      <w:r w:rsidR="00FD34AD" w:rsidRPr="0052271C">
        <w:rPr>
          <w:lang w:val="sr-Cyrl-RS" w:eastAsia="en-US"/>
        </w:rPr>
        <w:t xml:space="preserve">кључних показатеља успеха </w:t>
      </w:r>
      <w:r w:rsidR="00BA61B4" w:rsidRPr="0052271C">
        <w:rPr>
          <w:lang w:val="sr-Cyrl-RS" w:eastAsia="en-US"/>
        </w:rPr>
        <w:t>је врло широк и не даје јасне смернице</w:t>
      </w:r>
      <w:r w:rsidR="00E86320" w:rsidRPr="0052271C">
        <w:rPr>
          <w:lang w:val="sr-Cyrl-RS" w:eastAsia="en-US"/>
        </w:rPr>
        <w:t>, док се</w:t>
      </w:r>
      <w:r w:rsidR="004E561D" w:rsidRPr="0052271C">
        <w:rPr>
          <w:lang w:val="sr-Cyrl-RS" w:eastAsia="en-US"/>
        </w:rPr>
        <w:t xml:space="preserve"> одредбе које се односе на</w:t>
      </w:r>
      <w:r w:rsidR="00FD34AD" w:rsidRPr="0052271C">
        <w:rPr>
          <w:lang w:val="sr-Cyrl-RS" w:eastAsia="en-US"/>
        </w:rPr>
        <w:t xml:space="preserve"> </w:t>
      </w:r>
      <w:r w:rsidR="004E561D" w:rsidRPr="0052271C">
        <w:rPr>
          <w:lang w:val="sr-Cyrl-RS" w:eastAsia="en-US"/>
        </w:rPr>
        <w:t>ПСРС</w:t>
      </w:r>
      <w:r w:rsidR="00BA61B4" w:rsidRPr="0052271C">
        <w:rPr>
          <w:lang w:val="sr-Cyrl-RS" w:eastAsia="en-US"/>
        </w:rPr>
        <w:t xml:space="preserve"> налазе у </w:t>
      </w:r>
      <w:r w:rsidR="008A01D4" w:rsidRPr="0052271C">
        <w:rPr>
          <w:lang w:val="sr-Cyrl-RS" w:eastAsia="en-US"/>
        </w:rPr>
        <w:t>разним</w:t>
      </w:r>
      <w:r w:rsidR="00BA61B4" w:rsidRPr="0052271C">
        <w:rPr>
          <w:lang w:val="sr-Cyrl-RS" w:eastAsia="en-US"/>
        </w:rPr>
        <w:t xml:space="preserve"> правни</w:t>
      </w:r>
      <w:r w:rsidR="008A01D4" w:rsidRPr="0052271C">
        <w:rPr>
          <w:lang w:val="sr-Cyrl-RS" w:eastAsia="en-US"/>
        </w:rPr>
        <w:t>м</w:t>
      </w:r>
      <w:r w:rsidR="00BA61B4" w:rsidRPr="0052271C">
        <w:rPr>
          <w:lang w:val="sr-Cyrl-RS" w:eastAsia="en-US"/>
        </w:rPr>
        <w:t xml:space="preserve"> ак</w:t>
      </w:r>
      <w:r w:rsidR="008A01D4" w:rsidRPr="0052271C">
        <w:rPr>
          <w:lang w:val="sr-Cyrl-RS" w:eastAsia="en-US"/>
        </w:rPr>
        <w:t>тима</w:t>
      </w:r>
      <w:r w:rsidR="004E561D" w:rsidRPr="0052271C">
        <w:rPr>
          <w:rStyle w:val="FootnoteReference"/>
          <w:lang w:val="sr-Cyrl-RS" w:eastAsia="en-US"/>
        </w:rPr>
        <w:footnoteReference w:id="18"/>
      </w:r>
      <w:r w:rsidR="00920DF1" w:rsidRPr="0052271C">
        <w:rPr>
          <w:lang w:val="sr-Cyrl-RS" w:eastAsia="en-US"/>
        </w:rPr>
        <w:t xml:space="preserve"> у којима постоји међусобна </w:t>
      </w:r>
      <w:r w:rsidR="004E561D" w:rsidRPr="0052271C">
        <w:rPr>
          <w:lang w:val="sr-Cyrl-RS" w:eastAsia="en-US"/>
        </w:rPr>
        <w:t>неусклађеност и неусаглашеност</w:t>
      </w:r>
      <w:r w:rsidR="00B5611C" w:rsidRPr="0052271C">
        <w:rPr>
          <w:lang w:val="sr-Cyrl-RS" w:eastAsia="en-US"/>
        </w:rPr>
        <w:t>.</w:t>
      </w:r>
    </w:p>
    <w:p w14:paraId="1BC25494" w14:textId="70297B94" w:rsidR="00A71E9F" w:rsidRPr="0052271C" w:rsidRDefault="00A71E9F" w:rsidP="00A71E9F">
      <w:pPr>
        <w:spacing w:line="276" w:lineRule="auto"/>
        <w:ind w:firstLine="573"/>
        <w:jc w:val="both"/>
        <w:rPr>
          <w:lang w:val="sr-Cyrl-RS"/>
        </w:rPr>
      </w:pPr>
      <w:r w:rsidRPr="0052271C">
        <w:rPr>
          <w:lang w:val="sr-Cyrl-RS"/>
        </w:rPr>
        <w:t>Неуједначен правни оквир за успостављање општих правила о власништву и управљању ПСРС проузроковао је дисперзију која може довести до нејасних циљева, и непостојање јасно дефинисане улоге државе као власника, креатора политика и регулатора.</w:t>
      </w:r>
    </w:p>
    <w:p w14:paraId="72E0D4CE" w14:textId="40289E67" w:rsidR="00B3710E" w:rsidRPr="0052271C" w:rsidRDefault="00B3710E" w:rsidP="00FD34AD">
      <w:pPr>
        <w:spacing w:line="276" w:lineRule="auto"/>
        <w:ind w:firstLine="573"/>
        <w:jc w:val="both"/>
        <w:rPr>
          <w:lang w:val="sr-Cyrl-RS"/>
        </w:rPr>
      </w:pPr>
      <w:r w:rsidRPr="0052271C">
        <w:rPr>
          <w:lang w:val="sr-Cyrl-RS"/>
        </w:rPr>
        <w:t>Такође, неуједначени правни облици у којима послују ПСРС треба да буду стандардизовани тако да се успостави јединствени оквир за вршење власништва државе, чиме би се сва јавна предузећа трансформисала у АД или ДОО и на тај начин спровела корпорати</w:t>
      </w:r>
      <w:r w:rsidR="00FD34AD" w:rsidRPr="0052271C">
        <w:rPr>
          <w:lang w:val="sr-Cyrl-RS"/>
        </w:rPr>
        <w:t>визација свих јавних предузећа. Д</w:t>
      </w:r>
      <w:r w:rsidRPr="0052271C">
        <w:rPr>
          <w:lang w:val="sr-Cyrl-RS"/>
        </w:rPr>
        <w:t>ржава је отпочела корпоративизацију јавних предузећа (</w:t>
      </w:r>
      <w:r w:rsidR="00DE5639" w:rsidRPr="0052271C">
        <w:rPr>
          <w:lang w:val="sr-Cyrl-RS"/>
        </w:rPr>
        <w:t>Јавно предузеће „</w:t>
      </w:r>
      <w:r w:rsidRPr="0052271C">
        <w:rPr>
          <w:lang w:val="sr-Cyrl-RS"/>
        </w:rPr>
        <w:t>Железнице</w:t>
      </w:r>
      <w:r w:rsidR="00DE5639" w:rsidRPr="0052271C">
        <w:rPr>
          <w:lang w:val="sr-Cyrl-RS"/>
        </w:rPr>
        <w:t xml:space="preserve"> Србијеˮ, Београд</w:t>
      </w:r>
      <w:r w:rsidRPr="0052271C">
        <w:rPr>
          <w:lang w:val="sr-Cyrl-RS"/>
        </w:rPr>
        <w:t xml:space="preserve">, </w:t>
      </w:r>
      <w:r w:rsidR="00DE5639" w:rsidRPr="0052271C">
        <w:rPr>
          <w:lang w:val="sr-Cyrl-RS"/>
        </w:rPr>
        <w:t>Јавно предузеће „</w:t>
      </w:r>
      <w:r w:rsidRPr="0052271C">
        <w:rPr>
          <w:lang w:val="sr-Cyrl-RS"/>
        </w:rPr>
        <w:t xml:space="preserve">Електромрежа </w:t>
      </w:r>
      <w:r w:rsidR="00DE5639" w:rsidRPr="0052271C">
        <w:rPr>
          <w:lang w:val="sr-Cyrl-RS"/>
        </w:rPr>
        <w:t xml:space="preserve">Србијеˮ, Београд </w:t>
      </w:r>
      <w:r w:rsidRPr="0052271C">
        <w:rPr>
          <w:lang w:val="sr-Cyrl-RS"/>
        </w:rPr>
        <w:t xml:space="preserve">и </w:t>
      </w:r>
      <w:r w:rsidR="00DE5639" w:rsidRPr="0052271C">
        <w:rPr>
          <w:lang w:val="sr-Cyrl-RS"/>
        </w:rPr>
        <w:t>Јавно предузеће „</w:t>
      </w:r>
      <w:r w:rsidRPr="0052271C">
        <w:rPr>
          <w:lang w:val="sr-Cyrl-RS"/>
        </w:rPr>
        <w:t>Транснафта</w:t>
      </w:r>
      <w:r w:rsidR="00DE5639" w:rsidRPr="0052271C">
        <w:rPr>
          <w:lang w:val="sr-Cyrl-RS"/>
        </w:rPr>
        <w:t>ˮ, Панчево</w:t>
      </w:r>
      <w:r w:rsidRPr="0052271C">
        <w:rPr>
          <w:lang w:val="sr-Cyrl-RS"/>
        </w:rPr>
        <w:t xml:space="preserve"> су из форме јавног предузећа трансформисани у форму АД)</w:t>
      </w:r>
      <w:r w:rsidR="00EA0E6F" w:rsidRPr="0052271C">
        <w:rPr>
          <w:lang w:val="sr-Cyrl-RS"/>
        </w:rPr>
        <w:t>,</w:t>
      </w:r>
      <w:r w:rsidRPr="0052271C">
        <w:rPr>
          <w:lang w:val="sr-Cyrl-RS"/>
        </w:rPr>
        <w:t xml:space="preserve"> а Министарство ће наставити на активностима око трансформације осталих јавних предузећа.</w:t>
      </w:r>
    </w:p>
    <w:p w14:paraId="3650CA3D" w14:textId="77777777" w:rsidR="00B3710E" w:rsidRPr="0052271C" w:rsidRDefault="00B3710E" w:rsidP="00B3710E">
      <w:pPr>
        <w:spacing w:line="276" w:lineRule="auto"/>
        <w:ind w:firstLine="573"/>
        <w:jc w:val="both"/>
        <w:rPr>
          <w:lang w:val="sr-Cyrl-RS"/>
        </w:rPr>
      </w:pPr>
      <w:r w:rsidRPr="0052271C">
        <w:rPr>
          <w:lang w:val="sr-Cyrl-RS"/>
        </w:rPr>
        <w:t>Започета корпоративизација јавних предузећа, омогућава да ова предузећа добију органе управљања који имају одговорност у складу са својим надлежностима, те да се успостави јединствен систем управљања и одговорности.</w:t>
      </w:r>
    </w:p>
    <w:p w14:paraId="50A65D92" w14:textId="5139E7B1" w:rsidR="00AA10C4" w:rsidRPr="0052271C" w:rsidRDefault="00B3710E" w:rsidP="00D23B49">
      <w:pPr>
        <w:spacing w:line="276" w:lineRule="auto"/>
        <w:ind w:firstLine="573"/>
        <w:jc w:val="both"/>
        <w:rPr>
          <w:lang w:val="sr-Cyrl-RS"/>
        </w:rPr>
      </w:pPr>
      <w:r w:rsidRPr="0052271C">
        <w:rPr>
          <w:lang w:val="sr-Cyrl-RS"/>
        </w:rPr>
        <w:t>Промена правне форме је сложен процес на коме ће Министарство</w:t>
      </w:r>
      <w:r w:rsidR="003A7B73" w:rsidRPr="0052271C">
        <w:rPr>
          <w:lang w:val="sr-Cyrl-RS"/>
        </w:rPr>
        <w:t xml:space="preserve"> </w:t>
      </w:r>
      <w:r w:rsidRPr="0052271C">
        <w:rPr>
          <w:lang w:val="sr-Cyrl-RS"/>
        </w:rPr>
        <w:t xml:space="preserve">радити са ресорним министарствима и надлежним институцијама. </w:t>
      </w:r>
      <w:r w:rsidR="00784805" w:rsidRPr="0052271C">
        <w:rPr>
          <w:lang w:val="sr-Cyrl-RS"/>
        </w:rPr>
        <w:t xml:space="preserve">У </w:t>
      </w:r>
      <w:r w:rsidRPr="0052271C">
        <w:rPr>
          <w:lang w:val="sr-Cyrl-RS"/>
        </w:rPr>
        <w:t>досадашњ</w:t>
      </w:r>
      <w:r w:rsidR="00784805" w:rsidRPr="0052271C">
        <w:rPr>
          <w:lang w:val="sr-Cyrl-RS"/>
        </w:rPr>
        <w:t>ој</w:t>
      </w:r>
      <w:r w:rsidRPr="0052271C">
        <w:rPr>
          <w:lang w:val="sr-Cyrl-RS"/>
        </w:rPr>
        <w:t xml:space="preserve"> пракс</w:t>
      </w:r>
      <w:r w:rsidR="00784805" w:rsidRPr="0052271C">
        <w:rPr>
          <w:lang w:val="sr-Cyrl-RS"/>
        </w:rPr>
        <w:t>и</w:t>
      </w:r>
      <w:r w:rsidRPr="0052271C">
        <w:rPr>
          <w:lang w:val="sr-Cyrl-RS"/>
        </w:rPr>
        <w:t>, као највећи изазов односно проблем показало се дефинисање права својине јавних предузећа (попис имовине и процена имовине јавних предузећа)</w:t>
      </w:r>
      <w:r w:rsidR="000A6DE9" w:rsidRPr="0052271C">
        <w:rPr>
          <w:lang w:val="sr-Cyrl-RS"/>
        </w:rPr>
        <w:t>,</w:t>
      </w:r>
      <w:r w:rsidRPr="0052271C">
        <w:rPr>
          <w:lang w:val="sr-Cyrl-RS"/>
        </w:rPr>
        <w:t xml:space="preserve"> што је основни предуслов и почетни корак за започињање приликом промене правне форме</w:t>
      </w:r>
      <w:r w:rsidR="003A7B73" w:rsidRPr="0052271C">
        <w:rPr>
          <w:lang w:val="sr-Cyrl-RS"/>
        </w:rPr>
        <w:t>, а у</w:t>
      </w:r>
      <w:r w:rsidRPr="0052271C">
        <w:rPr>
          <w:lang w:val="sr-Cyrl-RS"/>
        </w:rPr>
        <w:t>пис права својине јавног предузећа пропис</w:t>
      </w:r>
      <w:r w:rsidR="004C69C3" w:rsidRPr="0052271C">
        <w:rPr>
          <w:lang w:val="sr-Cyrl-RS"/>
        </w:rPr>
        <w:t>ан је Законом о јавној својини.</w:t>
      </w:r>
    </w:p>
    <w:p w14:paraId="357A6391" w14:textId="77777777" w:rsidR="00D23B49" w:rsidRPr="0052271C" w:rsidRDefault="00D23B49" w:rsidP="00D23B49">
      <w:pPr>
        <w:spacing w:line="276" w:lineRule="auto"/>
        <w:ind w:firstLine="573"/>
        <w:jc w:val="both"/>
        <w:rPr>
          <w:lang w:val="sr-Cyrl-RS"/>
        </w:rPr>
      </w:pPr>
    </w:p>
    <w:p w14:paraId="4232635C" w14:textId="6683FC42" w:rsidR="00A77C78" w:rsidRPr="0052271C" w:rsidRDefault="00413DBF" w:rsidP="00D23B49">
      <w:pPr>
        <w:pStyle w:val="Heading2"/>
        <w:numPr>
          <w:ilvl w:val="0"/>
          <w:numId w:val="34"/>
        </w:numPr>
        <w:tabs>
          <w:tab w:val="left" w:pos="284"/>
        </w:tabs>
        <w:spacing w:before="0" w:after="0"/>
        <w:ind w:left="0" w:firstLine="0"/>
        <w:jc w:val="center"/>
        <w:rPr>
          <w:rFonts w:ascii="Times New Roman" w:eastAsia="Calibri" w:hAnsi="Times New Roman"/>
          <w:b w:val="0"/>
          <w:bCs w:val="0"/>
          <w:i w:val="0"/>
          <w:iCs w:val="0"/>
          <w:sz w:val="24"/>
          <w:szCs w:val="24"/>
          <w:lang w:val="sr-Cyrl-RS"/>
        </w:rPr>
      </w:pPr>
      <w:bookmarkStart w:id="24" w:name="_Toc62208264"/>
      <w:bookmarkStart w:id="25" w:name="_Toc63452449"/>
      <w:bookmarkStart w:id="26" w:name="_Toc63587084"/>
      <w:r w:rsidRPr="0052271C">
        <w:rPr>
          <w:rFonts w:ascii="Times New Roman" w:eastAsia="Calibri" w:hAnsi="Times New Roman"/>
          <w:b w:val="0"/>
          <w:bCs w:val="0"/>
          <w:i w:val="0"/>
          <w:iCs w:val="0"/>
          <w:sz w:val="24"/>
          <w:szCs w:val="24"/>
          <w:lang w:val="sr-Cyrl-RS"/>
        </w:rPr>
        <w:t>Власничко управљање</w:t>
      </w:r>
      <w:bookmarkEnd w:id="24"/>
      <w:bookmarkEnd w:id="25"/>
      <w:bookmarkEnd w:id="26"/>
    </w:p>
    <w:p w14:paraId="18A19F19" w14:textId="77777777" w:rsidR="00AA10C4" w:rsidRPr="0052271C" w:rsidRDefault="00AA10C4" w:rsidP="00D23B49">
      <w:pPr>
        <w:rPr>
          <w:rFonts w:eastAsia="Calibri"/>
          <w:lang w:val="sr-Cyrl-RS"/>
        </w:rPr>
      </w:pPr>
    </w:p>
    <w:p w14:paraId="128D695C" w14:textId="6A87014B" w:rsidR="00413DBF" w:rsidRPr="0052271C" w:rsidRDefault="00043228" w:rsidP="00D23B49">
      <w:pPr>
        <w:pStyle w:val="Heading3"/>
        <w:numPr>
          <w:ilvl w:val="0"/>
          <w:numId w:val="0"/>
        </w:numPr>
        <w:spacing w:before="0" w:after="0"/>
        <w:ind w:left="851" w:hanging="284"/>
        <w:rPr>
          <w:rFonts w:ascii="Times New Roman" w:eastAsiaTheme="minorHAnsi" w:hAnsi="Times New Roman"/>
          <w:b w:val="0"/>
          <w:iCs/>
          <w:sz w:val="24"/>
          <w:szCs w:val="24"/>
          <w:lang w:val="sr-Cyrl-RS" w:eastAsia="en-US"/>
        </w:rPr>
      </w:pPr>
      <w:bookmarkStart w:id="27" w:name="_Toc62208265"/>
      <w:bookmarkStart w:id="28" w:name="_Toc63452450"/>
      <w:bookmarkStart w:id="29" w:name="_Toc63587085"/>
      <w:r w:rsidRPr="0052271C">
        <w:rPr>
          <w:rFonts w:ascii="Times New Roman" w:eastAsiaTheme="minorHAnsi" w:hAnsi="Times New Roman"/>
          <w:b w:val="0"/>
          <w:iCs/>
          <w:sz w:val="24"/>
          <w:szCs w:val="24"/>
          <w:lang w:val="sr-Cyrl-RS" w:eastAsia="en-US"/>
        </w:rPr>
        <w:t xml:space="preserve">А) </w:t>
      </w:r>
      <w:r w:rsidR="004E240E" w:rsidRPr="0052271C">
        <w:rPr>
          <w:rFonts w:ascii="Times New Roman" w:eastAsiaTheme="minorHAnsi" w:hAnsi="Times New Roman"/>
          <w:b w:val="0"/>
          <w:iCs/>
          <w:sz w:val="24"/>
          <w:szCs w:val="24"/>
          <w:lang w:val="sr-Cyrl-RS" w:eastAsia="en-US"/>
        </w:rPr>
        <w:t>И</w:t>
      </w:r>
      <w:r w:rsidR="00A77C78" w:rsidRPr="0052271C">
        <w:rPr>
          <w:rFonts w:ascii="Times New Roman" w:eastAsiaTheme="minorHAnsi" w:hAnsi="Times New Roman"/>
          <w:b w:val="0"/>
          <w:iCs/>
          <w:sz w:val="24"/>
          <w:szCs w:val="24"/>
          <w:lang w:val="sr-Cyrl-RS" w:eastAsia="en-US"/>
        </w:rPr>
        <w:t>нституционални оквир и структурирање власничке функције</w:t>
      </w:r>
      <w:bookmarkEnd w:id="27"/>
      <w:r w:rsidR="002A28F0" w:rsidRPr="0052271C">
        <w:rPr>
          <w:rFonts w:ascii="Times New Roman" w:eastAsiaTheme="minorHAnsi" w:hAnsi="Times New Roman"/>
          <w:b w:val="0"/>
          <w:iCs/>
          <w:sz w:val="24"/>
          <w:szCs w:val="24"/>
          <w:lang w:val="sr-Cyrl-RS" w:eastAsia="en-US"/>
        </w:rPr>
        <w:t>- анализа стања и уочени недостаци</w:t>
      </w:r>
      <w:bookmarkEnd w:id="28"/>
      <w:bookmarkEnd w:id="29"/>
      <w:r w:rsidR="002A28F0" w:rsidRPr="0052271C">
        <w:rPr>
          <w:rFonts w:ascii="Times New Roman" w:eastAsiaTheme="minorHAnsi" w:hAnsi="Times New Roman"/>
          <w:b w:val="0"/>
          <w:iCs/>
          <w:sz w:val="24"/>
          <w:szCs w:val="24"/>
          <w:lang w:val="sr-Cyrl-RS" w:eastAsia="en-US"/>
        </w:rPr>
        <w:t xml:space="preserve"> </w:t>
      </w:r>
    </w:p>
    <w:p w14:paraId="23B51B03" w14:textId="1AA61353" w:rsidR="00301D86" w:rsidRPr="0052271C" w:rsidRDefault="00301D86" w:rsidP="004E240E">
      <w:pPr>
        <w:spacing w:line="276" w:lineRule="auto"/>
        <w:ind w:firstLine="567"/>
        <w:jc w:val="both"/>
        <w:rPr>
          <w:rFonts w:eastAsiaTheme="minorHAnsi"/>
          <w:lang w:val="sr-Cyrl-RS" w:eastAsia="en-US"/>
        </w:rPr>
      </w:pPr>
      <w:r w:rsidRPr="0052271C">
        <w:rPr>
          <w:rFonts w:eastAsiaTheme="minorHAnsi"/>
          <w:lang w:val="sr-Cyrl-RS" w:eastAsia="en-US"/>
        </w:rPr>
        <w:t xml:space="preserve">Анализом правног оквира и тренутне праксе, идентификовани су кључни недостаци и проблеми у обављању власничке функције Републике Србије над </w:t>
      </w:r>
      <w:r w:rsidR="00B433F9" w:rsidRPr="0052271C">
        <w:rPr>
          <w:rFonts w:eastAsiaTheme="minorHAnsi"/>
          <w:lang w:val="sr-Cyrl-RS" w:eastAsia="en-US"/>
        </w:rPr>
        <w:t>ПСРС</w:t>
      </w:r>
      <w:r w:rsidRPr="0052271C">
        <w:rPr>
          <w:rFonts w:eastAsiaTheme="minorHAnsi"/>
          <w:lang w:val="sr-Cyrl-RS" w:eastAsia="en-US"/>
        </w:rPr>
        <w:t>. Основни закључци су следећи:</w:t>
      </w:r>
    </w:p>
    <w:p w14:paraId="75D9F629" w14:textId="707157C0" w:rsidR="00301D86" w:rsidRPr="0052271C" w:rsidRDefault="00301D86" w:rsidP="001A5E9B">
      <w:pPr>
        <w:numPr>
          <w:ilvl w:val="0"/>
          <w:numId w:val="16"/>
        </w:numPr>
        <w:tabs>
          <w:tab w:val="left" w:pos="851"/>
        </w:tabs>
        <w:spacing w:after="160" w:line="276" w:lineRule="auto"/>
        <w:ind w:left="0" w:firstLine="567"/>
        <w:contextualSpacing/>
        <w:jc w:val="both"/>
        <w:rPr>
          <w:rFonts w:eastAsiaTheme="minorHAnsi"/>
          <w:lang w:val="sr-Cyrl-RS" w:eastAsia="en-US"/>
        </w:rPr>
      </w:pPr>
      <w:r w:rsidRPr="0052271C">
        <w:rPr>
          <w:rFonts w:eastAsiaTheme="minorHAnsi"/>
          <w:lang w:val="sr-Cyrl-RS" w:eastAsia="en-US"/>
        </w:rPr>
        <w:t xml:space="preserve">Не постоји јединствен правни оквир </w:t>
      </w:r>
      <w:r w:rsidR="00920DF1" w:rsidRPr="0052271C">
        <w:rPr>
          <w:rFonts w:eastAsiaTheme="minorHAnsi"/>
          <w:lang w:val="sr-Cyrl-RS" w:eastAsia="en-US"/>
        </w:rPr>
        <w:t>који</w:t>
      </w:r>
      <w:r w:rsidR="001A5E9B" w:rsidRPr="0052271C">
        <w:rPr>
          <w:rFonts w:eastAsiaTheme="minorHAnsi"/>
          <w:lang w:val="sr-Cyrl-RS" w:eastAsia="en-US"/>
        </w:rPr>
        <w:t>м се</w:t>
      </w:r>
      <w:r w:rsidR="00920DF1" w:rsidRPr="0052271C">
        <w:rPr>
          <w:rFonts w:eastAsiaTheme="minorHAnsi"/>
          <w:lang w:val="sr-Cyrl-RS" w:eastAsia="en-US"/>
        </w:rPr>
        <w:t xml:space="preserve"> </w:t>
      </w:r>
      <w:r w:rsidR="001A5E9B" w:rsidRPr="0052271C">
        <w:rPr>
          <w:rFonts w:eastAsiaTheme="minorHAnsi"/>
          <w:lang w:val="sr-Cyrl-RS" w:eastAsia="en-US"/>
        </w:rPr>
        <w:t xml:space="preserve">уређује </w:t>
      </w:r>
      <w:r w:rsidR="00920DF1" w:rsidRPr="0052271C">
        <w:rPr>
          <w:rFonts w:eastAsiaTheme="minorHAnsi"/>
          <w:lang w:val="sr-Cyrl-RS" w:eastAsia="en-US"/>
        </w:rPr>
        <w:t>државно</w:t>
      </w:r>
      <w:r w:rsidRPr="0052271C">
        <w:rPr>
          <w:rFonts w:eastAsiaTheme="minorHAnsi"/>
          <w:lang w:val="sr-Cyrl-RS" w:eastAsia="en-US"/>
        </w:rPr>
        <w:t xml:space="preserve"> власништв</w:t>
      </w:r>
      <w:r w:rsidR="00920DF1" w:rsidRPr="0052271C">
        <w:rPr>
          <w:rFonts w:eastAsiaTheme="minorHAnsi"/>
          <w:lang w:val="sr-Cyrl-RS" w:eastAsia="en-US"/>
        </w:rPr>
        <w:t>о</w:t>
      </w:r>
      <w:r w:rsidR="00B26D06" w:rsidRPr="0052271C">
        <w:rPr>
          <w:rFonts w:eastAsiaTheme="minorHAnsi"/>
          <w:lang w:val="sr-Cyrl-RS" w:eastAsia="en-US"/>
        </w:rPr>
        <w:t>;</w:t>
      </w:r>
    </w:p>
    <w:p w14:paraId="45C58C50" w14:textId="64EFE822" w:rsidR="00301D86" w:rsidRPr="0052271C" w:rsidRDefault="00301D86" w:rsidP="001A5E9B">
      <w:pPr>
        <w:numPr>
          <w:ilvl w:val="0"/>
          <w:numId w:val="16"/>
        </w:numPr>
        <w:tabs>
          <w:tab w:val="left" w:pos="851"/>
        </w:tabs>
        <w:spacing w:after="160" w:line="276" w:lineRule="auto"/>
        <w:ind w:left="0" w:firstLine="567"/>
        <w:contextualSpacing/>
        <w:jc w:val="both"/>
        <w:rPr>
          <w:rFonts w:eastAsiaTheme="minorHAnsi"/>
          <w:lang w:val="sr-Cyrl-RS" w:eastAsia="en-US"/>
        </w:rPr>
      </w:pPr>
      <w:r w:rsidRPr="0052271C">
        <w:rPr>
          <w:rFonts w:eastAsiaTheme="minorHAnsi"/>
          <w:lang w:val="sr-Cyrl-RS" w:eastAsia="en-US"/>
        </w:rPr>
        <w:t xml:space="preserve">Приступ Републике Србије власништву над </w:t>
      </w:r>
      <w:r w:rsidR="00B433F9" w:rsidRPr="0052271C">
        <w:rPr>
          <w:rFonts w:eastAsiaTheme="minorHAnsi"/>
          <w:lang w:val="sr-Cyrl-RS" w:eastAsia="en-US"/>
        </w:rPr>
        <w:t xml:space="preserve">ПСРС </w:t>
      </w:r>
      <w:r w:rsidRPr="0052271C">
        <w:rPr>
          <w:rFonts w:eastAsiaTheme="minorHAnsi"/>
          <w:lang w:val="sr-Cyrl-RS" w:eastAsia="en-US"/>
        </w:rPr>
        <w:t>је генерално децентрализован и недостаје јасна дефиниција циљ</w:t>
      </w:r>
      <w:r w:rsidR="00B26D06" w:rsidRPr="0052271C">
        <w:rPr>
          <w:rFonts w:eastAsiaTheme="minorHAnsi"/>
          <w:lang w:val="sr-Cyrl-RS" w:eastAsia="en-US"/>
        </w:rPr>
        <w:t>ева државе у погледу власништва;</w:t>
      </w:r>
      <w:r w:rsidRPr="0052271C">
        <w:rPr>
          <w:rFonts w:eastAsiaTheme="minorHAnsi"/>
          <w:lang w:val="sr-Cyrl-RS" w:eastAsia="en-US"/>
        </w:rPr>
        <w:t xml:space="preserve"> </w:t>
      </w:r>
    </w:p>
    <w:p w14:paraId="0E2051CA" w14:textId="4740508B" w:rsidR="00F70402" w:rsidRPr="0052271C" w:rsidRDefault="00301D86" w:rsidP="001A5E9B">
      <w:pPr>
        <w:numPr>
          <w:ilvl w:val="0"/>
          <w:numId w:val="16"/>
        </w:numPr>
        <w:tabs>
          <w:tab w:val="left" w:pos="851"/>
        </w:tabs>
        <w:spacing w:after="160" w:line="276" w:lineRule="auto"/>
        <w:ind w:left="0" w:firstLine="567"/>
        <w:contextualSpacing/>
        <w:jc w:val="both"/>
        <w:rPr>
          <w:rFonts w:eastAsiaTheme="minorHAnsi"/>
          <w:lang w:val="sr-Cyrl-RS" w:eastAsia="en-US"/>
        </w:rPr>
      </w:pPr>
      <w:r w:rsidRPr="0052271C">
        <w:rPr>
          <w:rFonts w:eastAsiaTheme="minorHAnsi"/>
          <w:lang w:val="sr-Cyrl-RS" w:eastAsia="en-US"/>
        </w:rPr>
        <w:lastRenderedPageBreak/>
        <w:t xml:space="preserve">Не постоји јединствен систем надзора над свим </w:t>
      </w:r>
      <w:r w:rsidR="00B433F9" w:rsidRPr="0052271C">
        <w:rPr>
          <w:rFonts w:eastAsiaTheme="minorHAnsi"/>
          <w:lang w:val="sr-Cyrl-RS" w:eastAsia="en-US"/>
        </w:rPr>
        <w:t>ПСРС</w:t>
      </w:r>
      <w:r w:rsidR="00B26D06" w:rsidRPr="0052271C">
        <w:rPr>
          <w:rFonts w:eastAsiaTheme="minorHAnsi"/>
          <w:lang w:val="sr-Cyrl-RS" w:eastAsia="en-US"/>
        </w:rPr>
        <w:t>.</w:t>
      </w:r>
    </w:p>
    <w:p w14:paraId="7ED8614D" w14:textId="095EBEA3" w:rsidR="008D3898" w:rsidRPr="0052271C" w:rsidRDefault="00920DF1" w:rsidP="008D3898">
      <w:pPr>
        <w:spacing w:before="240" w:after="240" w:line="276" w:lineRule="auto"/>
        <w:ind w:firstLine="567"/>
        <w:jc w:val="both"/>
        <w:rPr>
          <w:lang w:val="sr-Cyrl-RS" w:eastAsia="en-US"/>
        </w:rPr>
      </w:pPr>
      <w:r w:rsidRPr="0052271C">
        <w:rPr>
          <w:lang w:val="sr-Cyrl-RS" w:eastAsia="en-US"/>
        </w:rPr>
        <w:t>Смернице ОЕЦД и најбоља</w:t>
      </w:r>
      <w:r w:rsidR="00EB0EF4" w:rsidRPr="0052271C">
        <w:rPr>
          <w:lang w:val="sr-Cyrl-RS" w:eastAsia="en-US"/>
        </w:rPr>
        <w:t xml:space="preserve"> </w:t>
      </w:r>
      <w:r w:rsidR="00CF1657" w:rsidRPr="0052271C">
        <w:rPr>
          <w:lang w:val="sr-Cyrl-RS" w:eastAsia="en-US"/>
        </w:rPr>
        <w:t xml:space="preserve">међународна </w:t>
      </w:r>
      <w:r w:rsidR="00EB0EF4" w:rsidRPr="0052271C">
        <w:rPr>
          <w:lang w:val="sr-Cyrl-RS" w:eastAsia="en-US"/>
        </w:rPr>
        <w:t>пракс</w:t>
      </w:r>
      <w:r w:rsidRPr="0052271C">
        <w:rPr>
          <w:lang w:val="sr-Cyrl-RS" w:eastAsia="en-US"/>
        </w:rPr>
        <w:t>а</w:t>
      </w:r>
      <w:r w:rsidR="00EB0EF4" w:rsidRPr="0052271C">
        <w:rPr>
          <w:lang w:val="sr-Cyrl-RS" w:eastAsia="en-US"/>
        </w:rPr>
        <w:t xml:space="preserve"> препоручују да држава дефинише и јасно изрази разлог за власништво над </w:t>
      </w:r>
      <w:r w:rsidR="00B433F9" w:rsidRPr="0052271C">
        <w:rPr>
          <w:lang w:val="sr-Cyrl-RS" w:eastAsia="en-US"/>
        </w:rPr>
        <w:t xml:space="preserve">ПСРС </w:t>
      </w:r>
      <w:r w:rsidR="00EB0EF4" w:rsidRPr="0052271C">
        <w:rPr>
          <w:lang w:val="sr-Cyrl-RS" w:eastAsia="en-US"/>
        </w:rPr>
        <w:t>који треба да буде исказан у документ</w:t>
      </w:r>
      <w:r w:rsidRPr="0052271C">
        <w:rPr>
          <w:lang w:val="sr-Cyrl-RS" w:eastAsia="en-US"/>
        </w:rPr>
        <w:t>у политике државног власништва.</w:t>
      </w:r>
    </w:p>
    <w:bookmarkEnd w:id="23"/>
    <w:p w14:paraId="52FC569E" w14:textId="74949A7B" w:rsidR="00C658FF" w:rsidRPr="0052271C" w:rsidRDefault="00C658FF" w:rsidP="00413DBF">
      <w:pPr>
        <w:spacing w:after="240" w:line="276" w:lineRule="auto"/>
        <w:jc w:val="center"/>
        <w:rPr>
          <w:lang w:val="sr-Cyrl-RS" w:eastAsia="en-US"/>
        </w:rPr>
      </w:pPr>
      <w:r w:rsidRPr="0052271C">
        <w:rPr>
          <w:lang w:val="sr-Cyrl-RS" w:eastAsia="en-US"/>
        </w:rPr>
        <w:t xml:space="preserve">Преглед </w:t>
      </w:r>
      <w:r w:rsidR="00920DF1" w:rsidRPr="0052271C">
        <w:rPr>
          <w:lang w:val="sr-Cyrl-RS" w:eastAsia="en-US"/>
        </w:rPr>
        <w:t>законод</w:t>
      </w:r>
      <w:r w:rsidRPr="0052271C">
        <w:rPr>
          <w:lang w:val="sr-Cyrl-RS" w:eastAsia="en-US"/>
        </w:rPr>
        <w:t>авног оквира за власништво над ПСРС</w:t>
      </w:r>
    </w:p>
    <w:tbl>
      <w:tblPr>
        <w:tblStyle w:val="TableGrid"/>
        <w:tblW w:w="0" w:type="auto"/>
        <w:tblLook w:val="04A0" w:firstRow="1" w:lastRow="0" w:firstColumn="1" w:lastColumn="0" w:noHBand="0" w:noVBand="1"/>
      </w:tblPr>
      <w:tblGrid>
        <w:gridCol w:w="3005"/>
        <w:gridCol w:w="6012"/>
      </w:tblGrid>
      <w:tr w:rsidR="00A66A45" w:rsidRPr="0052271C" w14:paraId="3C56C888" w14:textId="77777777" w:rsidTr="000058F0">
        <w:tc>
          <w:tcPr>
            <w:tcW w:w="3005" w:type="dxa"/>
            <w:shd w:val="clear" w:color="auto" w:fill="BDD6EE" w:themeFill="accent1" w:themeFillTint="66"/>
          </w:tcPr>
          <w:p w14:paraId="170749E3" w14:textId="0513A119" w:rsidR="00A66A45" w:rsidRPr="0052271C" w:rsidRDefault="00A66A45" w:rsidP="002559DA">
            <w:pPr>
              <w:spacing w:after="240" w:line="276" w:lineRule="auto"/>
              <w:jc w:val="center"/>
              <w:rPr>
                <w:b/>
                <w:sz w:val="20"/>
                <w:szCs w:val="20"/>
                <w:lang w:val="sr-Cyrl-RS" w:eastAsia="en-US"/>
              </w:rPr>
            </w:pPr>
            <w:r w:rsidRPr="0052271C">
              <w:rPr>
                <w:b/>
                <w:sz w:val="20"/>
                <w:szCs w:val="20"/>
                <w:lang w:val="sr-Cyrl-RS" w:eastAsia="en-US"/>
              </w:rPr>
              <w:t>Правни акт</w:t>
            </w:r>
          </w:p>
        </w:tc>
        <w:tc>
          <w:tcPr>
            <w:tcW w:w="6012" w:type="dxa"/>
            <w:shd w:val="clear" w:color="auto" w:fill="BDD6EE" w:themeFill="accent1" w:themeFillTint="66"/>
          </w:tcPr>
          <w:p w14:paraId="5B1B2B3E" w14:textId="0483A544" w:rsidR="00A66A45" w:rsidRPr="0052271C" w:rsidRDefault="00A66A45" w:rsidP="002559DA">
            <w:pPr>
              <w:spacing w:after="240" w:line="276" w:lineRule="auto"/>
              <w:jc w:val="center"/>
              <w:rPr>
                <w:b/>
                <w:sz w:val="20"/>
                <w:szCs w:val="20"/>
                <w:lang w:val="sr-Cyrl-RS" w:eastAsia="en-US"/>
              </w:rPr>
            </w:pPr>
            <w:r w:rsidRPr="0052271C">
              <w:rPr>
                <w:b/>
                <w:sz w:val="20"/>
                <w:szCs w:val="20"/>
                <w:lang w:val="sr-Cyrl-RS" w:eastAsia="en-US"/>
              </w:rPr>
              <w:t>Релевантне одредбе</w:t>
            </w:r>
          </w:p>
        </w:tc>
      </w:tr>
      <w:tr w:rsidR="00A66A45" w:rsidRPr="0052271C" w14:paraId="673E4515" w14:textId="77777777" w:rsidTr="00413DBF">
        <w:trPr>
          <w:trHeight w:val="980"/>
        </w:trPr>
        <w:tc>
          <w:tcPr>
            <w:tcW w:w="3005" w:type="dxa"/>
            <w:shd w:val="clear" w:color="auto" w:fill="DEEAF6" w:themeFill="accent1" w:themeFillTint="33"/>
            <w:vAlign w:val="center"/>
          </w:tcPr>
          <w:p w14:paraId="61E337CA" w14:textId="1D2B935B" w:rsidR="001A5E9B" w:rsidRPr="0052271C" w:rsidRDefault="00A66A45" w:rsidP="001A5E9B">
            <w:pPr>
              <w:spacing w:after="240" w:line="276" w:lineRule="auto"/>
              <w:jc w:val="center"/>
              <w:rPr>
                <w:sz w:val="20"/>
                <w:lang w:val="sr-Cyrl-RS"/>
              </w:rPr>
            </w:pPr>
            <w:r w:rsidRPr="0052271C">
              <w:rPr>
                <w:b/>
                <w:sz w:val="20"/>
                <w:szCs w:val="20"/>
                <w:lang w:val="sr-Cyrl-RS" w:eastAsia="en-US"/>
              </w:rPr>
              <w:t>Закон о Влади</w:t>
            </w:r>
            <w:r w:rsidR="001A5E9B" w:rsidRPr="0052271C">
              <w:rPr>
                <w:b/>
                <w:sz w:val="20"/>
                <w:szCs w:val="20"/>
                <w:lang w:val="sr-Cyrl-RS" w:eastAsia="en-US"/>
              </w:rPr>
              <w:t xml:space="preserve"> </w:t>
            </w:r>
            <w:r w:rsidR="001A5E9B" w:rsidRPr="0052271C">
              <w:rPr>
                <w:sz w:val="20"/>
                <w:lang w:val="sr-Cyrl-RS"/>
              </w:rPr>
              <w:t>(„Службени гласник РСˮ, бр. 55/05, 71/05 - исправка, 101/07, 65/08, 16/11, 68/12 – УС, 72/12, 7/14 – УС, 44/14 и 30/18 – др. закон)</w:t>
            </w:r>
          </w:p>
          <w:p w14:paraId="6857EF88" w14:textId="12C43A66" w:rsidR="00A66A45" w:rsidRPr="0052271C" w:rsidRDefault="00A66A45" w:rsidP="00E66320">
            <w:pPr>
              <w:spacing w:after="240" w:line="276" w:lineRule="auto"/>
              <w:rPr>
                <w:b/>
                <w:sz w:val="20"/>
                <w:szCs w:val="20"/>
                <w:u w:val="single"/>
                <w:lang w:val="sr-Cyrl-RS" w:eastAsia="en-US"/>
              </w:rPr>
            </w:pPr>
          </w:p>
        </w:tc>
        <w:tc>
          <w:tcPr>
            <w:tcW w:w="6012" w:type="dxa"/>
          </w:tcPr>
          <w:p w14:paraId="11B85269" w14:textId="0D0123F7" w:rsidR="00A66A45" w:rsidRPr="0052271C" w:rsidRDefault="00A66A45" w:rsidP="00AD6BAB">
            <w:pPr>
              <w:spacing w:after="240" w:line="276" w:lineRule="auto"/>
              <w:jc w:val="both"/>
              <w:rPr>
                <w:b/>
                <w:sz w:val="20"/>
                <w:szCs w:val="20"/>
                <w:u w:val="single"/>
                <w:lang w:val="sr-Cyrl-RS" w:eastAsia="en-US"/>
              </w:rPr>
            </w:pPr>
            <w:r w:rsidRPr="0052271C">
              <w:rPr>
                <w:sz w:val="20"/>
                <w:szCs w:val="20"/>
                <w:lang w:val="sr-Cyrl-RS" w:eastAsia="en-US"/>
              </w:rPr>
              <w:t>Влада заступа Републику Србију као правно лице и врши права и испуњава обавезе</w:t>
            </w:r>
            <w:r w:rsidR="00AD6BAB" w:rsidRPr="0052271C">
              <w:rPr>
                <w:sz w:val="20"/>
                <w:szCs w:val="20"/>
                <w:lang w:val="sr-Cyrl-RS" w:eastAsia="en-US"/>
              </w:rPr>
              <w:t xml:space="preserve"> које</w:t>
            </w:r>
            <w:r w:rsidRPr="0052271C">
              <w:rPr>
                <w:sz w:val="20"/>
                <w:szCs w:val="20"/>
                <w:lang w:val="sr-Cyrl-RS" w:eastAsia="en-US"/>
              </w:rPr>
              <w:t xml:space="preserve"> </w:t>
            </w:r>
            <w:r w:rsidR="00831B67" w:rsidRPr="0052271C">
              <w:rPr>
                <w:sz w:val="20"/>
                <w:szCs w:val="20"/>
                <w:lang w:val="sr-Cyrl-RS" w:eastAsia="en-US"/>
              </w:rPr>
              <w:t>Републик</w:t>
            </w:r>
            <w:r w:rsidR="001A5E9B" w:rsidRPr="0052271C">
              <w:rPr>
                <w:sz w:val="20"/>
                <w:szCs w:val="20"/>
                <w:lang w:val="sr-Cyrl-RS" w:eastAsia="en-US"/>
              </w:rPr>
              <w:t>а</w:t>
            </w:r>
            <w:r w:rsidRPr="0052271C">
              <w:rPr>
                <w:sz w:val="20"/>
                <w:szCs w:val="20"/>
                <w:lang w:val="sr-Cyrl-RS" w:eastAsia="en-US"/>
              </w:rPr>
              <w:t xml:space="preserve"> Србиј</w:t>
            </w:r>
            <w:r w:rsidR="00AD6BAB" w:rsidRPr="0052271C">
              <w:rPr>
                <w:sz w:val="20"/>
                <w:szCs w:val="20"/>
                <w:lang w:val="sr-Cyrl-RS" w:eastAsia="en-US"/>
              </w:rPr>
              <w:t>а има</w:t>
            </w:r>
            <w:r w:rsidRPr="0052271C">
              <w:rPr>
                <w:sz w:val="20"/>
                <w:szCs w:val="20"/>
                <w:lang w:val="sr-Cyrl-RS" w:eastAsia="en-US"/>
              </w:rPr>
              <w:t xml:space="preserve"> као оснивач јавних предузећа, институција и других организација, ако законом није другачије одређено. Влада располаже имовином у власништву Републике Србије, ако законом није другачије одређено. </w:t>
            </w:r>
          </w:p>
        </w:tc>
      </w:tr>
      <w:tr w:rsidR="00A66A45" w:rsidRPr="0052271C" w14:paraId="54D109F6" w14:textId="77777777" w:rsidTr="00F56D88">
        <w:trPr>
          <w:cantSplit/>
          <w:trHeight w:val="2242"/>
        </w:trPr>
        <w:tc>
          <w:tcPr>
            <w:tcW w:w="3005" w:type="dxa"/>
            <w:shd w:val="clear" w:color="auto" w:fill="DEEAF6" w:themeFill="accent1" w:themeFillTint="33"/>
            <w:vAlign w:val="center"/>
          </w:tcPr>
          <w:p w14:paraId="5AED26A5" w14:textId="7FCD6416" w:rsidR="00A66A45" w:rsidRPr="0052271C" w:rsidRDefault="00A66A45" w:rsidP="003D329F">
            <w:pPr>
              <w:spacing w:after="240" w:line="276" w:lineRule="auto"/>
              <w:jc w:val="center"/>
              <w:rPr>
                <w:b/>
                <w:sz w:val="20"/>
                <w:szCs w:val="20"/>
                <w:u w:val="single"/>
                <w:lang w:val="sr-Cyrl-RS" w:eastAsia="en-US"/>
              </w:rPr>
            </w:pPr>
            <w:r w:rsidRPr="0052271C">
              <w:rPr>
                <w:b/>
                <w:sz w:val="20"/>
                <w:szCs w:val="20"/>
                <w:lang w:val="sr-Cyrl-RS" w:eastAsia="en-US"/>
              </w:rPr>
              <w:t>Закон о јавној својини</w:t>
            </w:r>
          </w:p>
        </w:tc>
        <w:tc>
          <w:tcPr>
            <w:tcW w:w="6012" w:type="dxa"/>
          </w:tcPr>
          <w:p w14:paraId="621182BA" w14:textId="268CB882" w:rsidR="00A66A45" w:rsidRPr="0052271C" w:rsidRDefault="00EB4593" w:rsidP="00EB4593">
            <w:pPr>
              <w:spacing w:after="240" w:line="276" w:lineRule="auto"/>
              <w:jc w:val="both"/>
              <w:rPr>
                <w:b/>
                <w:sz w:val="20"/>
                <w:szCs w:val="20"/>
                <w:u w:val="single"/>
                <w:lang w:val="sr-Cyrl-RS" w:eastAsia="en-US"/>
              </w:rPr>
            </w:pPr>
            <w:r w:rsidRPr="0052271C">
              <w:rPr>
                <w:sz w:val="20"/>
                <w:szCs w:val="20"/>
                <w:lang w:val="sr-Cyrl-RS"/>
              </w:rPr>
              <w:t>Република Србија, аутономна покрајина и јединица локалне самоуправе могу средства у јавној својини улагати у капитал јавног предузећа и друштва капитала, у складу са овим и другим законом.</w:t>
            </w:r>
            <w:r w:rsidRPr="0052271C">
              <w:rPr>
                <w:sz w:val="20"/>
                <w:szCs w:val="20"/>
                <w:lang w:val="sr-Cyrl-RS" w:eastAsia="en-US"/>
              </w:rPr>
              <w:t xml:space="preserve"> </w:t>
            </w:r>
            <w:r w:rsidR="00A66A45" w:rsidRPr="0052271C">
              <w:rPr>
                <w:sz w:val="20"/>
                <w:szCs w:val="20"/>
                <w:lang w:val="sr-Cyrl-RS" w:eastAsia="en-US"/>
              </w:rPr>
              <w:t xml:space="preserve">Управљање добрима од општег интереса и добрима у општој употреби мора се обављати савесно, законито и искључиво штитећи јавни интерес. Забрањена је употреба поверених добара од општег интереса у приватне сврхе, у сврхе политичких странака или друге забрањене сврхе. </w:t>
            </w:r>
          </w:p>
        </w:tc>
      </w:tr>
      <w:tr w:rsidR="00A66A45" w:rsidRPr="0052271C" w14:paraId="359D403C" w14:textId="77777777" w:rsidTr="00413DBF">
        <w:tc>
          <w:tcPr>
            <w:tcW w:w="3005" w:type="dxa"/>
            <w:shd w:val="clear" w:color="auto" w:fill="DEEAF6" w:themeFill="accent1" w:themeFillTint="33"/>
            <w:vAlign w:val="center"/>
          </w:tcPr>
          <w:p w14:paraId="72780DE3" w14:textId="0585AA63" w:rsidR="00A66A45" w:rsidRPr="0052271C" w:rsidRDefault="00F04DEB" w:rsidP="003D329F">
            <w:pPr>
              <w:spacing w:after="240" w:line="276" w:lineRule="auto"/>
              <w:jc w:val="center"/>
              <w:rPr>
                <w:b/>
                <w:sz w:val="20"/>
                <w:szCs w:val="20"/>
                <w:u w:val="single"/>
                <w:lang w:val="sr-Cyrl-RS" w:eastAsia="en-US"/>
              </w:rPr>
            </w:pPr>
            <w:r w:rsidRPr="0052271C">
              <w:rPr>
                <w:b/>
                <w:sz w:val="20"/>
                <w:szCs w:val="20"/>
                <w:lang w:val="sr-Cyrl-RS"/>
              </w:rPr>
              <w:t>Закон</w:t>
            </w:r>
            <w:r w:rsidR="00A66A45" w:rsidRPr="0052271C">
              <w:rPr>
                <w:b/>
                <w:sz w:val="20"/>
                <w:szCs w:val="20"/>
                <w:lang w:val="sr-Cyrl-RS"/>
              </w:rPr>
              <w:t xml:space="preserve"> о јавним предузећима</w:t>
            </w:r>
          </w:p>
        </w:tc>
        <w:tc>
          <w:tcPr>
            <w:tcW w:w="6012" w:type="dxa"/>
          </w:tcPr>
          <w:p w14:paraId="28B151D6" w14:textId="73E65E52" w:rsidR="00A66A45" w:rsidRPr="0052271C" w:rsidRDefault="00A66A45" w:rsidP="003D329F">
            <w:pPr>
              <w:ind w:right="4"/>
              <w:jc w:val="both"/>
              <w:rPr>
                <w:lang w:val="sr-Cyrl-RS" w:eastAsia="en-US"/>
              </w:rPr>
            </w:pPr>
            <w:r w:rsidRPr="0052271C">
              <w:rPr>
                <w:sz w:val="20"/>
                <w:szCs w:val="20"/>
                <w:lang w:val="sr-Cyrl-RS"/>
              </w:rPr>
              <w:t>Делатности од општег интереса</w:t>
            </w:r>
            <w:r w:rsidR="00AD6BAB" w:rsidRPr="0052271C">
              <w:rPr>
                <w:sz w:val="20"/>
                <w:szCs w:val="20"/>
                <w:vertAlign w:val="superscript"/>
                <w:lang w:val="sr-Cyrl-RS"/>
              </w:rPr>
              <w:t xml:space="preserve"> </w:t>
            </w:r>
            <w:r w:rsidR="00AD6BAB" w:rsidRPr="0052271C">
              <w:rPr>
                <w:sz w:val="20"/>
                <w:szCs w:val="20"/>
                <w:lang w:val="sr-Cyrl-RS"/>
              </w:rPr>
              <w:t xml:space="preserve">су </w:t>
            </w:r>
            <w:r w:rsidRPr="0052271C">
              <w:rPr>
                <w:sz w:val="20"/>
                <w:szCs w:val="20"/>
                <w:lang w:val="sr-Cyrl-RS"/>
              </w:rPr>
              <w:t xml:space="preserve">оне које су као </w:t>
            </w:r>
            <w:r w:rsidR="00AD6BAB" w:rsidRPr="0052271C">
              <w:rPr>
                <w:sz w:val="20"/>
                <w:szCs w:val="20"/>
                <w:lang w:val="sr-Cyrl-RS" w:eastAsia="en-US"/>
              </w:rPr>
              <w:t xml:space="preserve">такве одређене законом у области: рударства и енергетике, саобраћаја, електронских комуникација, издавања службеног гласила Републике Србије и издавања уџбеника, нуклеарних објеката, наоружања и војне опреме, коришћења, управљања, заштите, уређивања и унапређивања добара од општег интереса и добара у општој употреби (воде, путеви, шуме, пловне реке, језера, обале, бање, дивљач, заштићена подручја и др.), управљања отпадом и другим областима. Делатности </w:t>
            </w:r>
            <w:r w:rsidR="00AD6BAB" w:rsidRPr="0052271C">
              <w:rPr>
                <w:sz w:val="20"/>
                <w:szCs w:val="20"/>
                <w:lang w:val="sr-Cyrl-RS"/>
              </w:rPr>
              <w:t>од општег интереса</w:t>
            </w:r>
            <w:r w:rsidR="00AD6BAB" w:rsidRPr="0052271C">
              <w:rPr>
                <w:sz w:val="20"/>
                <w:szCs w:val="20"/>
                <w:vertAlign w:val="superscript"/>
                <w:lang w:val="sr-Cyrl-RS"/>
              </w:rPr>
              <w:t xml:space="preserve"> </w:t>
            </w:r>
            <w:r w:rsidR="00AD6BAB" w:rsidRPr="0052271C">
              <w:rPr>
                <w:sz w:val="20"/>
                <w:szCs w:val="20"/>
                <w:lang w:val="sr-Cyrl-RS"/>
              </w:rPr>
              <w:t xml:space="preserve">су </w:t>
            </w:r>
            <w:r w:rsidR="00AD6BAB" w:rsidRPr="0052271C">
              <w:rPr>
                <w:sz w:val="20"/>
                <w:szCs w:val="20"/>
                <w:lang w:val="sr-Cyrl-RS" w:eastAsia="en-US"/>
              </w:rPr>
              <w:t>и комуналне делатности, као и друге делатности одређене законом као делатности од општег интереса.</w:t>
            </w:r>
            <w:r w:rsidRPr="0052271C">
              <w:rPr>
                <w:sz w:val="20"/>
                <w:szCs w:val="20"/>
                <w:vertAlign w:val="superscript"/>
                <w:lang w:val="sr-Cyrl-RS"/>
              </w:rPr>
              <w:footnoteReference w:id="19"/>
            </w:r>
            <w:r w:rsidRPr="0052271C">
              <w:rPr>
                <w:sz w:val="20"/>
                <w:szCs w:val="20"/>
                <w:lang w:val="sr-Cyrl-RS"/>
              </w:rPr>
              <w:t xml:space="preserve"> Закони</w:t>
            </w:r>
            <w:r w:rsidR="003D329F" w:rsidRPr="0052271C">
              <w:rPr>
                <w:sz w:val="20"/>
                <w:szCs w:val="20"/>
                <w:lang w:val="sr-Cyrl-RS"/>
              </w:rPr>
              <w:t>ма</w:t>
            </w:r>
            <w:r w:rsidRPr="0052271C">
              <w:rPr>
                <w:sz w:val="20"/>
                <w:szCs w:val="20"/>
                <w:lang w:val="sr-Cyrl-RS"/>
              </w:rPr>
              <w:t xml:space="preserve"> који</w:t>
            </w:r>
            <w:r w:rsidR="003D329F" w:rsidRPr="0052271C">
              <w:rPr>
                <w:sz w:val="20"/>
                <w:szCs w:val="20"/>
                <w:lang w:val="sr-Cyrl-RS"/>
              </w:rPr>
              <w:t>ма се</w:t>
            </w:r>
            <w:r w:rsidRPr="0052271C">
              <w:rPr>
                <w:sz w:val="20"/>
                <w:szCs w:val="20"/>
                <w:lang w:val="sr-Cyrl-RS"/>
              </w:rPr>
              <w:t xml:space="preserve"> уређују наведене области </w:t>
            </w:r>
            <w:r w:rsidR="003D329F" w:rsidRPr="0052271C">
              <w:rPr>
                <w:sz w:val="20"/>
                <w:szCs w:val="20"/>
                <w:lang w:val="sr-Cyrl-RS"/>
              </w:rPr>
              <w:t xml:space="preserve">одређене су </w:t>
            </w:r>
            <w:r w:rsidRPr="0052271C">
              <w:rPr>
                <w:sz w:val="20"/>
                <w:szCs w:val="20"/>
                <w:lang w:val="sr-Cyrl-RS"/>
              </w:rPr>
              <w:t>делатности од општег интереса у тим областима.</w:t>
            </w:r>
          </w:p>
        </w:tc>
      </w:tr>
    </w:tbl>
    <w:p w14:paraId="3B20BD02" w14:textId="77777777" w:rsidR="00A66A45" w:rsidRPr="0052271C" w:rsidRDefault="00A66A45" w:rsidP="00C52235">
      <w:pPr>
        <w:spacing w:after="160" w:line="259" w:lineRule="auto"/>
        <w:ind w:firstLine="708"/>
        <w:jc w:val="both"/>
        <w:rPr>
          <w:rFonts w:eastAsiaTheme="minorHAnsi"/>
          <w:lang w:val="sr-Cyrl-RS" w:eastAsia="en-US"/>
        </w:rPr>
      </w:pPr>
    </w:p>
    <w:p w14:paraId="4D3EC5F1" w14:textId="67BD5F21" w:rsidR="00C52235" w:rsidRPr="0052271C" w:rsidRDefault="00A66A45" w:rsidP="00C52235">
      <w:pPr>
        <w:spacing w:after="160" w:line="259" w:lineRule="auto"/>
        <w:ind w:firstLine="708"/>
        <w:jc w:val="both"/>
        <w:rPr>
          <w:rFonts w:eastAsiaTheme="minorHAnsi"/>
          <w:lang w:val="sr-Cyrl-RS" w:eastAsia="en-US"/>
        </w:rPr>
      </w:pPr>
      <w:r w:rsidRPr="0052271C">
        <w:rPr>
          <w:rFonts w:eastAsiaTheme="minorHAnsi"/>
          <w:lang w:val="sr-Cyrl-RS" w:eastAsia="en-US"/>
        </w:rPr>
        <w:t>Т</w:t>
      </w:r>
      <w:r w:rsidR="002559DA" w:rsidRPr="0052271C">
        <w:rPr>
          <w:rFonts w:eastAsiaTheme="minorHAnsi"/>
          <w:lang w:val="sr-Cyrl-RS" w:eastAsia="en-US"/>
        </w:rPr>
        <w:t>акође, у</w:t>
      </w:r>
      <w:r w:rsidR="00C52235" w:rsidRPr="0052271C">
        <w:rPr>
          <w:rFonts w:eastAsiaTheme="minorHAnsi"/>
          <w:lang w:val="sr-Cyrl-RS" w:eastAsia="en-US"/>
        </w:rPr>
        <w:t xml:space="preserve">рађена је компаративна анализа модела управљања </w:t>
      </w:r>
      <w:r w:rsidR="002559DA" w:rsidRPr="0052271C">
        <w:rPr>
          <w:rFonts w:eastAsiaTheme="minorHAnsi"/>
          <w:lang w:val="sr-Cyrl-RS" w:eastAsia="en-US"/>
        </w:rPr>
        <w:t xml:space="preserve">друштвима </w:t>
      </w:r>
      <w:r w:rsidR="00C52235" w:rsidRPr="0052271C">
        <w:rPr>
          <w:rFonts w:eastAsiaTheme="minorHAnsi"/>
          <w:lang w:val="sr-Cyrl-RS" w:eastAsia="en-US"/>
        </w:rPr>
        <w:t xml:space="preserve">у државном власништву, где су за поређење изабране </w:t>
      </w:r>
      <w:r w:rsidR="00083F5A" w:rsidRPr="0052271C">
        <w:rPr>
          <w:rFonts w:eastAsiaTheme="minorHAnsi"/>
          <w:lang w:val="sr-Cyrl-RS" w:eastAsia="en-US"/>
        </w:rPr>
        <w:t xml:space="preserve">државе </w:t>
      </w:r>
      <w:r w:rsidR="00C52235" w:rsidRPr="0052271C">
        <w:rPr>
          <w:rFonts w:eastAsiaTheme="minorHAnsi"/>
          <w:lang w:val="sr-Cyrl-RS" w:eastAsia="en-US"/>
        </w:rPr>
        <w:t xml:space="preserve">које имају различите распоне власничких структура за упоређивање. </w:t>
      </w:r>
    </w:p>
    <w:p w14:paraId="41A5B213" w14:textId="023828FD" w:rsidR="00A20937" w:rsidRPr="0052271C" w:rsidRDefault="00FB2849" w:rsidP="00D23B49">
      <w:pPr>
        <w:spacing w:after="160" w:line="259" w:lineRule="auto"/>
        <w:rPr>
          <w:rFonts w:eastAsiaTheme="minorHAnsi"/>
          <w:lang w:val="sr-Cyrl-RS" w:eastAsia="en-US"/>
        </w:rPr>
      </w:pPr>
      <w:r w:rsidRPr="0052271C">
        <w:rPr>
          <w:rFonts w:eastAsiaTheme="minorHAnsi"/>
          <w:lang w:val="sr-Cyrl-RS" w:eastAsia="en-US"/>
        </w:rPr>
        <w:br w:type="page"/>
      </w:r>
    </w:p>
    <w:p w14:paraId="1543D9CF" w14:textId="7EEF48DF" w:rsidR="002559DA" w:rsidRPr="0052271C" w:rsidRDefault="00A66A45" w:rsidP="00F04DEB">
      <w:pPr>
        <w:spacing w:after="160" w:line="259" w:lineRule="auto"/>
        <w:jc w:val="center"/>
        <w:rPr>
          <w:rFonts w:eastAsiaTheme="minorHAnsi"/>
          <w:lang w:val="sr-Cyrl-RS" w:eastAsia="en-US"/>
        </w:rPr>
      </w:pPr>
      <w:r w:rsidRPr="0052271C">
        <w:rPr>
          <w:rFonts w:eastAsiaTheme="minorHAnsi"/>
          <w:lang w:val="sr-Cyrl-RS" w:eastAsia="en-US"/>
        </w:rPr>
        <w:lastRenderedPageBreak/>
        <w:t>Упоредна</w:t>
      </w:r>
      <w:r w:rsidR="002559DA" w:rsidRPr="0052271C">
        <w:rPr>
          <w:rFonts w:eastAsiaTheme="minorHAnsi"/>
          <w:lang w:val="sr-Cyrl-RS" w:eastAsia="en-US"/>
        </w:rPr>
        <w:t xml:space="preserve"> анализа </w:t>
      </w:r>
      <w:r w:rsidRPr="0052271C">
        <w:rPr>
          <w:rFonts w:eastAsiaTheme="minorHAnsi"/>
          <w:lang w:val="sr-Cyrl-RS" w:eastAsia="en-US"/>
        </w:rPr>
        <w:t xml:space="preserve">међународних </w:t>
      </w:r>
      <w:r w:rsidR="002559DA" w:rsidRPr="0052271C">
        <w:rPr>
          <w:rFonts w:eastAsiaTheme="minorHAnsi"/>
          <w:lang w:val="sr-Cyrl-RS" w:eastAsia="en-US"/>
        </w:rPr>
        <w:t>модела управљања друштвима у државном власништву</w:t>
      </w:r>
    </w:p>
    <w:tbl>
      <w:tblPr>
        <w:tblW w:w="9072" w:type="dxa"/>
        <w:tblBorders>
          <w:top w:val="single" w:sz="8" w:space="0" w:color="646464"/>
          <w:bottom w:val="single" w:sz="8" w:space="0" w:color="646464"/>
        </w:tblBorders>
        <w:tblLayout w:type="fixed"/>
        <w:tblLook w:val="01E0" w:firstRow="1" w:lastRow="1" w:firstColumn="1" w:lastColumn="1" w:noHBand="0" w:noVBand="0"/>
      </w:tblPr>
      <w:tblGrid>
        <w:gridCol w:w="9072"/>
      </w:tblGrid>
      <w:tr w:rsidR="00C52235" w:rsidRPr="0052271C" w14:paraId="65D5E679" w14:textId="77777777" w:rsidTr="00F04DEB">
        <w:trPr>
          <w:cantSplit/>
          <w:trHeight w:val="4022"/>
        </w:trPr>
        <w:tc>
          <w:tcPr>
            <w:tcW w:w="9072" w:type="dxa"/>
            <w:tcBorders>
              <w:left w:val="nil"/>
            </w:tcBorders>
          </w:tcPr>
          <w:tbl>
            <w:tblPr>
              <w:tblStyle w:val="TableGrid"/>
              <w:tblW w:w="8882" w:type="dxa"/>
              <w:tblLayout w:type="fixed"/>
              <w:tblLook w:val="04A0" w:firstRow="1" w:lastRow="0" w:firstColumn="1" w:lastColumn="0" w:noHBand="0" w:noVBand="1"/>
            </w:tblPr>
            <w:tblGrid>
              <w:gridCol w:w="1367"/>
              <w:gridCol w:w="1639"/>
              <w:gridCol w:w="5876"/>
            </w:tblGrid>
            <w:tr w:rsidR="00F04DEB" w:rsidRPr="0052271C" w14:paraId="5725802B" w14:textId="7D099198" w:rsidTr="00F04DEB">
              <w:trPr>
                <w:trHeight w:val="449"/>
              </w:trPr>
              <w:tc>
                <w:tcPr>
                  <w:tcW w:w="1367"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7C3C8C5C" w14:textId="77777777" w:rsidR="00F04DEB" w:rsidRPr="0052271C" w:rsidRDefault="00F04DEB" w:rsidP="00F04DEB">
                  <w:pPr>
                    <w:jc w:val="center"/>
                    <w:rPr>
                      <w:sz w:val="20"/>
                      <w:szCs w:val="20"/>
                      <w:lang w:val="sr-Cyrl-RS"/>
                    </w:rPr>
                  </w:pPr>
                  <w:r w:rsidRPr="0052271C">
                    <w:rPr>
                      <w:sz w:val="20"/>
                      <w:szCs w:val="20"/>
                      <w:lang w:val="sr-Cyrl-RS"/>
                    </w:rPr>
                    <w:t>Држава</w:t>
                  </w:r>
                </w:p>
              </w:tc>
              <w:tc>
                <w:tcPr>
                  <w:tcW w:w="1639"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39E18F25" w14:textId="77777777" w:rsidR="00F04DEB" w:rsidRPr="0052271C" w:rsidRDefault="00F04DEB" w:rsidP="00F04DEB">
                  <w:pPr>
                    <w:jc w:val="center"/>
                    <w:rPr>
                      <w:sz w:val="20"/>
                      <w:szCs w:val="20"/>
                      <w:lang w:val="sr-Cyrl-RS"/>
                    </w:rPr>
                  </w:pPr>
                  <w:r w:rsidRPr="0052271C">
                    <w:rPr>
                      <w:sz w:val="20"/>
                      <w:szCs w:val="20"/>
                      <w:lang w:val="sr-Cyrl-RS"/>
                    </w:rPr>
                    <w:t>Власнички модел</w:t>
                  </w:r>
                </w:p>
              </w:tc>
              <w:tc>
                <w:tcPr>
                  <w:tcW w:w="5876"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1D3D63AC" w14:textId="77777777" w:rsidR="00F04DEB" w:rsidRPr="0052271C" w:rsidRDefault="00F04DEB" w:rsidP="00F04DEB">
                  <w:pPr>
                    <w:jc w:val="center"/>
                    <w:rPr>
                      <w:sz w:val="20"/>
                      <w:szCs w:val="20"/>
                      <w:lang w:val="sr-Cyrl-RS"/>
                    </w:rPr>
                  </w:pPr>
                  <w:r w:rsidRPr="0052271C">
                    <w:rPr>
                      <w:sz w:val="20"/>
                      <w:szCs w:val="20"/>
                      <w:lang w:val="sr-Cyrl-RS"/>
                    </w:rPr>
                    <w:t>Опис</w:t>
                  </w:r>
                </w:p>
              </w:tc>
            </w:tr>
            <w:tr w:rsidR="00F04DEB" w:rsidRPr="0052271C" w14:paraId="41A34984" w14:textId="2F92A34D" w:rsidTr="00F04DEB">
              <w:trPr>
                <w:trHeight w:val="327"/>
              </w:trPr>
              <w:tc>
                <w:tcPr>
                  <w:tcW w:w="136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4B2E4C9" w14:textId="25AD973A" w:rsidR="00F04DEB" w:rsidRPr="0052271C" w:rsidRDefault="00FB2849" w:rsidP="00FB2849">
                  <w:pPr>
                    <w:spacing w:before="60" w:after="60"/>
                    <w:ind w:left="59" w:hanging="59"/>
                    <w:jc w:val="center"/>
                    <w:rPr>
                      <w:sz w:val="20"/>
                      <w:szCs w:val="20"/>
                      <w:lang w:val="sr-Cyrl-RS"/>
                    </w:rPr>
                  </w:pPr>
                  <w:r w:rsidRPr="0052271C">
                    <w:rPr>
                      <w:sz w:val="20"/>
                      <w:szCs w:val="20"/>
                      <w:lang w:val="sr-Cyrl-RS"/>
                    </w:rPr>
                    <w:t xml:space="preserve">Република </w:t>
                  </w:r>
                  <w:r w:rsidR="00F04DEB" w:rsidRPr="0052271C">
                    <w:rPr>
                      <w:sz w:val="20"/>
                      <w:szCs w:val="20"/>
                      <w:lang w:val="sr-Cyrl-RS"/>
                    </w:rPr>
                    <w:t>Финска</w:t>
                  </w:r>
                </w:p>
              </w:tc>
              <w:tc>
                <w:tcPr>
                  <w:tcW w:w="163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FFD3D3" w14:textId="12101634" w:rsidR="00F04DEB" w:rsidRPr="0052271C" w:rsidRDefault="00F04DEB" w:rsidP="00F04DEB">
                  <w:pPr>
                    <w:spacing w:before="60" w:after="60"/>
                    <w:jc w:val="center"/>
                    <w:rPr>
                      <w:sz w:val="20"/>
                      <w:szCs w:val="20"/>
                      <w:lang w:val="sr-Cyrl-RS"/>
                    </w:rPr>
                  </w:pPr>
                  <w:r w:rsidRPr="0052271C">
                    <w:rPr>
                      <w:sz w:val="20"/>
                      <w:szCs w:val="20"/>
                      <w:lang w:val="sr-Cyrl-RS"/>
                    </w:rPr>
                    <w:t>Централизован</w:t>
                  </w:r>
                  <w:r w:rsidR="00F106DA" w:rsidRPr="0052271C">
                    <w:rPr>
                      <w:sz w:val="20"/>
                      <w:szCs w:val="20"/>
                      <w:lang w:val="sr-Cyrl-RS"/>
                    </w:rPr>
                    <w:t>и</w:t>
                  </w:r>
                </w:p>
              </w:tc>
              <w:tc>
                <w:tcPr>
                  <w:tcW w:w="58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6E3992" w14:textId="7343AED8" w:rsidR="00F04DEB" w:rsidRPr="0052271C" w:rsidRDefault="00F04DEB" w:rsidP="00AD6BAB">
                  <w:pPr>
                    <w:jc w:val="both"/>
                    <w:rPr>
                      <w:sz w:val="20"/>
                      <w:szCs w:val="20"/>
                      <w:lang w:val="sr-Cyrl-RS"/>
                    </w:rPr>
                  </w:pPr>
                  <w:r w:rsidRPr="0052271C">
                    <w:rPr>
                      <w:sz w:val="20"/>
                      <w:szCs w:val="20"/>
                      <w:lang w:val="sr-Cyrl-RS"/>
                    </w:rPr>
                    <w:t>Централизован под сектором за управљање власништвом у оквиру кабинета председника владе. Има неких изузетака, где осам министарстава управља</w:t>
                  </w:r>
                  <w:r w:rsidR="006F6F97" w:rsidRPr="0052271C">
                    <w:rPr>
                      <w:sz w:val="20"/>
                      <w:szCs w:val="20"/>
                      <w:lang w:val="sr-Cyrl-RS"/>
                    </w:rPr>
                    <w:t>ј</w:t>
                  </w:r>
                  <w:r w:rsidRPr="0052271C">
                    <w:rPr>
                      <w:sz w:val="20"/>
                      <w:szCs w:val="20"/>
                      <w:lang w:val="sr-Cyrl-RS"/>
                    </w:rPr>
                    <w:t xml:space="preserve">у </w:t>
                  </w:r>
                  <w:r w:rsidR="00AD6BAB" w:rsidRPr="0052271C">
                    <w:rPr>
                      <w:sz w:val="20"/>
                      <w:szCs w:val="20"/>
                      <w:lang w:val="sr-Cyrl-RS"/>
                    </w:rPr>
                    <w:t xml:space="preserve">друштвима у државном власништву, </w:t>
                  </w:r>
                  <w:r w:rsidRPr="0052271C">
                    <w:rPr>
                      <w:sz w:val="20"/>
                      <w:szCs w:val="20"/>
                      <w:lang w:val="sr-Cyrl-RS"/>
                    </w:rPr>
                    <w:t xml:space="preserve">укључујући </w:t>
                  </w:r>
                  <w:r w:rsidR="008F33A5" w:rsidRPr="0052271C">
                    <w:rPr>
                      <w:sz w:val="20"/>
                      <w:szCs w:val="20"/>
                      <w:lang w:val="sr-Cyrl-RS"/>
                    </w:rPr>
                    <w:t>министарства надлежна за послове:</w:t>
                  </w:r>
                  <w:r w:rsidRPr="0052271C">
                    <w:rPr>
                      <w:sz w:val="20"/>
                      <w:szCs w:val="20"/>
                      <w:lang w:val="sr-Cyrl-RS"/>
                    </w:rPr>
                    <w:t xml:space="preserve"> финансија, запошљавања и</w:t>
                  </w:r>
                  <w:r w:rsidR="00C85A97" w:rsidRPr="0052271C">
                    <w:rPr>
                      <w:sz w:val="20"/>
                      <w:szCs w:val="20"/>
                      <w:lang w:val="sr-Cyrl-RS"/>
                    </w:rPr>
                    <w:t xml:space="preserve"> привреде</w:t>
                  </w:r>
                  <w:r w:rsidRPr="0052271C">
                    <w:rPr>
                      <w:sz w:val="20"/>
                      <w:szCs w:val="20"/>
                      <w:lang w:val="sr-Cyrl-RS"/>
                    </w:rPr>
                    <w:t xml:space="preserve"> и транспорта и комуникација.</w:t>
                  </w:r>
                </w:p>
              </w:tc>
            </w:tr>
            <w:tr w:rsidR="00F04DEB" w:rsidRPr="0052271C" w14:paraId="3BB76F77" w14:textId="46CC21EE" w:rsidTr="00F04DEB">
              <w:trPr>
                <w:trHeight w:val="327"/>
              </w:trPr>
              <w:tc>
                <w:tcPr>
                  <w:tcW w:w="136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F64A696" w14:textId="77777777" w:rsidR="00FB2849" w:rsidRPr="0052271C" w:rsidRDefault="00FB2849" w:rsidP="00F04DEB">
                  <w:pPr>
                    <w:spacing w:before="60" w:after="60"/>
                    <w:ind w:left="567" w:hanging="567"/>
                    <w:jc w:val="center"/>
                    <w:rPr>
                      <w:sz w:val="20"/>
                      <w:szCs w:val="20"/>
                      <w:lang w:val="sr-Cyrl-RS"/>
                    </w:rPr>
                  </w:pPr>
                  <w:r w:rsidRPr="0052271C">
                    <w:rPr>
                      <w:sz w:val="20"/>
                      <w:szCs w:val="20"/>
                      <w:lang w:val="sr-Cyrl-RS"/>
                    </w:rPr>
                    <w:t>Република</w:t>
                  </w:r>
                </w:p>
                <w:p w14:paraId="30481EA0" w14:textId="4AB57C0C" w:rsidR="00F04DEB" w:rsidRPr="0052271C" w:rsidRDefault="00F04DEB" w:rsidP="00F04DEB">
                  <w:pPr>
                    <w:spacing w:before="60" w:after="60"/>
                    <w:ind w:left="567" w:hanging="567"/>
                    <w:jc w:val="center"/>
                    <w:rPr>
                      <w:sz w:val="20"/>
                      <w:szCs w:val="20"/>
                      <w:lang w:val="sr-Cyrl-RS"/>
                    </w:rPr>
                  </w:pPr>
                  <w:r w:rsidRPr="0052271C">
                    <w:rPr>
                      <w:sz w:val="20"/>
                      <w:szCs w:val="20"/>
                      <w:lang w:val="sr-Cyrl-RS"/>
                    </w:rPr>
                    <w:t>Литванија</w:t>
                  </w:r>
                </w:p>
              </w:tc>
              <w:tc>
                <w:tcPr>
                  <w:tcW w:w="163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CBB983" w14:textId="77777777" w:rsidR="00F04DEB" w:rsidRPr="0052271C" w:rsidRDefault="00F04DEB" w:rsidP="00F04DEB">
                  <w:pPr>
                    <w:spacing w:before="60" w:after="60"/>
                    <w:jc w:val="center"/>
                    <w:rPr>
                      <w:sz w:val="20"/>
                      <w:szCs w:val="20"/>
                      <w:lang w:val="sr-Cyrl-RS"/>
                    </w:rPr>
                  </w:pPr>
                  <w:r w:rsidRPr="0052271C">
                    <w:rPr>
                      <w:sz w:val="20"/>
                      <w:szCs w:val="20"/>
                      <w:lang w:val="sr-Cyrl-RS"/>
                    </w:rPr>
                    <w:t>Координирајућа агенција</w:t>
                  </w:r>
                </w:p>
              </w:tc>
              <w:tc>
                <w:tcPr>
                  <w:tcW w:w="58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98CB2D" w14:textId="62ECBBAF" w:rsidR="00F04DEB" w:rsidRPr="0052271C" w:rsidRDefault="00F04DEB" w:rsidP="00F04DEB">
                  <w:pPr>
                    <w:jc w:val="both"/>
                    <w:rPr>
                      <w:sz w:val="20"/>
                      <w:szCs w:val="20"/>
                      <w:lang w:val="sr-Cyrl-RS"/>
                    </w:rPr>
                  </w:pPr>
                  <w:r w:rsidRPr="0052271C">
                    <w:rPr>
                      <w:sz w:val="20"/>
                      <w:szCs w:val="20"/>
                      <w:lang w:val="sr-Cyrl-RS"/>
                    </w:rPr>
                    <w:t xml:space="preserve">Центар за координацију управљања надзире и врши политику власништва у складу са стандардима које доноси министарство </w:t>
                  </w:r>
                  <w:r w:rsidR="006F6F97" w:rsidRPr="0052271C">
                    <w:rPr>
                      <w:sz w:val="20"/>
                      <w:szCs w:val="20"/>
                      <w:lang w:val="sr-Cyrl-RS"/>
                    </w:rPr>
                    <w:t xml:space="preserve">надлежно за послове </w:t>
                  </w:r>
                  <w:r w:rsidRPr="0052271C">
                    <w:rPr>
                      <w:sz w:val="20"/>
                      <w:szCs w:val="20"/>
                      <w:lang w:val="sr-Cyrl-RS"/>
                    </w:rPr>
                    <w:t>привреде.</w:t>
                  </w:r>
                </w:p>
              </w:tc>
            </w:tr>
            <w:tr w:rsidR="00F04DEB" w:rsidRPr="0052271C" w14:paraId="09F3B0A5" w14:textId="1982F22E" w:rsidTr="00F04DEB">
              <w:trPr>
                <w:trHeight w:val="327"/>
              </w:trPr>
              <w:tc>
                <w:tcPr>
                  <w:tcW w:w="136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73BF449" w14:textId="77777777" w:rsidR="00F04DEB" w:rsidRPr="0052271C" w:rsidRDefault="00F04DEB" w:rsidP="00F04DEB">
                  <w:pPr>
                    <w:spacing w:before="60" w:after="60"/>
                    <w:ind w:left="567" w:hanging="567"/>
                    <w:jc w:val="center"/>
                    <w:rPr>
                      <w:sz w:val="20"/>
                      <w:szCs w:val="20"/>
                      <w:lang w:val="sr-Cyrl-RS"/>
                    </w:rPr>
                  </w:pPr>
                  <w:r w:rsidRPr="0052271C">
                    <w:rPr>
                      <w:sz w:val="20"/>
                      <w:szCs w:val="20"/>
                      <w:lang w:val="sr-Cyrl-RS"/>
                    </w:rPr>
                    <w:t>Нови Зеланд</w:t>
                  </w:r>
                </w:p>
              </w:tc>
              <w:tc>
                <w:tcPr>
                  <w:tcW w:w="163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175602" w14:textId="77777777" w:rsidR="00F04DEB" w:rsidRPr="0052271C" w:rsidRDefault="00F04DEB" w:rsidP="00F04DEB">
                  <w:pPr>
                    <w:spacing w:before="60" w:after="60"/>
                    <w:jc w:val="center"/>
                    <w:rPr>
                      <w:sz w:val="20"/>
                      <w:szCs w:val="20"/>
                      <w:lang w:val="sr-Cyrl-RS"/>
                    </w:rPr>
                  </w:pPr>
                  <w:r w:rsidRPr="0052271C">
                    <w:rPr>
                      <w:sz w:val="20"/>
                      <w:szCs w:val="20"/>
                      <w:lang w:val="sr-Cyrl-RS"/>
                    </w:rPr>
                    <w:t>Двојни</w:t>
                  </w:r>
                </w:p>
              </w:tc>
              <w:tc>
                <w:tcPr>
                  <w:tcW w:w="58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4B5B1F" w14:textId="0B27FA86" w:rsidR="00F04DEB" w:rsidRPr="0052271C" w:rsidRDefault="00F04DEB" w:rsidP="00AD6BAB">
                  <w:pPr>
                    <w:jc w:val="both"/>
                    <w:rPr>
                      <w:sz w:val="20"/>
                      <w:szCs w:val="20"/>
                      <w:lang w:val="sr-Cyrl-RS"/>
                    </w:rPr>
                  </w:pPr>
                  <w:r w:rsidRPr="0052271C">
                    <w:rPr>
                      <w:sz w:val="20"/>
                      <w:szCs w:val="20"/>
                      <w:lang w:val="sr-Cyrl-RS"/>
                    </w:rPr>
                    <w:t xml:space="preserve">Група за комерцијалне операције у оквиру трезора надзире </w:t>
                  </w:r>
                  <w:r w:rsidR="00AD6BAB" w:rsidRPr="0052271C">
                    <w:rPr>
                      <w:sz w:val="20"/>
                      <w:szCs w:val="20"/>
                      <w:lang w:val="sr-Cyrl-RS"/>
                    </w:rPr>
                    <w:t>друштва у државном власништву</w:t>
                  </w:r>
                  <w:r w:rsidRPr="0052271C">
                    <w:rPr>
                      <w:sz w:val="20"/>
                      <w:szCs w:val="20"/>
                      <w:lang w:val="sr-Cyrl-RS"/>
                    </w:rPr>
                    <w:t xml:space="preserve">, али одлуке су у надлежности министарства </w:t>
                  </w:r>
                  <w:r w:rsidR="006F6F97" w:rsidRPr="0052271C">
                    <w:rPr>
                      <w:sz w:val="20"/>
                      <w:szCs w:val="20"/>
                      <w:lang w:val="sr-Cyrl-RS"/>
                    </w:rPr>
                    <w:t xml:space="preserve">надлежног за послове </w:t>
                  </w:r>
                  <w:r w:rsidRPr="0052271C">
                    <w:rPr>
                      <w:sz w:val="20"/>
                      <w:szCs w:val="20"/>
                      <w:lang w:val="sr-Cyrl-RS"/>
                    </w:rPr>
                    <w:t>финансија и министарстава која имају функцију власника акција/удела по принципу 50:50.</w:t>
                  </w:r>
                </w:p>
              </w:tc>
            </w:tr>
            <w:tr w:rsidR="00F04DEB" w:rsidRPr="0052271C" w14:paraId="6E3B9D07" w14:textId="1FC8943F" w:rsidTr="00F04DEB">
              <w:trPr>
                <w:trHeight w:val="327"/>
              </w:trPr>
              <w:tc>
                <w:tcPr>
                  <w:tcW w:w="136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86DA5B6" w14:textId="77777777" w:rsidR="00FB2849" w:rsidRPr="0052271C" w:rsidRDefault="00FB2849" w:rsidP="00F04DEB">
                  <w:pPr>
                    <w:spacing w:before="60" w:after="60"/>
                    <w:ind w:left="567" w:hanging="567"/>
                    <w:jc w:val="center"/>
                    <w:rPr>
                      <w:sz w:val="20"/>
                      <w:szCs w:val="20"/>
                      <w:lang w:val="sr-Cyrl-RS"/>
                    </w:rPr>
                  </w:pPr>
                  <w:r w:rsidRPr="0052271C">
                    <w:rPr>
                      <w:sz w:val="20"/>
                      <w:szCs w:val="20"/>
                      <w:lang w:val="sr-Cyrl-RS"/>
                    </w:rPr>
                    <w:t>Краљевина</w:t>
                  </w:r>
                </w:p>
                <w:p w14:paraId="64CC717F" w14:textId="18477559" w:rsidR="00F04DEB" w:rsidRPr="0052271C" w:rsidRDefault="00F04DEB" w:rsidP="00F04DEB">
                  <w:pPr>
                    <w:spacing w:before="60" w:after="60"/>
                    <w:ind w:left="567" w:hanging="567"/>
                    <w:jc w:val="center"/>
                    <w:rPr>
                      <w:sz w:val="20"/>
                      <w:szCs w:val="20"/>
                      <w:lang w:val="sr-Cyrl-RS"/>
                    </w:rPr>
                  </w:pPr>
                  <w:r w:rsidRPr="0052271C">
                    <w:rPr>
                      <w:sz w:val="20"/>
                      <w:szCs w:val="20"/>
                      <w:lang w:val="sr-Cyrl-RS"/>
                    </w:rPr>
                    <w:t>Норвешка</w:t>
                  </w:r>
                </w:p>
              </w:tc>
              <w:tc>
                <w:tcPr>
                  <w:tcW w:w="163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2B00E3" w14:textId="77777777" w:rsidR="00F04DEB" w:rsidRPr="0052271C" w:rsidRDefault="00F04DEB" w:rsidP="00F04DEB">
                  <w:pPr>
                    <w:spacing w:before="60" w:after="60"/>
                    <w:jc w:val="center"/>
                    <w:rPr>
                      <w:sz w:val="20"/>
                      <w:szCs w:val="20"/>
                      <w:lang w:val="sr-Cyrl-RS"/>
                    </w:rPr>
                  </w:pPr>
                  <w:r w:rsidRPr="0052271C">
                    <w:rPr>
                      <w:sz w:val="20"/>
                      <w:szCs w:val="20"/>
                      <w:lang w:val="sr-Cyrl-RS"/>
                    </w:rPr>
                    <w:t>Централизовани</w:t>
                  </w:r>
                </w:p>
              </w:tc>
              <w:tc>
                <w:tcPr>
                  <w:tcW w:w="58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CDBF96" w14:textId="24F803D3" w:rsidR="00F04DEB" w:rsidRPr="0052271C" w:rsidRDefault="00F04DEB" w:rsidP="00AD6BAB">
                  <w:pPr>
                    <w:jc w:val="both"/>
                    <w:rPr>
                      <w:sz w:val="20"/>
                      <w:szCs w:val="20"/>
                      <w:lang w:val="sr-Cyrl-RS"/>
                    </w:rPr>
                  </w:pPr>
                  <w:r w:rsidRPr="0052271C">
                    <w:rPr>
                      <w:sz w:val="20"/>
                      <w:szCs w:val="20"/>
                      <w:lang w:val="sr-Cyrl-RS"/>
                    </w:rPr>
                    <w:t>Власништво над већином друштава са комерцијалним циљевима врши власнички сектор министарства</w:t>
                  </w:r>
                  <w:r w:rsidR="008F33A5" w:rsidRPr="0052271C">
                    <w:rPr>
                      <w:sz w:val="20"/>
                      <w:szCs w:val="20"/>
                      <w:lang w:val="sr-Cyrl-RS"/>
                    </w:rPr>
                    <w:t xml:space="preserve"> надлежног за послове</w:t>
                  </w:r>
                  <w:r w:rsidRPr="0052271C">
                    <w:rPr>
                      <w:sz w:val="20"/>
                      <w:szCs w:val="20"/>
                      <w:lang w:val="sr-Cyrl-RS"/>
                    </w:rPr>
                    <w:t xml:space="preserve"> привреде, индустрије и рибарства. Постоје изузеци за </w:t>
                  </w:r>
                  <w:r w:rsidR="00AD6BAB" w:rsidRPr="0052271C">
                    <w:rPr>
                      <w:sz w:val="20"/>
                      <w:szCs w:val="20"/>
                      <w:lang w:val="sr-Cyrl-RS"/>
                    </w:rPr>
                    <w:t xml:space="preserve">друштва у државном власништву </w:t>
                  </w:r>
                  <w:r w:rsidRPr="0052271C">
                    <w:rPr>
                      <w:sz w:val="20"/>
                      <w:szCs w:val="20"/>
                      <w:lang w:val="sr-Cyrl-RS"/>
                    </w:rPr>
                    <w:t xml:space="preserve"> чији су власници </w:t>
                  </w:r>
                  <w:r w:rsidR="008F33A5" w:rsidRPr="0052271C">
                    <w:rPr>
                      <w:sz w:val="20"/>
                      <w:szCs w:val="20"/>
                      <w:lang w:val="sr-Cyrl-RS"/>
                    </w:rPr>
                    <w:t>министарства надлежна за послове:</w:t>
                  </w:r>
                  <w:r w:rsidRPr="0052271C">
                    <w:rPr>
                      <w:sz w:val="20"/>
                      <w:szCs w:val="20"/>
                      <w:lang w:val="sr-Cyrl-RS"/>
                    </w:rPr>
                    <w:t xml:space="preserve"> одбране, локалне самоуправе и мод</w:t>
                  </w:r>
                  <w:r w:rsidR="00C85A97" w:rsidRPr="0052271C">
                    <w:rPr>
                      <w:sz w:val="20"/>
                      <w:szCs w:val="20"/>
                      <w:lang w:val="sr-Cyrl-RS"/>
                    </w:rPr>
                    <w:t>ернизације, нафте и енергије</w:t>
                  </w:r>
                  <w:r w:rsidRPr="0052271C">
                    <w:rPr>
                      <w:sz w:val="20"/>
                      <w:szCs w:val="20"/>
                      <w:lang w:val="sr-Cyrl-RS"/>
                    </w:rPr>
                    <w:t xml:space="preserve"> и саобраћаја и комуникација.</w:t>
                  </w:r>
                </w:p>
              </w:tc>
            </w:tr>
            <w:tr w:rsidR="00F04DEB" w:rsidRPr="0052271C" w14:paraId="0AB75B55" w14:textId="317D469D" w:rsidTr="00F04DEB">
              <w:trPr>
                <w:trHeight w:val="327"/>
              </w:trPr>
              <w:tc>
                <w:tcPr>
                  <w:tcW w:w="136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2DDB555" w14:textId="77777777" w:rsidR="00FB2849" w:rsidRPr="0052271C" w:rsidRDefault="00FB2849" w:rsidP="00F04DEB">
                  <w:pPr>
                    <w:spacing w:before="60" w:after="60"/>
                    <w:ind w:left="567" w:hanging="567"/>
                    <w:jc w:val="center"/>
                    <w:rPr>
                      <w:sz w:val="20"/>
                      <w:szCs w:val="20"/>
                      <w:lang w:val="sr-Cyrl-RS"/>
                    </w:rPr>
                  </w:pPr>
                  <w:r w:rsidRPr="0052271C">
                    <w:rPr>
                      <w:sz w:val="20"/>
                      <w:szCs w:val="20"/>
                      <w:lang w:val="sr-Cyrl-RS"/>
                    </w:rPr>
                    <w:t>Република</w:t>
                  </w:r>
                </w:p>
                <w:p w14:paraId="000416F3" w14:textId="4FE6C343" w:rsidR="00F04DEB" w:rsidRPr="0052271C" w:rsidRDefault="00F04DEB" w:rsidP="00F04DEB">
                  <w:pPr>
                    <w:spacing w:before="60" w:after="60"/>
                    <w:ind w:left="567" w:hanging="567"/>
                    <w:jc w:val="center"/>
                    <w:rPr>
                      <w:sz w:val="20"/>
                      <w:szCs w:val="20"/>
                      <w:lang w:val="sr-Cyrl-RS"/>
                    </w:rPr>
                  </w:pPr>
                  <w:r w:rsidRPr="0052271C">
                    <w:rPr>
                      <w:sz w:val="20"/>
                      <w:szCs w:val="20"/>
                      <w:lang w:val="sr-Cyrl-RS"/>
                    </w:rPr>
                    <w:t>Словенија</w:t>
                  </w:r>
                </w:p>
              </w:tc>
              <w:tc>
                <w:tcPr>
                  <w:tcW w:w="163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F11011" w14:textId="77777777" w:rsidR="00F04DEB" w:rsidRPr="0052271C" w:rsidRDefault="00F04DEB" w:rsidP="00F04DEB">
                  <w:pPr>
                    <w:spacing w:before="60" w:after="60"/>
                    <w:jc w:val="center"/>
                    <w:rPr>
                      <w:sz w:val="20"/>
                      <w:szCs w:val="20"/>
                      <w:lang w:val="sr-Cyrl-RS"/>
                    </w:rPr>
                  </w:pPr>
                  <w:r w:rsidRPr="0052271C">
                    <w:rPr>
                      <w:sz w:val="20"/>
                      <w:szCs w:val="20"/>
                      <w:lang w:val="sr-Cyrl-RS"/>
                    </w:rPr>
                    <w:t>Централизовани</w:t>
                  </w:r>
                </w:p>
              </w:tc>
              <w:tc>
                <w:tcPr>
                  <w:tcW w:w="58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0220F6" w14:textId="58757248" w:rsidR="00F04DEB" w:rsidRPr="0052271C" w:rsidRDefault="00F04DEB" w:rsidP="00F04DEB">
                  <w:pPr>
                    <w:jc w:val="both"/>
                    <w:rPr>
                      <w:sz w:val="20"/>
                      <w:szCs w:val="20"/>
                      <w:lang w:val="sr-Cyrl-RS"/>
                    </w:rPr>
                  </w:pPr>
                  <w:r w:rsidRPr="0052271C">
                    <w:rPr>
                      <w:sz w:val="20"/>
                      <w:szCs w:val="20"/>
                      <w:lang w:val="sr-Cyrl-RS"/>
                    </w:rPr>
                    <w:t>Централизовани модел под Словеначким Државним Холдингом, који је независно акционарско холдинг друштво у власништву државе. Као изузетак, министарство за инфраструктуру има одговорност за друштва у области електричне енергије.</w:t>
                  </w:r>
                </w:p>
              </w:tc>
            </w:tr>
          </w:tbl>
          <w:p w14:paraId="373776D0" w14:textId="77777777" w:rsidR="00C52235" w:rsidRPr="0052271C" w:rsidRDefault="00C52235" w:rsidP="00C52235">
            <w:pPr>
              <w:spacing w:before="240" w:after="240" w:line="259" w:lineRule="auto"/>
              <w:rPr>
                <w:rFonts w:eastAsiaTheme="minorHAnsi"/>
                <w:sz w:val="18"/>
                <w:szCs w:val="18"/>
                <w:lang w:val="sr-Cyrl-RS" w:eastAsia="en-US"/>
              </w:rPr>
            </w:pPr>
          </w:p>
        </w:tc>
      </w:tr>
    </w:tbl>
    <w:p w14:paraId="33701844" w14:textId="77777777" w:rsidR="00616772" w:rsidRPr="0052271C" w:rsidRDefault="00616772" w:rsidP="00616772">
      <w:pPr>
        <w:contextualSpacing/>
        <w:jc w:val="both"/>
        <w:rPr>
          <w:rFonts w:eastAsia="Calibri"/>
          <w:lang w:val="sr-Cyrl-RS"/>
        </w:rPr>
      </w:pPr>
    </w:p>
    <w:p w14:paraId="7EE819A0" w14:textId="093331B9" w:rsidR="00F04DEB" w:rsidRPr="0052271C" w:rsidRDefault="006F6F97" w:rsidP="00D93305">
      <w:pPr>
        <w:spacing w:line="276" w:lineRule="auto"/>
        <w:ind w:firstLine="567"/>
        <w:contextualSpacing/>
        <w:jc w:val="both"/>
        <w:rPr>
          <w:rFonts w:eastAsia="Calibri"/>
          <w:lang w:val="sr-Cyrl-RS"/>
        </w:rPr>
      </w:pPr>
      <w:r w:rsidRPr="0052271C">
        <w:rPr>
          <w:rFonts w:eastAsia="Calibri"/>
          <w:lang w:val="sr-Cyrl-RS"/>
        </w:rPr>
        <w:t>У</w:t>
      </w:r>
      <w:r w:rsidR="00616772" w:rsidRPr="0052271C">
        <w:rPr>
          <w:rFonts w:eastAsia="Calibri"/>
          <w:lang w:val="sr-Cyrl-RS"/>
        </w:rPr>
        <w:t xml:space="preserve"> свету постоје различити власнички модели и они се уопштено могу поделити у следеће категорије:</w:t>
      </w:r>
      <w:r w:rsidR="00616772" w:rsidRPr="0052271C">
        <w:rPr>
          <w:rStyle w:val="FootnoteReference"/>
          <w:rFonts w:eastAsia="Calibri"/>
          <w:lang w:val="sr-Cyrl-RS"/>
        </w:rPr>
        <w:footnoteReference w:id="20"/>
      </w:r>
    </w:p>
    <w:p w14:paraId="4D31633A" w14:textId="0E000BF2" w:rsidR="00616772" w:rsidRPr="0052271C" w:rsidRDefault="0011592D" w:rsidP="004C69C3">
      <w:pPr>
        <w:pStyle w:val="ListParagraph"/>
        <w:numPr>
          <w:ilvl w:val="0"/>
          <w:numId w:val="25"/>
        </w:numPr>
        <w:tabs>
          <w:tab w:val="left" w:pos="851"/>
        </w:tabs>
        <w:spacing w:line="276" w:lineRule="auto"/>
        <w:ind w:left="851" w:hanging="284"/>
        <w:jc w:val="both"/>
        <w:rPr>
          <w:rFonts w:ascii="Times New Roman" w:eastAsia="Calibri" w:hAnsi="Times New Roman"/>
          <w:sz w:val="24"/>
          <w:lang w:val="sr-Cyrl-RS"/>
        </w:rPr>
      </w:pPr>
      <w:r w:rsidRPr="0052271C">
        <w:rPr>
          <w:rFonts w:ascii="Times New Roman" w:eastAsia="Calibri" w:hAnsi="Times New Roman"/>
          <w:sz w:val="24"/>
          <w:lang w:val="sr-Cyrl-RS"/>
        </w:rPr>
        <w:t>д</w:t>
      </w:r>
      <w:r w:rsidR="00616772" w:rsidRPr="0052271C">
        <w:rPr>
          <w:rFonts w:ascii="Times New Roman" w:eastAsia="Calibri" w:hAnsi="Times New Roman"/>
          <w:sz w:val="24"/>
          <w:lang w:val="sr-Cyrl-RS"/>
        </w:rPr>
        <w:t xml:space="preserve">ецентрализовани модел: </w:t>
      </w:r>
      <w:r w:rsidRPr="0052271C">
        <w:rPr>
          <w:rFonts w:ascii="Times New Roman" w:eastAsia="Calibri" w:hAnsi="Times New Roman"/>
          <w:sz w:val="24"/>
          <w:lang w:val="sr-Cyrl-RS"/>
        </w:rPr>
        <w:t>в</w:t>
      </w:r>
      <w:r w:rsidR="00616772" w:rsidRPr="0052271C">
        <w:rPr>
          <w:rFonts w:ascii="Times New Roman" w:eastAsia="Calibri" w:hAnsi="Times New Roman"/>
          <w:sz w:val="24"/>
          <w:lang w:val="sr-Cyrl-RS"/>
        </w:rPr>
        <w:t>ласничка функција није у надлежности једне институције, већ је расподељена на више министарстава;</w:t>
      </w:r>
    </w:p>
    <w:p w14:paraId="131D5C2A" w14:textId="7C6C43D9" w:rsidR="00616772" w:rsidRPr="0052271C" w:rsidRDefault="0011592D" w:rsidP="004C69C3">
      <w:pPr>
        <w:pStyle w:val="ListParagraph"/>
        <w:numPr>
          <w:ilvl w:val="0"/>
          <w:numId w:val="25"/>
        </w:numPr>
        <w:tabs>
          <w:tab w:val="left" w:pos="851"/>
        </w:tabs>
        <w:spacing w:line="276" w:lineRule="auto"/>
        <w:ind w:left="851" w:hanging="284"/>
        <w:jc w:val="both"/>
        <w:rPr>
          <w:rFonts w:ascii="Times New Roman" w:eastAsia="Calibri" w:hAnsi="Times New Roman"/>
          <w:sz w:val="24"/>
          <w:lang w:val="sr-Cyrl-RS"/>
        </w:rPr>
      </w:pPr>
      <w:r w:rsidRPr="0052271C">
        <w:rPr>
          <w:rFonts w:ascii="Times New Roman" w:eastAsia="Calibri" w:hAnsi="Times New Roman"/>
          <w:sz w:val="24"/>
          <w:lang w:val="sr-Cyrl-RS"/>
        </w:rPr>
        <w:t>д</w:t>
      </w:r>
      <w:r w:rsidR="00616772" w:rsidRPr="0052271C">
        <w:rPr>
          <w:rFonts w:ascii="Times New Roman" w:eastAsia="Calibri" w:hAnsi="Times New Roman"/>
          <w:sz w:val="24"/>
          <w:lang w:val="sr-Cyrl-RS"/>
        </w:rPr>
        <w:t xml:space="preserve">уални модел: </w:t>
      </w:r>
      <w:r w:rsidRPr="0052271C">
        <w:rPr>
          <w:rFonts w:ascii="Times New Roman" w:eastAsia="Calibri" w:hAnsi="Times New Roman"/>
          <w:sz w:val="24"/>
          <w:lang w:val="sr-Cyrl-RS"/>
        </w:rPr>
        <w:t>д</w:t>
      </w:r>
      <w:r w:rsidR="00616772" w:rsidRPr="0052271C">
        <w:rPr>
          <w:rFonts w:ascii="Times New Roman" w:eastAsia="Calibri" w:hAnsi="Times New Roman"/>
          <w:sz w:val="24"/>
          <w:lang w:val="sr-Cyrl-RS"/>
        </w:rPr>
        <w:t xml:space="preserve">ве државне институције – обично је то ресорно министарство и министарство финансија – деле надлежности везане за власничку функцију, при чему једно министарство утврђује финансијске циљеве, а друго формулише оперативне циљеве; </w:t>
      </w:r>
    </w:p>
    <w:p w14:paraId="17C1E8B1" w14:textId="1F0AB296" w:rsidR="00616772" w:rsidRPr="0052271C" w:rsidRDefault="0011592D" w:rsidP="004C69C3">
      <w:pPr>
        <w:pStyle w:val="ListParagraph"/>
        <w:numPr>
          <w:ilvl w:val="0"/>
          <w:numId w:val="25"/>
        </w:numPr>
        <w:tabs>
          <w:tab w:val="left" w:pos="851"/>
        </w:tabs>
        <w:spacing w:line="276" w:lineRule="auto"/>
        <w:ind w:left="851" w:hanging="284"/>
        <w:jc w:val="both"/>
        <w:rPr>
          <w:rFonts w:ascii="Times New Roman" w:eastAsia="Calibri" w:hAnsi="Times New Roman"/>
          <w:sz w:val="24"/>
          <w:lang w:val="sr-Cyrl-RS"/>
        </w:rPr>
      </w:pPr>
      <w:r w:rsidRPr="0052271C">
        <w:rPr>
          <w:rFonts w:ascii="Times New Roman" w:eastAsia="Calibri" w:hAnsi="Times New Roman"/>
          <w:sz w:val="24"/>
          <w:lang w:val="sr-Cyrl-RS"/>
        </w:rPr>
        <w:t>м</w:t>
      </w:r>
      <w:r w:rsidR="00616772" w:rsidRPr="0052271C">
        <w:rPr>
          <w:rFonts w:ascii="Times New Roman" w:eastAsia="Calibri" w:hAnsi="Times New Roman"/>
          <w:sz w:val="24"/>
          <w:lang w:val="sr-Cyrl-RS"/>
        </w:rPr>
        <w:t>одел два паралелна тока (</w:t>
      </w:r>
      <w:r w:rsidR="00616772" w:rsidRPr="0052271C">
        <w:rPr>
          <w:rFonts w:ascii="Times New Roman" w:eastAsia="Calibri" w:hAnsi="Times New Roman"/>
          <w:i/>
          <w:sz w:val="24"/>
          <w:lang w:val="sr-Cyrl-RS"/>
        </w:rPr>
        <w:t>Twin track</w:t>
      </w:r>
      <w:r w:rsidR="00616772" w:rsidRPr="0052271C">
        <w:rPr>
          <w:rFonts w:ascii="Times New Roman" w:eastAsia="Calibri" w:hAnsi="Times New Roman"/>
          <w:sz w:val="24"/>
          <w:lang w:val="sr-Cyrl-RS"/>
        </w:rPr>
        <w:t xml:space="preserve">): </w:t>
      </w:r>
      <w:r w:rsidRPr="0052271C">
        <w:rPr>
          <w:rFonts w:ascii="Times New Roman" w:eastAsia="Calibri" w:hAnsi="Times New Roman"/>
          <w:sz w:val="24"/>
          <w:lang w:val="sr-Cyrl-RS"/>
        </w:rPr>
        <w:t>ф</w:t>
      </w:r>
      <w:r w:rsidR="00616772" w:rsidRPr="0052271C">
        <w:rPr>
          <w:rFonts w:ascii="Times New Roman" w:eastAsia="Calibri" w:hAnsi="Times New Roman"/>
          <w:sz w:val="24"/>
          <w:lang w:val="sr-Cyrl-RS"/>
        </w:rPr>
        <w:t xml:space="preserve">ункционално еквивалентан централизованом моделу, с тим што има два одвојена портфеља </w:t>
      </w:r>
      <w:r w:rsidR="00AD6BAB" w:rsidRPr="0052271C">
        <w:rPr>
          <w:rFonts w:ascii="Times New Roman" w:hAnsi="Times New Roman"/>
          <w:sz w:val="24"/>
          <w:lang w:val="sr-Cyrl-RS"/>
        </w:rPr>
        <w:t>друштава у државном власништву</w:t>
      </w:r>
      <w:r w:rsidR="00616772" w:rsidRPr="0052271C">
        <w:rPr>
          <w:rFonts w:ascii="Times New Roman" w:eastAsia="Calibri" w:hAnsi="Times New Roman"/>
          <w:sz w:val="24"/>
          <w:lang w:val="sr-Cyrl-RS"/>
        </w:rPr>
        <w:t>, и две одвојене државне институције које врше надзор над њима. Овај модел се често помиње као „дуални</w:t>
      </w:r>
      <w:r w:rsidRPr="0052271C">
        <w:rPr>
          <w:rFonts w:ascii="Times New Roman" w:eastAsia="Calibri" w:hAnsi="Times New Roman"/>
          <w:sz w:val="24"/>
          <w:lang w:val="sr-Cyrl-RS"/>
        </w:rPr>
        <w:t>ˮ</w:t>
      </w:r>
      <w:r w:rsidR="00616772" w:rsidRPr="0052271C">
        <w:rPr>
          <w:rFonts w:ascii="Times New Roman" w:eastAsia="Calibri" w:hAnsi="Times New Roman"/>
          <w:sz w:val="24"/>
          <w:lang w:val="sr-Cyrl-RS"/>
        </w:rPr>
        <w:t xml:space="preserve">, али се у суштинском смислу разликује од тог модела по томе што власничка права сваког </w:t>
      </w:r>
      <w:r w:rsidR="00B54B01" w:rsidRPr="0052271C">
        <w:rPr>
          <w:rFonts w:ascii="Times New Roman" w:eastAsia="Calibri" w:hAnsi="Times New Roman"/>
          <w:sz w:val="24"/>
          <w:lang w:val="sr-Cyrl-RS"/>
        </w:rPr>
        <w:t xml:space="preserve">друштва </w:t>
      </w:r>
      <w:r w:rsidR="00616772" w:rsidRPr="0052271C">
        <w:rPr>
          <w:rFonts w:ascii="Times New Roman" w:eastAsia="Calibri" w:hAnsi="Times New Roman"/>
          <w:sz w:val="24"/>
          <w:lang w:val="sr-Cyrl-RS"/>
        </w:rPr>
        <w:t>врши само један државни орган;</w:t>
      </w:r>
    </w:p>
    <w:p w14:paraId="362795C5" w14:textId="0A76CDC5" w:rsidR="00616772" w:rsidRPr="0052271C" w:rsidRDefault="0011592D" w:rsidP="004C69C3">
      <w:pPr>
        <w:pStyle w:val="ListParagraph"/>
        <w:numPr>
          <w:ilvl w:val="0"/>
          <w:numId w:val="25"/>
        </w:numPr>
        <w:tabs>
          <w:tab w:val="left" w:pos="851"/>
        </w:tabs>
        <w:spacing w:line="276" w:lineRule="auto"/>
        <w:ind w:left="851" w:hanging="284"/>
        <w:jc w:val="both"/>
        <w:rPr>
          <w:rFonts w:ascii="Times New Roman" w:eastAsia="Calibri" w:hAnsi="Times New Roman"/>
          <w:sz w:val="24"/>
          <w:lang w:val="sr-Cyrl-RS"/>
        </w:rPr>
      </w:pPr>
      <w:r w:rsidRPr="0052271C">
        <w:rPr>
          <w:rFonts w:ascii="Times New Roman" w:eastAsia="Calibri" w:hAnsi="Times New Roman"/>
          <w:sz w:val="24"/>
          <w:lang w:val="sr-Cyrl-RS"/>
        </w:rPr>
        <w:t>а</w:t>
      </w:r>
      <w:r w:rsidR="00616772" w:rsidRPr="0052271C">
        <w:rPr>
          <w:rFonts w:ascii="Times New Roman" w:eastAsia="Calibri" w:hAnsi="Times New Roman"/>
          <w:sz w:val="24"/>
          <w:lang w:val="sr-Cyrl-RS"/>
        </w:rPr>
        <w:t xml:space="preserve">генција за координацију (саветодавна агенција): </w:t>
      </w:r>
      <w:r w:rsidRPr="0052271C">
        <w:rPr>
          <w:rFonts w:ascii="Times New Roman" w:eastAsia="Calibri" w:hAnsi="Times New Roman"/>
          <w:sz w:val="24"/>
          <w:lang w:val="sr-Cyrl-RS"/>
        </w:rPr>
        <w:t>с</w:t>
      </w:r>
      <w:r w:rsidR="00616772" w:rsidRPr="0052271C">
        <w:rPr>
          <w:rFonts w:ascii="Times New Roman" w:eastAsia="Calibri" w:hAnsi="Times New Roman"/>
          <w:sz w:val="24"/>
          <w:lang w:val="sr-Cyrl-RS"/>
        </w:rPr>
        <w:t>пецијализовано државно тело врши улогу саветника другим министарствима (која су власници</w:t>
      </w:r>
      <w:r w:rsidR="004F2855" w:rsidRPr="0052271C">
        <w:rPr>
          <w:rFonts w:ascii="Times New Roman" w:eastAsia="Calibri" w:hAnsi="Times New Roman"/>
          <w:sz w:val="24"/>
          <w:lang w:val="sr-Cyrl-RS"/>
        </w:rPr>
        <w:t xml:space="preserve"> </w:t>
      </w:r>
      <w:r w:rsidR="00AD6BAB" w:rsidRPr="0052271C">
        <w:rPr>
          <w:rFonts w:ascii="Times New Roman" w:hAnsi="Times New Roman"/>
          <w:sz w:val="24"/>
          <w:lang w:val="sr-Cyrl-RS"/>
        </w:rPr>
        <w:t>друштава у државном власништву</w:t>
      </w:r>
      <w:r w:rsidR="00616772" w:rsidRPr="0052271C">
        <w:rPr>
          <w:rFonts w:ascii="Times New Roman" w:eastAsia="Calibri" w:hAnsi="Times New Roman"/>
          <w:sz w:val="24"/>
          <w:lang w:val="sr-Cyrl-RS"/>
        </w:rPr>
        <w:t xml:space="preserve">) за техничка и оперативна питања и највећим делом прати учинак </w:t>
      </w:r>
      <w:r w:rsidR="00AD6BAB" w:rsidRPr="0052271C">
        <w:rPr>
          <w:rFonts w:ascii="Times New Roman" w:hAnsi="Times New Roman"/>
          <w:sz w:val="24"/>
          <w:lang w:val="sr-Cyrl-RS"/>
        </w:rPr>
        <w:t>друштава у државном власништву</w:t>
      </w:r>
      <w:r w:rsidR="00616772" w:rsidRPr="0052271C">
        <w:rPr>
          <w:rFonts w:ascii="Times New Roman" w:eastAsia="Calibri" w:hAnsi="Times New Roman"/>
          <w:sz w:val="24"/>
          <w:lang w:val="sr-Cyrl-RS"/>
        </w:rPr>
        <w:t>. Ограничена улога ових државних агенција, уз аутономију ресорних министарстава, за резултат има значајно преклапање са децентрализованим моделом;</w:t>
      </w:r>
    </w:p>
    <w:p w14:paraId="27A9849A" w14:textId="1BC35575" w:rsidR="00616772" w:rsidRPr="0052271C" w:rsidRDefault="0011592D" w:rsidP="004C69C3">
      <w:pPr>
        <w:pStyle w:val="ListParagraph"/>
        <w:numPr>
          <w:ilvl w:val="0"/>
          <w:numId w:val="25"/>
        </w:numPr>
        <w:tabs>
          <w:tab w:val="left" w:pos="851"/>
        </w:tabs>
        <w:spacing w:line="276" w:lineRule="auto"/>
        <w:ind w:left="851" w:hanging="284"/>
        <w:jc w:val="both"/>
        <w:rPr>
          <w:rFonts w:ascii="Times New Roman" w:eastAsia="Calibri" w:hAnsi="Times New Roman"/>
          <w:sz w:val="24"/>
          <w:lang w:val="sr-Cyrl-RS"/>
        </w:rPr>
      </w:pPr>
      <w:r w:rsidRPr="0052271C">
        <w:rPr>
          <w:rFonts w:ascii="Times New Roman" w:eastAsia="Calibri" w:hAnsi="Times New Roman"/>
          <w:sz w:val="24"/>
          <w:lang w:val="sr-Cyrl-RS"/>
        </w:rPr>
        <w:lastRenderedPageBreak/>
        <w:t>ц</w:t>
      </w:r>
      <w:r w:rsidR="00616772" w:rsidRPr="0052271C">
        <w:rPr>
          <w:rFonts w:ascii="Times New Roman" w:eastAsia="Calibri" w:hAnsi="Times New Roman"/>
          <w:sz w:val="24"/>
          <w:lang w:val="sr-Cyrl-RS"/>
        </w:rPr>
        <w:t xml:space="preserve">ентрализовани модел: </w:t>
      </w:r>
      <w:r w:rsidRPr="0052271C">
        <w:rPr>
          <w:rFonts w:ascii="Times New Roman" w:eastAsia="Calibri" w:hAnsi="Times New Roman"/>
          <w:sz w:val="24"/>
          <w:lang w:val="sr-Cyrl-RS"/>
        </w:rPr>
        <w:t>в</w:t>
      </w:r>
      <w:r w:rsidR="00616772" w:rsidRPr="0052271C">
        <w:rPr>
          <w:rFonts w:ascii="Times New Roman" w:eastAsia="Calibri" w:hAnsi="Times New Roman"/>
          <w:sz w:val="24"/>
          <w:lang w:val="sr-Cyrl-RS"/>
        </w:rPr>
        <w:t xml:space="preserve">ласништво над </w:t>
      </w:r>
      <w:r w:rsidR="00AD6BAB" w:rsidRPr="0052271C">
        <w:rPr>
          <w:rFonts w:ascii="Times New Roman" w:eastAsia="Calibri" w:hAnsi="Times New Roman"/>
          <w:sz w:val="24"/>
          <w:lang w:val="sr-Cyrl-RS"/>
        </w:rPr>
        <w:t xml:space="preserve">друштвима у </w:t>
      </w:r>
      <w:r w:rsidR="00AD6BAB" w:rsidRPr="0052271C">
        <w:rPr>
          <w:rFonts w:ascii="Times New Roman" w:hAnsi="Times New Roman"/>
          <w:sz w:val="24"/>
          <w:lang w:val="sr-Cyrl-RS"/>
        </w:rPr>
        <w:t>државном власништву</w:t>
      </w:r>
      <w:r w:rsidR="00AD6BAB" w:rsidRPr="0052271C">
        <w:rPr>
          <w:rFonts w:ascii="Times New Roman" w:eastAsia="Calibri" w:hAnsi="Times New Roman"/>
          <w:sz w:val="24"/>
          <w:lang w:val="sr-Cyrl-RS"/>
        </w:rPr>
        <w:t xml:space="preserve"> </w:t>
      </w:r>
      <w:r w:rsidR="00616772" w:rsidRPr="0052271C">
        <w:rPr>
          <w:rFonts w:ascii="Times New Roman" w:eastAsia="Calibri" w:hAnsi="Times New Roman"/>
          <w:sz w:val="24"/>
          <w:lang w:val="sr-Cyrl-RS"/>
        </w:rPr>
        <w:t xml:space="preserve"> централизовано је на нивоу јединственог носиоца права власништва (независни орган или тело које је део јавне управе). Такав орган је законити власник </w:t>
      </w:r>
      <w:r w:rsidR="00AD6BAB" w:rsidRPr="0052271C">
        <w:rPr>
          <w:rFonts w:ascii="Times New Roman" w:eastAsia="Calibri" w:hAnsi="Times New Roman"/>
          <w:sz w:val="24"/>
          <w:lang w:val="sr-Cyrl-RS"/>
        </w:rPr>
        <w:t xml:space="preserve">друштва у </w:t>
      </w:r>
      <w:r w:rsidR="00AD6BAB" w:rsidRPr="0052271C">
        <w:rPr>
          <w:rFonts w:ascii="Times New Roman" w:hAnsi="Times New Roman"/>
          <w:sz w:val="24"/>
          <w:lang w:val="sr-Cyrl-RS"/>
        </w:rPr>
        <w:t>државном власништву,</w:t>
      </w:r>
      <w:r w:rsidR="00616772" w:rsidRPr="0052271C">
        <w:rPr>
          <w:rFonts w:ascii="Times New Roman" w:eastAsia="Calibri" w:hAnsi="Times New Roman"/>
          <w:sz w:val="24"/>
          <w:lang w:val="sr-Cyrl-RS"/>
        </w:rPr>
        <w:t xml:space="preserve"> а ресорно министарство делује као регулатор. У том погледу најбоља пракса сугерише раздвајање регулаторне и власничке функције, при чему је власничка функција централизована у јединственој државној агенцији или органу. </w:t>
      </w:r>
    </w:p>
    <w:p w14:paraId="2D50E036" w14:textId="77777777" w:rsidR="00616772" w:rsidRPr="0052271C" w:rsidRDefault="00616772" w:rsidP="00D93305">
      <w:pPr>
        <w:spacing w:line="276" w:lineRule="auto"/>
        <w:jc w:val="both"/>
        <w:rPr>
          <w:rFonts w:eastAsia="Calibri"/>
          <w:lang w:val="sr-Cyrl-RS"/>
        </w:rPr>
      </w:pPr>
    </w:p>
    <w:p w14:paraId="37705CA0" w14:textId="141F81D7" w:rsidR="00D93305" w:rsidRPr="0052271C" w:rsidRDefault="00616772" w:rsidP="00D93305">
      <w:pPr>
        <w:spacing w:line="276" w:lineRule="auto"/>
        <w:ind w:firstLine="567"/>
        <w:jc w:val="both"/>
        <w:rPr>
          <w:rFonts w:eastAsia="Calibri"/>
          <w:lang w:val="sr-Cyrl-RS"/>
        </w:rPr>
      </w:pPr>
      <w:r w:rsidRPr="0052271C">
        <w:rPr>
          <w:rFonts w:eastAsia="Calibri"/>
          <w:lang w:val="sr-Cyrl-RS"/>
        </w:rPr>
        <w:t xml:space="preserve">Последњих година дошло је до значајног померања ка централизованом моделу управљања државном имовином, који карактерише следеће: мање је сукоба интереса, мање политичког уплитања, присутна је кохерентност и конзистентност у примени корпоративних управљачких стандарда и вршењу власничких права, управљање државном имовином </w:t>
      </w:r>
      <w:r w:rsidR="00BA1B63" w:rsidRPr="0052271C">
        <w:rPr>
          <w:rFonts w:eastAsia="Calibri"/>
          <w:lang w:val="sr-Cyrl-RS"/>
        </w:rPr>
        <w:t xml:space="preserve">уз стварање додате вредности, </w:t>
      </w:r>
      <w:r w:rsidRPr="0052271C">
        <w:rPr>
          <w:rFonts w:eastAsia="Calibri"/>
          <w:lang w:val="sr-Cyrl-RS"/>
        </w:rPr>
        <w:t>већа транспарентност и одговорност јер се спроводе строге контроле и прати учинак.</w:t>
      </w:r>
      <w:r w:rsidRPr="0052271C">
        <w:rPr>
          <w:rFonts w:eastAsia="Calibri"/>
          <w:vertAlign w:val="superscript"/>
          <w:lang w:val="sr-Cyrl-RS"/>
        </w:rPr>
        <w:footnoteReference w:id="21"/>
      </w:r>
      <w:r w:rsidRPr="0052271C">
        <w:rPr>
          <w:rFonts w:eastAsia="Calibri"/>
          <w:lang w:val="sr-Cyrl-RS"/>
        </w:rPr>
        <w:t xml:space="preserve">  </w:t>
      </w:r>
    </w:p>
    <w:p w14:paraId="0A3F31E4" w14:textId="77777777" w:rsidR="00D93305" w:rsidRPr="0052271C" w:rsidRDefault="00D93305" w:rsidP="00D93305">
      <w:pPr>
        <w:spacing w:line="276" w:lineRule="auto"/>
        <w:ind w:firstLine="567"/>
        <w:jc w:val="both"/>
        <w:rPr>
          <w:rFonts w:eastAsia="Calibri"/>
          <w:lang w:val="sr-Cyrl-RS"/>
        </w:rPr>
      </w:pPr>
    </w:p>
    <w:p w14:paraId="6F1B2122" w14:textId="71B40C55" w:rsidR="0046625A" w:rsidRPr="0052271C" w:rsidRDefault="00616772" w:rsidP="0046625A">
      <w:pPr>
        <w:spacing w:before="240" w:after="240" w:line="276" w:lineRule="auto"/>
        <w:jc w:val="center"/>
        <w:rPr>
          <w:lang w:val="sr-Cyrl-RS" w:eastAsia="en-US"/>
        </w:rPr>
      </w:pPr>
      <w:r w:rsidRPr="0052271C">
        <w:rPr>
          <w:lang w:val="sr-Cyrl-RS" w:eastAsia="en-US"/>
        </w:rPr>
        <w:t xml:space="preserve">Преглед </w:t>
      </w:r>
      <w:r w:rsidR="00831B67" w:rsidRPr="0052271C">
        <w:rPr>
          <w:lang w:val="sr-Cyrl-RS" w:eastAsia="en-US"/>
        </w:rPr>
        <w:t>институционалног</w:t>
      </w:r>
      <w:r w:rsidRPr="0052271C">
        <w:rPr>
          <w:lang w:val="sr-Cyrl-RS" w:eastAsia="en-US"/>
        </w:rPr>
        <w:t xml:space="preserve"> оквира у Р</w:t>
      </w:r>
      <w:r w:rsidR="00AD6BAB" w:rsidRPr="0052271C">
        <w:rPr>
          <w:lang w:val="sr-Cyrl-RS" w:eastAsia="en-US"/>
        </w:rPr>
        <w:t xml:space="preserve">епублици </w:t>
      </w:r>
      <w:r w:rsidRPr="0052271C">
        <w:rPr>
          <w:lang w:val="sr-Cyrl-RS" w:eastAsia="en-US"/>
        </w:rPr>
        <w:t>С</w:t>
      </w:r>
      <w:r w:rsidR="00AD6BAB" w:rsidRPr="0052271C">
        <w:rPr>
          <w:lang w:val="sr-Cyrl-RS" w:eastAsia="en-US"/>
        </w:rPr>
        <w:t>рбији</w:t>
      </w:r>
    </w:p>
    <w:tbl>
      <w:tblPr>
        <w:tblStyle w:val="TableGrid"/>
        <w:tblW w:w="0" w:type="auto"/>
        <w:tblLook w:val="04A0" w:firstRow="1" w:lastRow="0" w:firstColumn="1" w:lastColumn="0" w:noHBand="0" w:noVBand="1"/>
      </w:tblPr>
      <w:tblGrid>
        <w:gridCol w:w="2689"/>
        <w:gridCol w:w="6328"/>
      </w:tblGrid>
      <w:tr w:rsidR="00616772" w:rsidRPr="0052271C" w14:paraId="7B1C4E7D" w14:textId="77777777" w:rsidTr="00F04DEB">
        <w:tc>
          <w:tcPr>
            <w:tcW w:w="2689" w:type="dxa"/>
            <w:shd w:val="clear" w:color="auto" w:fill="BDD6EE" w:themeFill="accent1" w:themeFillTint="66"/>
          </w:tcPr>
          <w:p w14:paraId="43B02CA5" w14:textId="03CDE556" w:rsidR="00616772" w:rsidRPr="0052271C" w:rsidRDefault="00616772" w:rsidP="00616772">
            <w:pPr>
              <w:spacing w:before="240" w:after="240" w:line="276" w:lineRule="auto"/>
              <w:jc w:val="center"/>
              <w:rPr>
                <w:b/>
                <w:sz w:val="20"/>
                <w:szCs w:val="20"/>
                <w:lang w:val="sr-Cyrl-RS" w:eastAsia="en-US"/>
              </w:rPr>
            </w:pPr>
            <w:r w:rsidRPr="0052271C">
              <w:rPr>
                <w:b/>
                <w:sz w:val="20"/>
                <w:szCs w:val="20"/>
                <w:lang w:val="sr-Cyrl-RS" w:eastAsia="en-US"/>
              </w:rPr>
              <w:t>Орган</w:t>
            </w:r>
          </w:p>
        </w:tc>
        <w:tc>
          <w:tcPr>
            <w:tcW w:w="6328" w:type="dxa"/>
            <w:shd w:val="clear" w:color="auto" w:fill="BDD6EE" w:themeFill="accent1" w:themeFillTint="66"/>
          </w:tcPr>
          <w:p w14:paraId="12D11B98" w14:textId="0F255FEA" w:rsidR="00616772" w:rsidRPr="0052271C" w:rsidRDefault="007B1F16" w:rsidP="007B1F16">
            <w:pPr>
              <w:spacing w:before="240" w:after="240" w:line="276" w:lineRule="auto"/>
              <w:jc w:val="center"/>
              <w:rPr>
                <w:b/>
                <w:sz w:val="20"/>
                <w:szCs w:val="20"/>
                <w:lang w:val="sr-Cyrl-RS" w:eastAsia="en-US"/>
              </w:rPr>
            </w:pPr>
            <w:r w:rsidRPr="0052271C">
              <w:rPr>
                <w:b/>
                <w:sz w:val="20"/>
                <w:szCs w:val="20"/>
                <w:lang w:val="sr-Cyrl-RS" w:eastAsia="en-US"/>
              </w:rPr>
              <w:t>Опис стања</w:t>
            </w:r>
          </w:p>
        </w:tc>
      </w:tr>
      <w:tr w:rsidR="00616772" w:rsidRPr="0052271C" w14:paraId="4815C26A" w14:textId="77777777" w:rsidTr="00F04DEB">
        <w:tc>
          <w:tcPr>
            <w:tcW w:w="2689" w:type="dxa"/>
            <w:shd w:val="clear" w:color="auto" w:fill="DEEAF6" w:themeFill="accent1" w:themeFillTint="33"/>
            <w:vAlign w:val="center"/>
          </w:tcPr>
          <w:p w14:paraId="07FBFB10" w14:textId="4E75613A" w:rsidR="00616772" w:rsidRPr="0052271C" w:rsidRDefault="00616772" w:rsidP="00F04DEB">
            <w:pPr>
              <w:spacing w:before="240" w:after="240" w:line="276" w:lineRule="auto"/>
              <w:jc w:val="center"/>
              <w:rPr>
                <w:sz w:val="20"/>
                <w:szCs w:val="20"/>
                <w:lang w:val="sr-Cyrl-RS" w:eastAsia="en-US"/>
              </w:rPr>
            </w:pPr>
            <w:r w:rsidRPr="0052271C">
              <w:rPr>
                <w:b/>
                <w:sz w:val="20"/>
                <w:szCs w:val="20"/>
                <w:lang w:val="sr-Cyrl-RS" w:eastAsia="en-US"/>
              </w:rPr>
              <w:t>Влада</w:t>
            </w:r>
          </w:p>
        </w:tc>
        <w:tc>
          <w:tcPr>
            <w:tcW w:w="6328" w:type="dxa"/>
          </w:tcPr>
          <w:p w14:paraId="401D88CC" w14:textId="60766429" w:rsidR="00616772" w:rsidRPr="0052271C" w:rsidRDefault="00B64DF5" w:rsidP="004F2855">
            <w:pPr>
              <w:spacing w:before="240" w:line="276" w:lineRule="auto"/>
              <w:jc w:val="both"/>
              <w:rPr>
                <w:sz w:val="20"/>
                <w:szCs w:val="20"/>
                <w:lang w:val="sr-Cyrl-RS" w:eastAsia="en-US"/>
              </w:rPr>
            </w:pPr>
            <w:r w:rsidRPr="0052271C">
              <w:rPr>
                <w:sz w:val="20"/>
                <w:szCs w:val="20"/>
                <w:lang w:val="sr-Cyrl-RS"/>
              </w:rPr>
              <w:t>П</w:t>
            </w:r>
            <w:r w:rsidR="00616772" w:rsidRPr="0052271C">
              <w:rPr>
                <w:sz w:val="20"/>
                <w:szCs w:val="20"/>
                <w:lang w:val="sr-Cyrl-RS"/>
              </w:rPr>
              <w:t xml:space="preserve">редставља Републику Србију и овлашћена је да располаже имовином у власништву Републике Србије, што укључује власништво над акцијама, уделима тј. основним капиталом </w:t>
            </w:r>
            <w:r w:rsidR="004F2855" w:rsidRPr="0052271C">
              <w:rPr>
                <w:sz w:val="20"/>
                <w:szCs w:val="20"/>
                <w:lang w:val="sr-Cyrl-RS"/>
              </w:rPr>
              <w:t>ПСРС</w:t>
            </w:r>
            <w:r w:rsidR="00616772" w:rsidRPr="0052271C">
              <w:rPr>
                <w:sz w:val="20"/>
                <w:szCs w:val="20"/>
                <w:lang w:val="sr-Cyrl-RS"/>
              </w:rPr>
              <w:t xml:space="preserve">. Различита министарства имају одређене улоге и одговорности у погледу власништва над </w:t>
            </w:r>
            <w:r w:rsidR="004F2855" w:rsidRPr="0052271C">
              <w:rPr>
                <w:sz w:val="20"/>
                <w:szCs w:val="20"/>
                <w:lang w:val="sr-Cyrl-RS"/>
              </w:rPr>
              <w:t>ПСРС</w:t>
            </w:r>
            <w:r w:rsidR="00984D0E" w:rsidRPr="0052271C">
              <w:rPr>
                <w:sz w:val="20"/>
                <w:szCs w:val="20"/>
                <w:lang w:val="sr-Cyrl-RS"/>
              </w:rPr>
              <w:t>.</w:t>
            </w:r>
          </w:p>
        </w:tc>
      </w:tr>
      <w:tr w:rsidR="00616772" w:rsidRPr="0052271C" w14:paraId="734840BD" w14:textId="77777777" w:rsidTr="00F04DEB">
        <w:trPr>
          <w:trHeight w:val="4616"/>
        </w:trPr>
        <w:tc>
          <w:tcPr>
            <w:tcW w:w="2689" w:type="dxa"/>
            <w:shd w:val="clear" w:color="auto" w:fill="DEEAF6" w:themeFill="accent1" w:themeFillTint="33"/>
            <w:vAlign w:val="center"/>
          </w:tcPr>
          <w:p w14:paraId="05D04137" w14:textId="2FB22D3E" w:rsidR="00616772" w:rsidRPr="0052271C" w:rsidRDefault="00616772" w:rsidP="00F04DEB">
            <w:pPr>
              <w:spacing w:before="240" w:after="240" w:line="276" w:lineRule="auto"/>
              <w:jc w:val="center"/>
              <w:rPr>
                <w:sz w:val="20"/>
                <w:szCs w:val="20"/>
                <w:lang w:val="sr-Cyrl-RS" w:eastAsia="en-US"/>
              </w:rPr>
            </w:pPr>
            <w:r w:rsidRPr="0052271C">
              <w:rPr>
                <w:b/>
                <w:bCs/>
                <w:sz w:val="20"/>
                <w:szCs w:val="20"/>
                <w:lang w:val="sr-Cyrl-RS" w:eastAsia="en-US"/>
              </w:rPr>
              <w:t>Министарство</w:t>
            </w:r>
          </w:p>
        </w:tc>
        <w:tc>
          <w:tcPr>
            <w:tcW w:w="6328" w:type="dxa"/>
          </w:tcPr>
          <w:p w14:paraId="308EE8DC" w14:textId="77777777" w:rsidR="00B64DF5" w:rsidRPr="0052271C" w:rsidRDefault="00B64DF5" w:rsidP="00B64DF5">
            <w:pPr>
              <w:spacing w:line="276" w:lineRule="auto"/>
              <w:rPr>
                <w:sz w:val="20"/>
                <w:szCs w:val="20"/>
                <w:lang w:val="sr-Cyrl-RS"/>
              </w:rPr>
            </w:pPr>
          </w:p>
          <w:p w14:paraId="115A37A3" w14:textId="5D7FF5ED" w:rsidR="00616772" w:rsidRPr="0052271C" w:rsidRDefault="00B64DF5" w:rsidP="00984D0E">
            <w:pPr>
              <w:spacing w:line="276" w:lineRule="auto"/>
              <w:jc w:val="both"/>
              <w:rPr>
                <w:sz w:val="20"/>
                <w:szCs w:val="20"/>
                <w:lang w:val="sr-Cyrl-RS"/>
              </w:rPr>
            </w:pPr>
            <w:r w:rsidRPr="0052271C">
              <w:rPr>
                <w:sz w:val="20"/>
                <w:szCs w:val="20"/>
                <w:lang w:val="sr-Cyrl-RS"/>
              </w:rPr>
              <w:t>И</w:t>
            </w:r>
            <w:r w:rsidR="00616772" w:rsidRPr="0052271C">
              <w:rPr>
                <w:sz w:val="20"/>
                <w:szCs w:val="20"/>
                <w:lang w:val="sr-Cyrl-RS"/>
              </w:rPr>
              <w:t xml:space="preserve">ма најистакнутију и експлицитно наведену улогу у том погледу. Примарне одговорности Министарства у овој области су двојаке: (1) приватизација и (2) надзор над јавним предузећима и другим </w:t>
            </w:r>
            <w:r w:rsidR="00A15FDD" w:rsidRPr="0052271C">
              <w:rPr>
                <w:sz w:val="20"/>
                <w:szCs w:val="20"/>
                <w:lang w:val="sr-Cyrl-RS"/>
              </w:rPr>
              <w:t>ПСРС</w:t>
            </w:r>
            <w:r w:rsidR="00616772" w:rsidRPr="0052271C">
              <w:rPr>
                <w:sz w:val="20"/>
                <w:szCs w:val="20"/>
                <w:lang w:val="sr-Cyrl-RS"/>
              </w:rPr>
              <w:t xml:space="preserve"> кој</w:t>
            </w:r>
            <w:r w:rsidR="006A082B" w:rsidRPr="0052271C">
              <w:rPr>
                <w:sz w:val="20"/>
                <w:szCs w:val="20"/>
                <w:lang w:val="sr-Cyrl-RS"/>
              </w:rPr>
              <w:t>и</w:t>
            </w:r>
            <w:r w:rsidR="00616772" w:rsidRPr="0052271C">
              <w:rPr>
                <w:sz w:val="20"/>
                <w:szCs w:val="20"/>
                <w:lang w:val="sr-Cyrl-RS"/>
              </w:rPr>
              <w:t xml:space="preserve"> обављају делатности од општег интереса. Поред тога, према Закону о министарствима, Министарство је одговорно за одређивање стратешких циљева, унапређење пословања, надзор, припрему предлога одлука у вези са именовањем/разрешењем чланова органа управљања јавних предузећа и других облика </w:t>
            </w:r>
            <w:r w:rsidR="00A15FDD" w:rsidRPr="0052271C">
              <w:rPr>
                <w:sz w:val="20"/>
                <w:szCs w:val="20"/>
                <w:lang w:val="sr-Cyrl-RS"/>
              </w:rPr>
              <w:t>ПСРС</w:t>
            </w:r>
            <w:r w:rsidR="00616772" w:rsidRPr="0052271C">
              <w:rPr>
                <w:sz w:val="20"/>
                <w:szCs w:val="20"/>
                <w:lang w:val="sr-Cyrl-RS"/>
              </w:rPr>
              <w:t xml:space="preserve"> (осим у области производње, дистрибуције и снабдевања електричном енергијом и природним гасом за које је надлежно Министарство рударства и енергетике). Закон</w:t>
            </w:r>
            <w:r w:rsidR="0011592D" w:rsidRPr="0052271C">
              <w:rPr>
                <w:sz w:val="20"/>
                <w:szCs w:val="20"/>
                <w:lang w:val="sr-Cyrl-RS"/>
              </w:rPr>
              <w:t>ом</w:t>
            </w:r>
            <w:r w:rsidR="00616772" w:rsidRPr="0052271C">
              <w:rPr>
                <w:sz w:val="20"/>
                <w:szCs w:val="20"/>
                <w:lang w:val="sr-Cyrl-RS"/>
              </w:rPr>
              <w:t xml:space="preserve"> о приватизацији </w:t>
            </w:r>
            <w:r w:rsidR="00AB183D" w:rsidRPr="0052271C">
              <w:rPr>
                <w:sz w:val="20"/>
                <w:szCs w:val="20"/>
                <w:lang w:val="sr-Cyrl-RS"/>
              </w:rPr>
              <w:t xml:space="preserve">(„Службени гласник РСˮ, бр. 83/14, 46/15, 112/15 и 20/16-аутентично тумачење) </w:t>
            </w:r>
            <w:r w:rsidR="0011592D" w:rsidRPr="0052271C">
              <w:rPr>
                <w:sz w:val="20"/>
                <w:szCs w:val="20"/>
                <w:lang w:val="sr-Cyrl-RS"/>
              </w:rPr>
              <w:t>уређене су</w:t>
            </w:r>
            <w:r w:rsidR="00616772" w:rsidRPr="0052271C">
              <w:rPr>
                <w:sz w:val="20"/>
                <w:szCs w:val="20"/>
                <w:lang w:val="sr-Cyrl-RS"/>
              </w:rPr>
              <w:t xml:space="preserve"> одговорности Министарства у области приватизације, а </w:t>
            </w:r>
            <w:r w:rsidR="0011592D" w:rsidRPr="0052271C">
              <w:rPr>
                <w:sz w:val="20"/>
                <w:szCs w:val="20"/>
                <w:lang w:val="sr-Cyrl-RS"/>
              </w:rPr>
              <w:t xml:space="preserve">у </w:t>
            </w:r>
            <w:r w:rsidR="00616772" w:rsidRPr="0052271C">
              <w:rPr>
                <w:sz w:val="20"/>
                <w:szCs w:val="20"/>
                <w:lang w:val="sr-Cyrl-RS"/>
              </w:rPr>
              <w:t>Закон</w:t>
            </w:r>
            <w:r w:rsidR="0011592D" w:rsidRPr="0052271C">
              <w:rPr>
                <w:sz w:val="20"/>
                <w:szCs w:val="20"/>
                <w:lang w:val="sr-Cyrl-RS"/>
              </w:rPr>
              <w:t>у</w:t>
            </w:r>
            <w:r w:rsidR="00616772" w:rsidRPr="0052271C">
              <w:rPr>
                <w:sz w:val="20"/>
                <w:szCs w:val="20"/>
                <w:lang w:val="sr-Cyrl-RS"/>
              </w:rPr>
              <w:t xml:space="preserve"> о јавним предузећима детаљније </w:t>
            </w:r>
            <w:r w:rsidR="0011592D" w:rsidRPr="0052271C">
              <w:rPr>
                <w:sz w:val="20"/>
                <w:szCs w:val="20"/>
                <w:lang w:val="sr-Cyrl-RS"/>
              </w:rPr>
              <w:t xml:space="preserve">су </w:t>
            </w:r>
            <w:r w:rsidR="00616772" w:rsidRPr="0052271C">
              <w:rPr>
                <w:sz w:val="20"/>
                <w:szCs w:val="20"/>
                <w:lang w:val="sr-Cyrl-RS"/>
              </w:rPr>
              <w:t>нав</w:t>
            </w:r>
            <w:r w:rsidR="0052271C">
              <w:rPr>
                <w:sz w:val="20"/>
                <w:szCs w:val="20"/>
                <w:lang w:val="sr-Cyrl-RS"/>
              </w:rPr>
              <w:t>е</w:t>
            </w:r>
            <w:r w:rsidR="00616772" w:rsidRPr="0052271C">
              <w:rPr>
                <w:sz w:val="20"/>
                <w:szCs w:val="20"/>
                <w:lang w:val="sr-Cyrl-RS"/>
              </w:rPr>
              <w:t>д</w:t>
            </w:r>
            <w:r w:rsidR="0011592D" w:rsidRPr="0052271C">
              <w:rPr>
                <w:sz w:val="20"/>
                <w:szCs w:val="20"/>
                <w:lang w:val="sr-Cyrl-RS"/>
              </w:rPr>
              <w:t>ене</w:t>
            </w:r>
            <w:r w:rsidR="00616772" w:rsidRPr="0052271C">
              <w:rPr>
                <w:sz w:val="20"/>
                <w:szCs w:val="20"/>
                <w:lang w:val="sr-Cyrl-RS"/>
              </w:rPr>
              <w:t xml:space="preserve"> поједине одговорности </w:t>
            </w:r>
            <w:r w:rsidR="0011592D" w:rsidRPr="0052271C">
              <w:rPr>
                <w:sz w:val="20"/>
                <w:szCs w:val="20"/>
                <w:lang w:val="sr-Cyrl-RS"/>
              </w:rPr>
              <w:t>т</w:t>
            </w:r>
            <w:r w:rsidR="00616772" w:rsidRPr="0052271C">
              <w:rPr>
                <w:sz w:val="20"/>
                <w:szCs w:val="20"/>
                <w:lang w:val="sr-Cyrl-RS"/>
              </w:rPr>
              <w:t xml:space="preserve">ог министарства у погледу јавних предузећа и других </w:t>
            </w:r>
            <w:r w:rsidR="00A15FDD" w:rsidRPr="0052271C">
              <w:rPr>
                <w:sz w:val="20"/>
                <w:szCs w:val="20"/>
                <w:lang w:val="sr-Cyrl-RS"/>
              </w:rPr>
              <w:t>ПСРС</w:t>
            </w:r>
            <w:r w:rsidR="00616772" w:rsidRPr="0052271C">
              <w:rPr>
                <w:sz w:val="20"/>
                <w:szCs w:val="20"/>
                <w:lang w:val="sr-Cyrl-RS"/>
              </w:rPr>
              <w:t xml:space="preserve"> кој</w:t>
            </w:r>
            <w:r w:rsidR="006A082B" w:rsidRPr="0052271C">
              <w:rPr>
                <w:sz w:val="20"/>
                <w:szCs w:val="20"/>
                <w:lang w:val="sr-Cyrl-RS"/>
              </w:rPr>
              <w:t>и</w:t>
            </w:r>
            <w:r w:rsidR="00616772" w:rsidRPr="0052271C">
              <w:rPr>
                <w:sz w:val="20"/>
                <w:szCs w:val="20"/>
                <w:lang w:val="sr-Cyrl-RS"/>
              </w:rPr>
              <w:t xml:space="preserve"> обављају делатности од општег интереса.</w:t>
            </w:r>
          </w:p>
          <w:p w14:paraId="4D15316B" w14:textId="77777777" w:rsidR="00B64DF5" w:rsidRPr="0052271C" w:rsidRDefault="00B64DF5" w:rsidP="00B64DF5">
            <w:pPr>
              <w:spacing w:line="276" w:lineRule="auto"/>
              <w:jc w:val="both"/>
              <w:rPr>
                <w:sz w:val="20"/>
                <w:szCs w:val="20"/>
                <w:lang w:val="sr-Cyrl-RS"/>
              </w:rPr>
            </w:pPr>
          </w:p>
          <w:p w14:paraId="4115C178" w14:textId="77777777" w:rsidR="00B64DF5" w:rsidRPr="0052271C" w:rsidRDefault="00B64DF5" w:rsidP="00B64DF5">
            <w:pPr>
              <w:spacing w:line="276" w:lineRule="auto"/>
              <w:jc w:val="both"/>
              <w:rPr>
                <w:sz w:val="20"/>
                <w:szCs w:val="20"/>
                <w:lang w:val="sr-Cyrl-RS"/>
              </w:rPr>
            </w:pPr>
          </w:p>
          <w:p w14:paraId="5DB7E7E6" w14:textId="6DA295D0" w:rsidR="00B64DF5" w:rsidRPr="0052271C" w:rsidRDefault="00B64DF5" w:rsidP="00B64DF5">
            <w:pPr>
              <w:spacing w:line="276" w:lineRule="auto"/>
              <w:jc w:val="both"/>
              <w:rPr>
                <w:sz w:val="20"/>
                <w:szCs w:val="20"/>
                <w:lang w:val="sr-Cyrl-RS" w:eastAsia="en-US"/>
              </w:rPr>
            </w:pPr>
          </w:p>
        </w:tc>
      </w:tr>
      <w:tr w:rsidR="00616772" w:rsidRPr="0052271C" w14:paraId="062B0B8F" w14:textId="77777777" w:rsidTr="00F04DEB">
        <w:tc>
          <w:tcPr>
            <w:tcW w:w="2689" w:type="dxa"/>
            <w:shd w:val="clear" w:color="auto" w:fill="DEEAF6" w:themeFill="accent1" w:themeFillTint="33"/>
            <w:vAlign w:val="center"/>
          </w:tcPr>
          <w:p w14:paraId="35E878DD" w14:textId="4661C592" w:rsidR="00616772" w:rsidRPr="0052271C" w:rsidRDefault="00616772" w:rsidP="00F04DEB">
            <w:pPr>
              <w:spacing w:before="240" w:after="240" w:line="276" w:lineRule="auto"/>
              <w:jc w:val="center"/>
              <w:rPr>
                <w:sz w:val="20"/>
                <w:szCs w:val="20"/>
                <w:lang w:val="sr-Cyrl-RS" w:eastAsia="en-US"/>
              </w:rPr>
            </w:pPr>
            <w:r w:rsidRPr="0052271C">
              <w:rPr>
                <w:b/>
                <w:bCs/>
                <w:sz w:val="20"/>
                <w:szCs w:val="20"/>
                <w:lang w:val="sr-Cyrl-RS" w:eastAsia="en-US"/>
              </w:rPr>
              <w:lastRenderedPageBreak/>
              <w:t>Минист</w:t>
            </w:r>
            <w:r w:rsidR="00984D0E" w:rsidRPr="0052271C">
              <w:rPr>
                <w:b/>
                <w:bCs/>
                <w:sz w:val="20"/>
                <w:szCs w:val="20"/>
                <w:lang w:val="sr-Cyrl-RS" w:eastAsia="en-US"/>
              </w:rPr>
              <w:t>арство</w:t>
            </w:r>
            <w:r w:rsidRPr="0052271C">
              <w:rPr>
                <w:b/>
                <w:bCs/>
                <w:sz w:val="20"/>
                <w:szCs w:val="20"/>
                <w:lang w:val="sr-Cyrl-RS" w:eastAsia="en-US"/>
              </w:rPr>
              <w:t xml:space="preserve"> финансија</w:t>
            </w:r>
          </w:p>
        </w:tc>
        <w:tc>
          <w:tcPr>
            <w:tcW w:w="6328" w:type="dxa"/>
          </w:tcPr>
          <w:p w14:paraId="484E7D55" w14:textId="29E505DD" w:rsidR="00616772" w:rsidRPr="0052271C" w:rsidRDefault="00984D0E" w:rsidP="00984D0E">
            <w:pPr>
              <w:spacing w:before="240" w:line="276" w:lineRule="auto"/>
              <w:jc w:val="both"/>
              <w:rPr>
                <w:sz w:val="20"/>
                <w:szCs w:val="20"/>
                <w:lang w:val="sr-Cyrl-RS"/>
              </w:rPr>
            </w:pPr>
            <w:r w:rsidRPr="0052271C">
              <w:rPr>
                <w:sz w:val="20"/>
                <w:szCs w:val="20"/>
                <w:lang w:val="sr-Cyrl-RS"/>
              </w:rPr>
              <w:t xml:space="preserve">Обавља послове државне управе </w:t>
            </w:r>
            <w:r w:rsidR="00616772" w:rsidRPr="0052271C">
              <w:rPr>
                <w:sz w:val="20"/>
                <w:szCs w:val="20"/>
                <w:lang w:val="sr-Cyrl-RS"/>
              </w:rPr>
              <w:t>кој</w:t>
            </w:r>
            <w:r w:rsidR="00F625F1" w:rsidRPr="0052271C">
              <w:rPr>
                <w:sz w:val="20"/>
                <w:szCs w:val="20"/>
                <w:lang w:val="sr-Cyrl-RS"/>
              </w:rPr>
              <w:t>и</w:t>
            </w:r>
            <w:r w:rsidR="00616772" w:rsidRPr="0052271C">
              <w:rPr>
                <w:sz w:val="20"/>
                <w:szCs w:val="20"/>
                <w:lang w:val="sr-Cyrl-RS"/>
              </w:rPr>
              <w:t xml:space="preserve"> су непосредније повезан</w:t>
            </w:r>
            <w:r w:rsidR="00F625F1" w:rsidRPr="0052271C">
              <w:rPr>
                <w:sz w:val="20"/>
                <w:szCs w:val="20"/>
                <w:lang w:val="sr-Cyrl-RS"/>
              </w:rPr>
              <w:t>и</w:t>
            </w:r>
            <w:r w:rsidR="00616772" w:rsidRPr="0052271C">
              <w:rPr>
                <w:sz w:val="20"/>
                <w:szCs w:val="20"/>
                <w:lang w:val="sr-Cyrl-RS"/>
              </w:rPr>
              <w:t xml:space="preserve"> са власништвом и надзором над </w:t>
            </w:r>
            <w:r w:rsidR="004F2855" w:rsidRPr="0052271C">
              <w:rPr>
                <w:sz w:val="20"/>
                <w:szCs w:val="20"/>
                <w:lang w:val="sr-Cyrl-RS"/>
              </w:rPr>
              <w:t>ПСРС</w:t>
            </w:r>
            <w:r w:rsidR="00616772" w:rsidRPr="0052271C">
              <w:rPr>
                <w:sz w:val="20"/>
                <w:szCs w:val="20"/>
                <w:lang w:val="sr-Cyrl-RS"/>
              </w:rPr>
              <w:t xml:space="preserve"> </w:t>
            </w:r>
            <w:r w:rsidR="00F625F1" w:rsidRPr="0052271C">
              <w:rPr>
                <w:sz w:val="20"/>
                <w:szCs w:val="20"/>
                <w:lang w:val="sr-Cyrl-RS"/>
              </w:rPr>
              <w:t xml:space="preserve">и </w:t>
            </w:r>
            <w:r w:rsidR="00616772" w:rsidRPr="0052271C">
              <w:rPr>
                <w:sz w:val="20"/>
                <w:szCs w:val="20"/>
                <w:lang w:val="sr-Cyrl-RS"/>
              </w:rPr>
              <w:t xml:space="preserve">укључују, између осталог, учешће у управљању финансијским институцијама чије су акције у власништву Републике Србије (укључујући продају удела у тим ентитетима), буџетску контролу свих буџетских средстава из буџета Републике Србије, територијалне аутономије, локалне самоуправе, организација обавезног социјалног осигурања и јавних предузећа, процену финансијских ризика који проистичу из пословања јавних предузећа и других </w:t>
            </w:r>
            <w:r w:rsidRPr="0052271C">
              <w:rPr>
                <w:sz w:val="20"/>
                <w:szCs w:val="20"/>
                <w:lang w:val="sr-Cyrl-RS"/>
              </w:rPr>
              <w:t>ПСРС</w:t>
            </w:r>
            <w:r w:rsidR="00616772" w:rsidRPr="0052271C">
              <w:rPr>
                <w:sz w:val="20"/>
                <w:szCs w:val="20"/>
                <w:lang w:val="sr-Cyrl-RS"/>
              </w:rPr>
              <w:t>, и хармонизацију и координацију финансијског управљања и контроле и интерне ревизије у јавном сектору.</w:t>
            </w:r>
          </w:p>
        </w:tc>
      </w:tr>
      <w:tr w:rsidR="00616772" w:rsidRPr="0052271C" w14:paraId="20970838" w14:textId="77777777" w:rsidTr="00F04DEB">
        <w:tc>
          <w:tcPr>
            <w:tcW w:w="2689" w:type="dxa"/>
            <w:shd w:val="clear" w:color="auto" w:fill="DEEAF6" w:themeFill="accent1" w:themeFillTint="33"/>
            <w:vAlign w:val="center"/>
          </w:tcPr>
          <w:p w14:paraId="3C673315" w14:textId="51E60704" w:rsidR="00616772" w:rsidRPr="0052271C" w:rsidRDefault="00616772" w:rsidP="00F04DEB">
            <w:pPr>
              <w:spacing w:before="240" w:after="240" w:line="276" w:lineRule="auto"/>
              <w:jc w:val="center"/>
              <w:rPr>
                <w:sz w:val="20"/>
                <w:szCs w:val="20"/>
                <w:lang w:val="sr-Cyrl-RS" w:eastAsia="en-US"/>
              </w:rPr>
            </w:pPr>
            <w:r w:rsidRPr="0052271C">
              <w:rPr>
                <w:b/>
                <w:bCs/>
                <w:sz w:val="20"/>
                <w:szCs w:val="20"/>
                <w:lang w:val="sr-Cyrl-RS" w:eastAsia="en-US"/>
              </w:rPr>
              <w:t>Министарства рударства и енергетике</w:t>
            </w:r>
          </w:p>
        </w:tc>
        <w:tc>
          <w:tcPr>
            <w:tcW w:w="6328" w:type="dxa"/>
          </w:tcPr>
          <w:p w14:paraId="1625D779" w14:textId="00701550" w:rsidR="00616772" w:rsidRPr="0052271C" w:rsidRDefault="00984D0E" w:rsidP="0046625A">
            <w:pPr>
              <w:spacing w:before="240" w:line="276" w:lineRule="auto"/>
              <w:jc w:val="both"/>
              <w:rPr>
                <w:sz w:val="20"/>
                <w:szCs w:val="20"/>
                <w:lang w:val="sr-Cyrl-RS"/>
              </w:rPr>
            </w:pPr>
            <w:r w:rsidRPr="0052271C">
              <w:rPr>
                <w:sz w:val="20"/>
                <w:szCs w:val="20"/>
                <w:lang w:val="sr-Cyrl-RS"/>
              </w:rPr>
              <w:t xml:space="preserve">Обавља послове државне управе </w:t>
            </w:r>
            <w:r w:rsidR="00616772" w:rsidRPr="0052271C">
              <w:rPr>
                <w:sz w:val="20"/>
                <w:szCs w:val="20"/>
                <w:lang w:val="sr-Cyrl-RS"/>
              </w:rPr>
              <w:t xml:space="preserve">уско повезане са власништвом секторских </w:t>
            </w:r>
            <w:r w:rsidR="00A15FDD" w:rsidRPr="0052271C">
              <w:rPr>
                <w:sz w:val="20"/>
                <w:szCs w:val="20"/>
                <w:lang w:val="sr-Cyrl-RS"/>
              </w:rPr>
              <w:t>ПСРС</w:t>
            </w:r>
            <w:r w:rsidR="00F625F1" w:rsidRPr="0052271C">
              <w:rPr>
                <w:sz w:val="20"/>
                <w:szCs w:val="20"/>
                <w:lang w:val="sr-Cyrl-RS"/>
              </w:rPr>
              <w:t>, који</w:t>
            </w:r>
            <w:r w:rsidR="00616772" w:rsidRPr="0052271C">
              <w:rPr>
                <w:sz w:val="20"/>
                <w:szCs w:val="20"/>
                <w:lang w:val="sr-Cyrl-RS"/>
              </w:rPr>
              <w:t xml:space="preserve"> укључују припрему предлога аката (које треба да усвоји Влада) о именовањима/разрешењима чланова органа управљања у јавним предузећима и другим </w:t>
            </w:r>
            <w:r w:rsidRPr="0052271C">
              <w:rPr>
                <w:sz w:val="20"/>
                <w:szCs w:val="20"/>
                <w:lang w:val="sr-Cyrl-RS"/>
              </w:rPr>
              <w:t xml:space="preserve">ПСРС </w:t>
            </w:r>
            <w:r w:rsidR="00616772" w:rsidRPr="0052271C">
              <w:rPr>
                <w:sz w:val="20"/>
                <w:szCs w:val="20"/>
                <w:lang w:val="sr-Cyrl-RS"/>
              </w:rPr>
              <w:t>кој</w:t>
            </w:r>
            <w:r w:rsidR="006A082B" w:rsidRPr="0052271C">
              <w:rPr>
                <w:sz w:val="20"/>
                <w:szCs w:val="20"/>
                <w:lang w:val="sr-Cyrl-RS"/>
              </w:rPr>
              <w:t>и</w:t>
            </w:r>
            <w:r w:rsidR="00616772" w:rsidRPr="0052271C">
              <w:rPr>
                <w:sz w:val="20"/>
                <w:szCs w:val="20"/>
                <w:lang w:val="sr-Cyrl-RS"/>
              </w:rPr>
              <w:t xml:space="preserve"> обављају делатности производње, дистрибуције и снабдевања електричном енергијом и природним гасом, као и о другим питањима у вези са пословањем </w:t>
            </w:r>
            <w:r w:rsidR="00F625F1" w:rsidRPr="0052271C">
              <w:rPr>
                <w:sz w:val="20"/>
                <w:szCs w:val="20"/>
                <w:lang w:val="sr-Cyrl-RS"/>
              </w:rPr>
              <w:t>тих ПСРС</w:t>
            </w:r>
            <w:r w:rsidR="00616772" w:rsidRPr="0052271C">
              <w:rPr>
                <w:sz w:val="20"/>
                <w:szCs w:val="20"/>
                <w:lang w:val="sr-Cyrl-RS"/>
              </w:rPr>
              <w:t>.</w:t>
            </w:r>
          </w:p>
          <w:p w14:paraId="7A8D7A3A" w14:textId="77777777" w:rsidR="00616772" w:rsidRPr="0052271C" w:rsidRDefault="00616772" w:rsidP="0046625A">
            <w:pPr>
              <w:spacing w:line="276" w:lineRule="auto"/>
              <w:jc w:val="both"/>
              <w:rPr>
                <w:sz w:val="20"/>
                <w:szCs w:val="20"/>
                <w:lang w:val="sr-Cyrl-RS"/>
              </w:rPr>
            </w:pPr>
          </w:p>
        </w:tc>
      </w:tr>
      <w:tr w:rsidR="00616772" w:rsidRPr="0052271C" w14:paraId="5272FB67" w14:textId="77777777" w:rsidTr="0046625A">
        <w:tc>
          <w:tcPr>
            <w:tcW w:w="2689" w:type="dxa"/>
            <w:shd w:val="clear" w:color="auto" w:fill="DEEAF6" w:themeFill="accent1" w:themeFillTint="33"/>
            <w:vAlign w:val="center"/>
          </w:tcPr>
          <w:p w14:paraId="5D231DA4" w14:textId="308FB96A" w:rsidR="00616772" w:rsidRPr="0052271C" w:rsidRDefault="00616772" w:rsidP="00F04DEB">
            <w:pPr>
              <w:spacing w:before="240" w:after="240" w:line="276" w:lineRule="auto"/>
              <w:jc w:val="center"/>
              <w:rPr>
                <w:b/>
                <w:sz w:val="20"/>
                <w:szCs w:val="20"/>
                <w:lang w:val="sr-Cyrl-RS" w:eastAsia="en-US"/>
              </w:rPr>
            </w:pPr>
            <w:r w:rsidRPr="0052271C">
              <w:rPr>
                <w:b/>
                <w:sz w:val="20"/>
                <w:szCs w:val="20"/>
                <w:lang w:val="sr-Cyrl-RS" w:eastAsia="en-US"/>
              </w:rPr>
              <w:t>Остала ресорна министарства</w:t>
            </w:r>
          </w:p>
        </w:tc>
        <w:tc>
          <w:tcPr>
            <w:tcW w:w="6328" w:type="dxa"/>
            <w:vAlign w:val="center"/>
          </w:tcPr>
          <w:p w14:paraId="3654133E" w14:textId="6196BDDF" w:rsidR="00616772" w:rsidRPr="0052271C" w:rsidRDefault="007B1F16" w:rsidP="0046625A">
            <w:pPr>
              <w:spacing w:line="276" w:lineRule="auto"/>
              <w:rPr>
                <w:sz w:val="20"/>
                <w:szCs w:val="20"/>
                <w:lang w:val="sr-Cyrl-RS"/>
              </w:rPr>
            </w:pPr>
            <w:r w:rsidRPr="0052271C">
              <w:rPr>
                <w:sz w:val="20"/>
                <w:szCs w:val="20"/>
                <w:lang w:val="sr-Cyrl-RS"/>
              </w:rPr>
              <w:t>Министарства надлежна за област којој припада делатност ПСРС</w:t>
            </w:r>
            <w:r w:rsidR="00984D0E" w:rsidRPr="0052271C">
              <w:rPr>
                <w:sz w:val="20"/>
                <w:szCs w:val="20"/>
                <w:lang w:val="sr-Cyrl-RS"/>
              </w:rPr>
              <w:t>.</w:t>
            </w:r>
            <w:r w:rsidRPr="0052271C">
              <w:rPr>
                <w:sz w:val="20"/>
                <w:szCs w:val="20"/>
                <w:lang w:val="sr-Cyrl-RS"/>
              </w:rPr>
              <w:t xml:space="preserve"> </w:t>
            </w:r>
          </w:p>
        </w:tc>
      </w:tr>
    </w:tbl>
    <w:p w14:paraId="46FB4318" w14:textId="77777777" w:rsidR="004C69C3" w:rsidRPr="0052271C" w:rsidRDefault="004C69C3" w:rsidP="00043228">
      <w:pPr>
        <w:rPr>
          <w:rFonts w:eastAsiaTheme="minorHAnsi"/>
          <w:b/>
          <w:iCs/>
          <w:sz w:val="12"/>
          <w:szCs w:val="12"/>
          <w:lang w:val="sr-Cyrl-RS" w:eastAsia="en-US"/>
        </w:rPr>
      </w:pPr>
    </w:p>
    <w:p w14:paraId="46323976" w14:textId="39DFD717" w:rsidR="00FD7F44" w:rsidRPr="0052271C" w:rsidRDefault="00A66A45" w:rsidP="00FD7F44">
      <w:pPr>
        <w:spacing w:after="160" w:line="276" w:lineRule="auto"/>
        <w:ind w:firstLine="573"/>
        <w:jc w:val="both"/>
        <w:rPr>
          <w:lang w:val="sr-Cyrl-RS" w:eastAsia="en-US"/>
        </w:rPr>
      </w:pPr>
      <w:r w:rsidRPr="0052271C">
        <w:rPr>
          <w:lang w:val="sr-Cyrl-RS" w:eastAsia="en-US"/>
        </w:rPr>
        <w:t xml:space="preserve">Анализа правног оквира показује да је приступ Републике Србије државном власништву над </w:t>
      </w:r>
      <w:r w:rsidR="004F2855" w:rsidRPr="0052271C">
        <w:rPr>
          <w:lang w:val="sr-Cyrl-RS" w:eastAsia="en-US"/>
        </w:rPr>
        <w:t>ПСРС</w:t>
      </w:r>
      <w:r w:rsidRPr="0052271C">
        <w:rPr>
          <w:lang w:val="sr-Cyrl-RS" w:eastAsia="en-US"/>
        </w:rPr>
        <w:t xml:space="preserve"> генерално децентрализован. Постоје различите улоге и функције Мин</w:t>
      </w:r>
      <w:r w:rsidR="00043228" w:rsidRPr="0052271C">
        <w:rPr>
          <w:lang w:val="sr-Cyrl-RS" w:eastAsia="en-US"/>
        </w:rPr>
        <w:t>истарства, других министарстава</w:t>
      </w:r>
      <w:r w:rsidR="00FD7F44" w:rsidRPr="0052271C">
        <w:rPr>
          <w:lang w:val="sr-Cyrl-RS" w:eastAsia="en-US"/>
        </w:rPr>
        <w:t xml:space="preserve">,  као и </w:t>
      </w:r>
      <w:r w:rsidR="00043228" w:rsidRPr="0052271C">
        <w:rPr>
          <w:lang w:val="sr-Cyrl-RS" w:eastAsia="en-US"/>
        </w:rPr>
        <w:t>осталих</w:t>
      </w:r>
      <w:r w:rsidR="00FD7F44" w:rsidRPr="0052271C">
        <w:rPr>
          <w:lang w:val="sr-Cyrl-RS" w:eastAsia="en-US"/>
        </w:rPr>
        <w:t xml:space="preserve"> </w:t>
      </w:r>
      <w:r w:rsidR="00F76CCB" w:rsidRPr="0052271C">
        <w:rPr>
          <w:lang w:val="sr-Cyrl-RS" w:eastAsia="en-US"/>
        </w:rPr>
        <w:t>органа државне управе</w:t>
      </w:r>
      <w:r w:rsidR="000C4192" w:rsidRPr="0052271C">
        <w:rPr>
          <w:lang w:val="sr-Cyrl-RS" w:eastAsia="en-US"/>
        </w:rPr>
        <w:t xml:space="preserve"> повезане са власништвом и надзором над ПСРС</w:t>
      </w:r>
      <w:r w:rsidR="00FD7F44" w:rsidRPr="0052271C">
        <w:rPr>
          <w:lang w:val="sr-Cyrl-RS" w:eastAsia="en-US"/>
        </w:rPr>
        <w:t>.</w:t>
      </w:r>
    </w:p>
    <w:p w14:paraId="32180C64" w14:textId="7406C20B" w:rsidR="00FD7F44" w:rsidRPr="0052271C" w:rsidRDefault="00FD7F44" w:rsidP="00A6086A">
      <w:pPr>
        <w:spacing w:after="160" w:line="276" w:lineRule="auto"/>
        <w:ind w:firstLine="573"/>
        <w:jc w:val="both"/>
        <w:rPr>
          <w:lang w:val="sr-Cyrl-RS" w:eastAsia="en-US"/>
        </w:rPr>
      </w:pPr>
      <w:r w:rsidRPr="0052271C">
        <w:rPr>
          <w:rFonts w:eastAsiaTheme="minorHAnsi" w:cstheme="minorBidi"/>
          <w:szCs w:val="22"/>
          <w:lang w:val="sr-Cyrl-RS" w:eastAsia="en-US"/>
        </w:rPr>
        <w:t>На основу изнете анализе идентификовано је непост</w:t>
      </w:r>
      <w:r w:rsidR="009A1CA7" w:rsidRPr="0052271C">
        <w:rPr>
          <w:rFonts w:eastAsiaTheme="minorHAnsi" w:cstheme="minorBidi"/>
          <w:szCs w:val="22"/>
          <w:lang w:val="sr-Cyrl-RS" w:eastAsia="en-US"/>
        </w:rPr>
        <w:t>ојање централизованог власничког ентитета</w:t>
      </w:r>
      <w:r w:rsidRPr="0052271C">
        <w:rPr>
          <w:rFonts w:eastAsiaTheme="minorHAnsi" w:cstheme="minorBidi"/>
          <w:szCs w:val="22"/>
          <w:lang w:val="sr-Cyrl-RS" w:eastAsia="en-US"/>
        </w:rPr>
        <w:t>, одговорног за власничко управљање ПСРС, које би</w:t>
      </w:r>
      <w:r w:rsidR="00A6086A" w:rsidRPr="0052271C">
        <w:rPr>
          <w:rFonts w:eastAsiaTheme="minorHAnsi" w:cstheme="minorBidi"/>
          <w:szCs w:val="22"/>
          <w:lang w:val="sr-Cyrl-RS" w:eastAsia="en-US"/>
        </w:rPr>
        <w:t>,</w:t>
      </w:r>
      <w:r w:rsidRPr="0052271C">
        <w:rPr>
          <w:rFonts w:eastAsiaTheme="minorHAnsi" w:cstheme="minorBidi"/>
          <w:szCs w:val="22"/>
          <w:lang w:val="sr-Cyrl-RS" w:eastAsia="en-US"/>
        </w:rPr>
        <w:t xml:space="preserve"> поред осталог</w:t>
      </w:r>
      <w:r w:rsidR="00A6086A" w:rsidRPr="0052271C">
        <w:rPr>
          <w:rFonts w:eastAsiaTheme="minorHAnsi" w:cstheme="minorBidi"/>
          <w:szCs w:val="22"/>
          <w:lang w:val="sr-Cyrl-RS" w:eastAsia="en-US"/>
        </w:rPr>
        <w:t>,</w:t>
      </w:r>
      <w:r w:rsidRPr="0052271C">
        <w:rPr>
          <w:rFonts w:eastAsiaTheme="minorHAnsi" w:cstheme="minorBidi"/>
          <w:szCs w:val="22"/>
          <w:lang w:val="sr-Cyrl-RS" w:eastAsia="en-US"/>
        </w:rPr>
        <w:t xml:space="preserve"> вршило </w:t>
      </w:r>
      <w:r w:rsidR="00A6086A" w:rsidRPr="0052271C">
        <w:rPr>
          <w:rFonts w:eastAsiaTheme="minorHAnsi" w:cstheme="minorBidi"/>
          <w:szCs w:val="22"/>
          <w:lang w:val="sr-Cyrl-RS" w:eastAsia="en-US"/>
        </w:rPr>
        <w:t xml:space="preserve">власничку функцију преко свог представника у скупштини ПСРС и било одговорно за координацију са </w:t>
      </w:r>
      <w:r w:rsidR="00F76CCB" w:rsidRPr="0052271C">
        <w:rPr>
          <w:rFonts w:eastAsiaTheme="minorHAnsi" w:cstheme="minorBidi"/>
          <w:szCs w:val="22"/>
          <w:lang w:val="sr-Cyrl-RS" w:eastAsia="en-US"/>
        </w:rPr>
        <w:t>ресорним</w:t>
      </w:r>
      <w:r w:rsidR="00A6086A" w:rsidRPr="0052271C">
        <w:rPr>
          <w:rFonts w:eastAsiaTheme="minorHAnsi" w:cstheme="minorBidi"/>
          <w:szCs w:val="22"/>
          <w:lang w:val="sr-Cyrl-RS" w:eastAsia="en-US"/>
        </w:rPr>
        <w:t xml:space="preserve"> министарствима, </w:t>
      </w:r>
      <w:r w:rsidRPr="0052271C">
        <w:rPr>
          <w:rFonts w:eastAsiaTheme="minorHAnsi" w:cstheme="minorBidi"/>
          <w:szCs w:val="22"/>
          <w:lang w:val="sr-Cyrl-RS" w:eastAsia="en-US"/>
        </w:rPr>
        <w:t>п</w:t>
      </w:r>
      <w:r w:rsidR="00A6086A" w:rsidRPr="0052271C">
        <w:rPr>
          <w:lang w:val="sr-Cyrl-RS" w:eastAsia="en-US"/>
        </w:rPr>
        <w:t>остављало опште циљеве</w:t>
      </w:r>
      <w:r w:rsidRPr="0052271C">
        <w:rPr>
          <w:lang w:val="sr-Cyrl-RS" w:eastAsia="en-US"/>
        </w:rPr>
        <w:t xml:space="preserve"> за стратешко и оперативно планирање </w:t>
      </w:r>
      <w:r w:rsidRPr="0052271C">
        <w:rPr>
          <w:rFonts w:eastAsiaTheme="minorHAnsi" w:cstheme="minorBidi"/>
          <w:szCs w:val="22"/>
          <w:lang w:val="sr-Cyrl-RS" w:eastAsia="en-US"/>
        </w:rPr>
        <w:t>ПСРС</w:t>
      </w:r>
      <w:r w:rsidR="00EE18C7" w:rsidRPr="0052271C">
        <w:rPr>
          <w:lang w:val="sr-Cyrl-RS" w:eastAsia="en-US"/>
        </w:rPr>
        <w:t>,</w:t>
      </w:r>
      <w:r w:rsidRPr="0052271C">
        <w:rPr>
          <w:lang w:val="sr-Cyrl-RS" w:eastAsia="en-US"/>
        </w:rPr>
        <w:t xml:space="preserve"> </w:t>
      </w:r>
      <w:r w:rsidR="00A6086A" w:rsidRPr="0052271C">
        <w:rPr>
          <w:lang w:val="sr-Cyrl-RS" w:eastAsia="en-US"/>
        </w:rPr>
        <w:t xml:space="preserve">вршило </w:t>
      </w:r>
      <w:r w:rsidRPr="0052271C">
        <w:rPr>
          <w:lang w:val="sr-Cyrl-RS" w:eastAsia="en-US"/>
        </w:rPr>
        <w:t xml:space="preserve">надзор </w:t>
      </w:r>
      <w:r w:rsidR="00A6086A" w:rsidRPr="0052271C">
        <w:rPr>
          <w:lang w:val="sr-Cyrl-RS" w:eastAsia="en-US"/>
        </w:rPr>
        <w:t xml:space="preserve">над </w:t>
      </w:r>
      <w:r w:rsidRPr="0052271C">
        <w:rPr>
          <w:lang w:val="sr-Cyrl-RS" w:eastAsia="en-US"/>
        </w:rPr>
        <w:t>им</w:t>
      </w:r>
      <w:r w:rsidR="00A6086A" w:rsidRPr="0052271C">
        <w:rPr>
          <w:lang w:val="sr-Cyrl-RS" w:eastAsia="en-US"/>
        </w:rPr>
        <w:t>плементацијом тих</w:t>
      </w:r>
      <w:r w:rsidR="00EE18C7" w:rsidRPr="0052271C">
        <w:rPr>
          <w:lang w:val="sr-Cyrl-RS" w:eastAsia="en-US"/>
        </w:rPr>
        <w:t xml:space="preserve"> циљева,</w:t>
      </w:r>
      <w:r w:rsidR="00A6086A" w:rsidRPr="0052271C">
        <w:rPr>
          <w:lang w:val="sr-Cyrl-RS" w:eastAsia="en-US"/>
        </w:rPr>
        <w:t xml:space="preserve"> обезбедило ефикасност</w:t>
      </w:r>
      <w:r w:rsidRPr="0052271C">
        <w:rPr>
          <w:lang w:val="sr-Cyrl-RS" w:eastAsia="en-US"/>
        </w:rPr>
        <w:t xml:space="preserve"> система финансијског управљања и контроле </w:t>
      </w:r>
      <w:r w:rsidR="00A6086A" w:rsidRPr="0052271C">
        <w:rPr>
          <w:rFonts w:eastAsiaTheme="minorHAnsi" w:cstheme="minorBidi"/>
          <w:szCs w:val="22"/>
          <w:lang w:val="sr-Cyrl-RS" w:eastAsia="en-US"/>
        </w:rPr>
        <w:t xml:space="preserve">ПСРС </w:t>
      </w:r>
      <w:r w:rsidRPr="0052271C">
        <w:rPr>
          <w:lang w:val="sr-Cyrl-RS" w:eastAsia="en-US"/>
        </w:rPr>
        <w:t xml:space="preserve">и </w:t>
      </w:r>
      <w:r w:rsidR="00A6086A" w:rsidRPr="0052271C">
        <w:rPr>
          <w:lang w:val="sr-Cyrl-RS" w:eastAsia="en-US"/>
        </w:rPr>
        <w:t>пратило оквир</w:t>
      </w:r>
      <w:r w:rsidRPr="0052271C">
        <w:rPr>
          <w:lang w:val="sr-Cyrl-RS" w:eastAsia="en-US"/>
        </w:rPr>
        <w:t xml:space="preserve"> корпоративног управљања и његове ефикасности.  </w:t>
      </w:r>
    </w:p>
    <w:p w14:paraId="21DB6CDD" w14:textId="6B8E1C2C" w:rsidR="00922FBA" w:rsidRPr="0052271C" w:rsidRDefault="00043228" w:rsidP="00D93305">
      <w:pPr>
        <w:pStyle w:val="Heading3"/>
        <w:numPr>
          <w:ilvl w:val="0"/>
          <w:numId w:val="0"/>
        </w:numPr>
        <w:ind w:left="720" w:hanging="153"/>
        <w:rPr>
          <w:rFonts w:ascii="Times New Roman" w:eastAsiaTheme="minorHAnsi" w:hAnsi="Times New Roman"/>
          <w:b w:val="0"/>
          <w:iCs/>
          <w:sz w:val="24"/>
          <w:szCs w:val="24"/>
          <w:lang w:val="sr-Cyrl-RS" w:eastAsia="en-US"/>
        </w:rPr>
      </w:pPr>
      <w:bookmarkStart w:id="30" w:name="_Toc62208267"/>
      <w:bookmarkStart w:id="31" w:name="_Toc63452451"/>
      <w:bookmarkStart w:id="32" w:name="_Toc63587086"/>
      <w:r w:rsidRPr="0052271C">
        <w:rPr>
          <w:rFonts w:ascii="Times New Roman" w:eastAsiaTheme="minorHAnsi" w:hAnsi="Times New Roman"/>
          <w:b w:val="0"/>
          <w:iCs/>
          <w:sz w:val="24"/>
          <w:szCs w:val="24"/>
          <w:lang w:val="sr-Cyrl-RS" w:eastAsia="en-US"/>
        </w:rPr>
        <w:t xml:space="preserve">Б) </w:t>
      </w:r>
      <w:r w:rsidR="00C52235" w:rsidRPr="0052271C">
        <w:rPr>
          <w:rFonts w:ascii="Times New Roman" w:eastAsiaTheme="minorHAnsi" w:hAnsi="Times New Roman"/>
          <w:b w:val="0"/>
          <w:iCs/>
          <w:sz w:val="24"/>
          <w:szCs w:val="24"/>
          <w:lang w:val="sr-Cyrl-RS" w:eastAsia="en-US"/>
        </w:rPr>
        <w:t xml:space="preserve">Обухват надзора над </w:t>
      </w:r>
      <w:r w:rsidR="004F2855" w:rsidRPr="0052271C">
        <w:rPr>
          <w:rFonts w:ascii="Times New Roman" w:eastAsiaTheme="minorHAnsi" w:hAnsi="Times New Roman"/>
          <w:b w:val="0"/>
          <w:iCs/>
          <w:sz w:val="24"/>
          <w:szCs w:val="24"/>
          <w:lang w:val="sr-Cyrl-RS" w:eastAsia="en-US"/>
        </w:rPr>
        <w:t>ПСРС</w:t>
      </w:r>
      <w:bookmarkEnd w:id="30"/>
      <w:r w:rsidR="00355B73" w:rsidRPr="0052271C">
        <w:rPr>
          <w:rFonts w:ascii="Times New Roman" w:eastAsiaTheme="minorHAnsi" w:hAnsi="Times New Roman"/>
          <w:b w:val="0"/>
          <w:iCs/>
          <w:sz w:val="24"/>
          <w:szCs w:val="24"/>
          <w:lang w:val="sr-Cyrl-RS" w:eastAsia="en-US"/>
        </w:rPr>
        <w:t xml:space="preserve"> -</w:t>
      </w:r>
      <w:bookmarkStart w:id="33" w:name="_Toc62208268"/>
      <w:r w:rsidR="00355B73" w:rsidRPr="0052271C">
        <w:rPr>
          <w:rFonts w:ascii="Times New Roman" w:eastAsiaTheme="minorHAnsi" w:hAnsi="Times New Roman"/>
          <w:b w:val="0"/>
          <w:iCs/>
          <w:sz w:val="24"/>
          <w:szCs w:val="24"/>
          <w:lang w:val="sr-Cyrl-RS" w:eastAsia="en-US"/>
        </w:rPr>
        <w:t xml:space="preserve"> анализа стања и уочени недостаци</w:t>
      </w:r>
      <w:bookmarkEnd w:id="31"/>
      <w:bookmarkEnd w:id="32"/>
      <w:r w:rsidR="00355B73" w:rsidRPr="0052271C">
        <w:rPr>
          <w:rFonts w:ascii="Times New Roman" w:eastAsiaTheme="minorHAnsi" w:hAnsi="Times New Roman"/>
          <w:b w:val="0"/>
          <w:iCs/>
          <w:sz w:val="24"/>
          <w:szCs w:val="24"/>
          <w:lang w:val="sr-Cyrl-RS" w:eastAsia="en-US"/>
        </w:rPr>
        <w:t xml:space="preserve"> </w:t>
      </w:r>
      <w:bookmarkEnd w:id="33"/>
    </w:p>
    <w:p w14:paraId="17783FCD" w14:textId="424F0899" w:rsidR="00C52235" w:rsidRPr="0052271C" w:rsidRDefault="00C52235" w:rsidP="00D93305">
      <w:pPr>
        <w:spacing w:after="160" w:line="276" w:lineRule="auto"/>
        <w:ind w:firstLine="567"/>
        <w:jc w:val="both"/>
        <w:rPr>
          <w:rFonts w:eastAsiaTheme="minorHAnsi"/>
          <w:lang w:val="sr-Cyrl-RS" w:eastAsia="en-US"/>
        </w:rPr>
      </w:pPr>
      <w:r w:rsidRPr="0052271C">
        <w:rPr>
          <w:rFonts w:eastAsiaTheme="minorHAnsi"/>
          <w:lang w:val="sr-Cyrl-RS" w:eastAsia="en-US"/>
        </w:rPr>
        <w:t xml:space="preserve">Тренутно </w:t>
      </w:r>
      <w:r w:rsidR="002B0F5A" w:rsidRPr="0052271C">
        <w:rPr>
          <w:rFonts w:eastAsiaTheme="minorHAnsi"/>
          <w:lang w:val="sr-Cyrl-RS" w:eastAsia="en-US"/>
        </w:rPr>
        <w:t xml:space="preserve">је </w:t>
      </w:r>
      <w:r w:rsidR="00E94098" w:rsidRPr="0052271C">
        <w:rPr>
          <w:rFonts w:eastAsiaTheme="minorHAnsi"/>
          <w:lang w:val="sr-Cyrl-RS" w:eastAsia="en-US"/>
        </w:rPr>
        <w:t>у Републици Србији</w:t>
      </w:r>
      <w:r w:rsidRPr="0052271C">
        <w:rPr>
          <w:rFonts w:eastAsiaTheme="minorHAnsi"/>
          <w:lang w:val="sr-Cyrl-RS" w:eastAsia="en-US"/>
        </w:rPr>
        <w:t xml:space="preserve"> вршење надзора подељено између Министарства, Министарства финансија и </w:t>
      </w:r>
      <w:r w:rsidR="00B85ED8" w:rsidRPr="0052271C">
        <w:rPr>
          <w:rFonts w:eastAsiaTheme="minorHAnsi"/>
          <w:lang w:val="sr-Cyrl-RS" w:eastAsia="en-US"/>
        </w:rPr>
        <w:t xml:space="preserve">ресорних </w:t>
      </w:r>
      <w:r w:rsidR="001664CB" w:rsidRPr="0052271C">
        <w:rPr>
          <w:rFonts w:eastAsiaTheme="minorHAnsi"/>
          <w:lang w:val="sr-Cyrl-RS" w:eastAsia="en-US"/>
        </w:rPr>
        <w:t>министарстава</w:t>
      </w:r>
      <w:r w:rsidRPr="0052271C">
        <w:rPr>
          <w:rFonts w:eastAsiaTheme="minorHAnsi"/>
          <w:lang w:val="sr-Cyrl-RS" w:eastAsia="en-US"/>
        </w:rPr>
        <w:t xml:space="preserve"> и </w:t>
      </w:r>
      <w:r w:rsidR="00B17029" w:rsidRPr="0052271C">
        <w:rPr>
          <w:rFonts w:eastAsiaTheme="minorHAnsi"/>
          <w:lang w:val="sr-Cyrl-RS" w:eastAsia="en-US"/>
        </w:rPr>
        <w:t>не постоји свеобухватна</w:t>
      </w:r>
      <w:r w:rsidRPr="0052271C">
        <w:rPr>
          <w:rFonts w:eastAsiaTheme="minorHAnsi"/>
          <w:lang w:val="sr-Cyrl-RS" w:eastAsia="en-US"/>
        </w:rPr>
        <w:t xml:space="preserve"> одговорност за надзор над </w:t>
      </w:r>
      <w:r w:rsidR="00B17029" w:rsidRPr="0052271C">
        <w:rPr>
          <w:rFonts w:eastAsiaTheme="minorHAnsi"/>
          <w:lang w:val="sr-Cyrl-RS" w:eastAsia="en-US"/>
        </w:rPr>
        <w:t>ПСРС</w:t>
      </w:r>
      <w:r w:rsidRPr="0052271C">
        <w:rPr>
          <w:rFonts w:eastAsiaTheme="minorHAnsi"/>
          <w:lang w:val="sr-Cyrl-RS" w:eastAsia="en-US"/>
        </w:rPr>
        <w:t xml:space="preserve"> и координацију и укључивање других з</w:t>
      </w:r>
      <w:r w:rsidR="00B17029" w:rsidRPr="0052271C">
        <w:rPr>
          <w:rFonts w:eastAsiaTheme="minorHAnsi"/>
          <w:lang w:val="sr-Cyrl-RS" w:eastAsia="en-US"/>
        </w:rPr>
        <w:t>аинтересованих страна у оквиру д</w:t>
      </w:r>
      <w:r w:rsidRPr="0052271C">
        <w:rPr>
          <w:rFonts w:eastAsiaTheme="minorHAnsi"/>
          <w:lang w:val="sr-Cyrl-RS" w:eastAsia="en-US"/>
        </w:rPr>
        <w:t xml:space="preserve">ржаве. </w:t>
      </w:r>
    </w:p>
    <w:p w14:paraId="253CE271" w14:textId="2A13921F" w:rsidR="00C52235" w:rsidRPr="0052271C" w:rsidRDefault="00C52235" w:rsidP="00D93305">
      <w:pPr>
        <w:spacing w:after="160" w:line="276" w:lineRule="auto"/>
        <w:ind w:firstLine="567"/>
        <w:jc w:val="both"/>
        <w:rPr>
          <w:rFonts w:eastAsiaTheme="minorHAnsi"/>
          <w:lang w:val="sr-Cyrl-RS" w:eastAsia="en-US"/>
        </w:rPr>
      </w:pPr>
      <w:r w:rsidRPr="0052271C">
        <w:rPr>
          <w:rFonts w:eastAsiaTheme="minorHAnsi"/>
          <w:lang w:val="sr-Cyrl-RS" w:eastAsia="en-US"/>
        </w:rPr>
        <w:t xml:space="preserve">Влада врши власничка права </w:t>
      </w:r>
      <w:r w:rsidR="00EE18C7" w:rsidRPr="0052271C">
        <w:rPr>
          <w:rFonts w:eastAsiaTheme="minorHAnsi"/>
          <w:lang w:val="sr-Cyrl-RS" w:eastAsia="en-US"/>
        </w:rPr>
        <w:t>Републике Србије</w:t>
      </w:r>
      <w:r w:rsidRPr="0052271C">
        <w:rPr>
          <w:rFonts w:eastAsiaTheme="minorHAnsi"/>
          <w:lang w:val="sr-Cyrl-RS" w:eastAsia="en-US"/>
        </w:rPr>
        <w:t xml:space="preserve">, при чему постоје одговорности министарстава </w:t>
      </w:r>
      <w:r w:rsidR="00854C8D" w:rsidRPr="0052271C">
        <w:rPr>
          <w:rFonts w:eastAsiaTheme="minorHAnsi"/>
          <w:lang w:val="sr-Cyrl-RS" w:eastAsia="en-US"/>
        </w:rPr>
        <w:t>које</w:t>
      </w:r>
      <w:r w:rsidRPr="0052271C">
        <w:rPr>
          <w:rFonts w:eastAsiaTheme="minorHAnsi"/>
          <w:lang w:val="sr-Cyrl-RS" w:eastAsia="en-US"/>
        </w:rPr>
        <w:t xml:space="preserve"> захтевају коначну сагласност Владе. Министарство је </w:t>
      </w:r>
      <w:r w:rsidR="00B17029" w:rsidRPr="0052271C">
        <w:rPr>
          <w:rFonts w:eastAsiaTheme="minorHAnsi"/>
          <w:lang w:val="sr-Cyrl-RS" w:eastAsia="en-US"/>
        </w:rPr>
        <w:t xml:space="preserve">орган државне управе примарно </w:t>
      </w:r>
      <w:r w:rsidRPr="0052271C">
        <w:rPr>
          <w:rFonts w:eastAsiaTheme="minorHAnsi"/>
          <w:lang w:val="sr-Cyrl-RS" w:eastAsia="en-US"/>
        </w:rPr>
        <w:t xml:space="preserve">одговоран за власништво </w:t>
      </w:r>
      <w:r w:rsidR="00EE18C7" w:rsidRPr="0052271C">
        <w:rPr>
          <w:rFonts w:eastAsiaTheme="minorHAnsi"/>
          <w:lang w:val="sr-Cyrl-RS" w:eastAsia="en-US"/>
        </w:rPr>
        <w:t xml:space="preserve">над ПСРС </w:t>
      </w:r>
      <w:r w:rsidRPr="0052271C">
        <w:rPr>
          <w:rFonts w:eastAsiaTheme="minorHAnsi"/>
          <w:lang w:val="sr-Cyrl-RS" w:eastAsia="en-US"/>
        </w:rPr>
        <w:t xml:space="preserve">унутар овог оквира, </w:t>
      </w:r>
      <w:r w:rsidR="00DF2CE3" w:rsidRPr="0052271C">
        <w:rPr>
          <w:rFonts w:eastAsiaTheme="minorHAnsi"/>
          <w:lang w:val="sr-Cyrl-RS" w:eastAsia="en-US"/>
        </w:rPr>
        <w:t>а</w:t>
      </w:r>
      <w:r w:rsidRPr="0052271C">
        <w:rPr>
          <w:rFonts w:eastAsiaTheme="minorHAnsi"/>
          <w:lang w:val="sr-Cyrl-RS" w:eastAsia="en-US"/>
        </w:rPr>
        <w:t xml:space="preserve"> у одређеној мери су то Министарство фина</w:t>
      </w:r>
      <w:r w:rsidR="00922FBA" w:rsidRPr="0052271C">
        <w:rPr>
          <w:rFonts w:eastAsiaTheme="minorHAnsi"/>
          <w:lang w:val="sr-Cyrl-RS" w:eastAsia="en-US"/>
        </w:rPr>
        <w:t xml:space="preserve">нсија и </w:t>
      </w:r>
      <w:r w:rsidR="00DF2CE3" w:rsidRPr="0052271C">
        <w:rPr>
          <w:rFonts w:eastAsiaTheme="minorHAnsi"/>
          <w:lang w:val="sr-Cyrl-RS" w:eastAsia="en-US"/>
        </w:rPr>
        <w:t>ресорна</w:t>
      </w:r>
      <w:r w:rsidR="00922FBA" w:rsidRPr="0052271C">
        <w:rPr>
          <w:rFonts w:eastAsiaTheme="minorHAnsi"/>
          <w:lang w:val="sr-Cyrl-RS" w:eastAsia="en-US"/>
        </w:rPr>
        <w:t xml:space="preserve"> министарства.</w:t>
      </w:r>
    </w:p>
    <w:p w14:paraId="2BC7C79E" w14:textId="6E30C780" w:rsidR="00C52235" w:rsidRPr="0052271C" w:rsidRDefault="00C52235" w:rsidP="00D93305">
      <w:pPr>
        <w:spacing w:after="160" w:line="276" w:lineRule="auto"/>
        <w:ind w:firstLine="567"/>
        <w:jc w:val="both"/>
        <w:rPr>
          <w:rFonts w:eastAsiaTheme="minorHAnsi"/>
          <w:lang w:val="sr-Cyrl-RS" w:eastAsia="en-US"/>
        </w:rPr>
      </w:pPr>
      <w:r w:rsidRPr="0052271C">
        <w:rPr>
          <w:rFonts w:eastAsiaTheme="minorHAnsi"/>
          <w:lang w:val="sr-Cyrl-RS" w:eastAsia="en-US"/>
        </w:rPr>
        <w:lastRenderedPageBreak/>
        <w:t>Министарство финансија</w:t>
      </w:r>
      <w:r w:rsidR="002B0F5A" w:rsidRPr="0052271C">
        <w:rPr>
          <w:rFonts w:eastAsiaTheme="minorHAnsi"/>
          <w:lang w:val="sr-Cyrl-RS" w:eastAsia="en-US"/>
        </w:rPr>
        <w:t xml:space="preserve"> прати финансијски учинак </w:t>
      </w:r>
      <w:r w:rsidRPr="0052271C">
        <w:rPr>
          <w:rFonts w:eastAsiaTheme="minorHAnsi"/>
          <w:lang w:val="sr-Cyrl-RS" w:eastAsia="en-US"/>
        </w:rPr>
        <w:t xml:space="preserve">35 </w:t>
      </w:r>
      <w:r w:rsidR="002B0F5A" w:rsidRPr="0052271C">
        <w:rPr>
          <w:rFonts w:eastAsiaTheme="minorHAnsi"/>
          <w:lang w:val="sr-Cyrl-RS" w:eastAsia="en-US"/>
        </w:rPr>
        <w:t>ПСРС</w:t>
      </w:r>
      <w:r w:rsidRPr="0052271C">
        <w:rPr>
          <w:rFonts w:eastAsiaTheme="minorHAnsi"/>
          <w:lang w:val="sr-Cyrl-RS" w:eastAsia="en-US"/>
        </w:rPr>
        <w:t xml:space="preserve"> </w:t>
      </w:r>
      <w:r w:rsidR="002B0F5A" w:rsidRPr="0052271C">
        <w:rPr>
          <w:rFonts w:eastAsiaTheme="minorHAnsi"/>
          <w:lang w:val="sr-Cyrl-RS" w:eastAsia="en-US"/>
        </w:rPr>
        <w:t>који</w:t>
      </w:r>
      <w:r w:rsidRPr="0052271C">
        <w:rPr>
          <w:rFonts w:eastAsiaTheme="minorHAnsi"/>
          <w:lang w:val="sr-Cyrl-RS" w:eastAsia="en-US"/>
        </w:rPr>
        <w:t xml:space="preserve"> представљају најзначајнији фискални ризик за државу кроз Групу за праћење фискалних ризика јавног сектора и подстиче финансијско управљање и контролу и интерну ревизију кроз Централну јединицу за хармонизацију.</w:t>
      </w:r>
    </w:p>
    <w:p w14:paraId="2A41C594" w14:textId="57E10D06" w:rsidR="00C52235" w:rsidRPr="0052271C" w:rsidRDefault="00DF2CE3" w:rsidP="00D93305">
      <w:pPr>
        <w:spacing w:after="160" w:line="276" w:lineRule="auto"/>
        <w:ind w:firstLine="567"/>
        <w:jc w:val="both"/>
        <w:rPr>
          <w:rFonts w:eastAsiaTheme="minorHAnsi"/>
          <w:lang w:val="sr-Cyrl-RS" w:eastAsia="en-US"/>
        </w:rPr>
      </w:pPr>
      <w:r w:rsidRPr="0052271C">
        <w:rPr>
          <w:rFonts w:eastAsiaTheme="minorHAnsi"/>
          <w:lang w:val="sr-Cyrl-RS" w:eastAsia="en-US"/>
        </w:rPr>
        <w:t>Ресорна</w:t>
      </w:r>
      <w:r w:rsidR="00C52235" w:rsidRPr="0052271C">
        <w:rPr>
          <w:rFonts w:eastAsiaTheme="minorHAnsi"/>
          <w:lang w:val="sr-Cyrl-RS" w:eastAsia="en-US"/>
        </w:rPr>
        <w:t xml:space="preserve"> министарства прате пословање и пружање услуга самих </w:t>
      </w:r>
      <w:r w:rsidR="004F2855" w:rsidRPr="0052271C">
        <w:rPr>
          <w:rFonts w:eastAsiaTheme="minorHAnsi"/>
          <w:lang w:val="sr-Cyrl-RS" w:eastAsia="en-US"/>
        </w:rPr>
        <w:t xml:space="preserve">ПСРС </w:t>
      </w:r>
      <w:r w:rsidR="00BA1B63" w:rsidRPr="0052271C">
        <w:rPr>
          <w:rFonts w:eastAsiaTheme="minorHAnsi"/>
          <w:lang w:val="sr-Cyrl-RS" w:eastAsia="en-US"/>
        </w:rPr>
        <w:t>(тј.</w:t>
      </w:r>
      <w:r w:rsidR="00C52235" w:rsidRPr="0052271C">
        <w:rPr>
          <w:rFonts w:eastAsiaTheme="minorHAnsi"/>
          <w:lang w:val="sr-Cyrl-RS" w:eastAsia="en-US"/>
        </w:rPr>
        <w:t xml:space="preserve"> обавезе јавних услуга) и дају информације осталим министарствима </w:t>
      </w:r>
      <w:r w:rsidRPr="0052271C">
        <w:rPr>
          <w:rFonts w:eastAsiaTheme="minorHAnsi"/>
          <w:lang w:val="sr-Cyrl-RS" w:eastAsia="en-US"/>
        </w:rPr>
        <w:t xml:space="preserve">о питањима из њихове </w:t>
      </w:r>
      <w:r w:rsidR="00C52235" w:rsidRPr="0052271C">
        <w:rPr>
          <w:rFonts w:eastAsiaTheme="minorHAnsi"/>
          <w:lang w:val="sr-Cyrl-RS" w:eastAsia="en-US"/>
        </w:rPr>
        <w:t xml:space="preserve"> надлежности. </w:t>
      </w:r>
    </w:p>
    <w:p w14:paraId="0473F7D2" w14:textId="4A9A0199" w:rsidR="00B02069" w:rsidRPr="0052271C" w:rsidRDefault="00C52235" w:rsidP="00D93305">
      <w:pPr>
        <w:spacing w:after="160" w:line="276" w:lineRule="auto"/>
        <w:ind w:firstLine="567"/>
        <w:jc w:val="both"/>
        <w:rPr>
          <w:rFonts w:eastAsiaTheme="minorHAnsi"/>
          <w:lang w:val="sr-Cyrl-RS" w:eastAsia="en-US"/>
        </w:rPr>
      </w:pPr>
      <w:r w:rsidRPr="0052271C">
        <w:rPr>
          <w:rFonts w:eastAsiaTheme="minorHAnsi"/>
          <w:lang w:val="sr-Cyrl-RS" w:eastAsia="en-US"/>
        </w:rPr>
        <w:t xml:space="preserve">У досадашњој пракси примарне одговорности Министарства у овој области су двојаке: (1) приватизација и (2) надзор над јавним предузећима и другим </w:t>
      </w:r>
      <w:r w:rsidR="00A15FDD" w:rsidRPr="0052271C">
        <w:rPr>
          <w:rFonts w:eastAsiaTheme="minorHAnsi"/>
          <w:lang w:val="sr-Cyrl-RS" w:eastAsia="en-US"/>
        </w:rPr>
        <w:t xml:space="preserve">ПСРС </w:t>
      </w:r>
      <w:r w:rsidRPr="0052271C">
        <w:rPr>
          <w:rFonts w:eastAsiaTheme="minorHAnsi"/>
          <w:lang w:val="sr-Cyrl-RS" w:eastAsia="en-US"/>
        </w:rPr>
        <w:t xml:space="preserve">у власништву Републике Србије која обављају делатности од општег интереса. </w:t>
      </w:r>
    </w:p>
    <w:p w14:paraId="03015015" w14:textId="2AD5768D" w:rsidR="00E94098" w:rsidRPr="0052271C" w:rsidRDefault="00C52235" w:rsidP="00D93305">
      <w:pPr>
        <w:spacing w:after="160" w:line="276" w:lineRule="auto"/>
        <w:ind w:firstLine="567"/>
        <w:jc w:val="both"/>
        <w:rPr>
          <w:rFonts w:eastAsiaTheme="minorHAnsi"/>
          <w:lang w:val="sr-Cyrl-RS" w:eastAsia="en-US"/>
        </w:rPr>
      </w:pPr>
      <w:r w:rsidRPr="0052271C">
        <w:rPr>
          <w:rFonts w:eastAsiaTheme="minorHAnsi"/>
          <w:lang w:val="sr-Cyrl-RS" w:eastAsia="en-US"/>
        </w:rPr>
        <w:t>Министарство</w:t>
      </w:r>
      <w:r w:rsidR="00EE18C7" w:rsidRPr="0052271C">
        <w:rPr>
          <w:rFonts w:eastAsiaTheme="minorHAnsi"/>
          <w:lang w:val="sr-Cyrl-RS" w:eastAsia="en-US"/>
        </w:rPr>
        <w:t>,</w:t>
      </w:r>
      <w:r w:rsidRPr="0052271C">
        <w:rPr>
          <w:rFonts w:eastAsiaTheme="minorHAnsi"/>
          <w:lang w:val="sr-Cyrl-RS" w:eastAsia="en-US"/>
        </w:rPr>
        <w:t xml:space="preserve"> </w:t>
      </w:r>
      <w:r w:rsidR="00B02069" w:rsidRPr="0052271C">
        <w:rPr>
          <w:rFonts w:eastAsiaTheme="minorHAnsi"/>
          <w:lang w:val="sr-Cyrl-RS" w:eastAsia="en-US"/>
        </w:rPr>
        <w:t>поред осталог, прати</w:t>
      </w:r>
      <w:r w:rsidRPr="0052271C">
        <w:rPr>
          <w:rFonts w:eastAsiaTheme="minorHAnsi"/>
          <w:lang w:val="sr-Cyrl-RS" w:eastAsia="en-US"/>
        </w:rPr>
        <w:t xml:space="preserve"> </w:t>
      </w:r>
      <w:r w:rsidR="00B02069" w:rsidRPr="0052271C">
        <w:rPr>
          <w:rFonts w:eastAsiaTheme="minorHAnsi"/>
          <w:lang w:val="sr-Cyrl-RS" w:eastAsia="en-US"/>
        </w:rPr>
        <w:t>пословање</w:t>
      </w:r>
      <w:r w:rsidRPr="0052271C">
        <w:rPr>
          <w:rFonts w:eastAsiaTheme="minorHAnsi"/>
          <w:lang w:val="sr-Cyrl-RS" w:eastAsia="en-US"/>
        </w:rPr>
        <w:t xml:space="preserve"> јавних предузећа и </w:t>
      </w:r>
      <w:r w:rsidR="00A15FDD" w:rsidRPr="0052271C">
        <w:rPr>
          <w:rFonts w:eastAsiaTheme="minorHAnsi"/>
          <w:lang w:val="sr-Cyrl-RS" w:eastAsia="en-US"/>
        </w:rPr>
        <w:t>ПСРС</w:t>
      </w:r>
      <w:r w:rsidRPr="0052271C">
        <w:rPr>
          <w:rFonts w:eastAsiaTheme="minorHAnsi"/>
          <w:lang w:val="sr-Cyrl-RS" w:eastAsia="en-US"/>
        </w:rPr>
        <w:t xml:space="preserve"> кој</w:t>
      </w:r>
      <w:r w:rsidR="006A082B" w:rsidRPr="0052271C">
        <w:rPr>
          <w:rFonts w:eastAsiaTheme="minorHAnsi"/>
          <w:lang w:val="sr-Cyrl-RS" w:eastAsia="en-US"/>
        </w:rPr>
        <w:t>и</w:t>
      </w:r>
      <w:r w:rsidRPr="0052271C">
        <w:rPr>
          <w:rFonts w:eastAsiaTheme="minorHAnsi"/>
          <w:lang w:val="sr-Cyrl-RS" w:eastAsia="en-US"/>
        </w:rPr>
        <w:t xml:space="preserve"> обављају делатност од општег интереса, </w:t>
      </w:r>
      <w:r w:rsidR="00B02069" w:rsidRPr="0052271C">
        <w:rPr>
          <w:rFonts w:eastAsiaTheme="minorHAnsi"/>
          <w:lang w:val="sr-Cyrl-RS" w:eastAsia="en-US"/>
        </w:rPr>
        <w:t xml:space="preserve">као и </w:t>
      </w:r>
      <w:r w:rsidR="00A15FDD" w:rsidRPr="0052271C">
        <w:rPr>
          <w:rFonts w:eastAsiaTheme="minorHAnsi"/>
          <w:lang w:val="sr-Cyrl-RS" w:eastAsia="en-US"/>
        </w:rPr>
        <w:t>ПСРС</w:t>
      </w:r>
      <w:r w:rsidRPr="0052271C">
        <w:rPr>
          <w:rFonts w:eastAsiaTheme="minorHAnsi"/>
          <w:lang w:val="sr-Cyrl-RS" w:eastAsia="en-US"/>
        </w:rPr>
        <w:t xml:space="preserve"> кој</w:t>
      </w:r>
      <w:r w:rsidR="006A082B" w:rsidRPr="0052271C">
        <w:rPr>
          <w:rFonts w:eastAsiaTheme="minorHAnsi"/>
          <w:lang w:val="sr-Cyrl-RS" w:eastAsia="en-US"/>
        </w:rPr>
        <w:t>и</w:t>
      </w:r>
      <w:r w:rsidRPr="0052271C">
        <w:rPr>
          <w:rFonts w:eastAsiaTheme="minorHAnsi"/>
          <w:lang w:val="sr-Cyrl-RS" w:eastAsia="en-US"/>
        </w:rPr>
        <w:t xml:space="preserve"> су одређен</w:t>
      </w:r>
      <w:r w:rsidR="006A082B" w:rsidRPr="0052271C">
        <w:rPr>
          <w:rFonts w:eastAsiaTheme="minorHAnsi"/>
          <w:lang w:val="sr-Cyrl-RS" w:eastAsia="en-US"/>
        </w:rPr>
        <w:t>и</w:t>
      </w:r>
      <w:r w:rsidRPr="0052271C">
        <w:rPr>
          <w:rFonts w:eastAsiaTheme="minorHAnsi"/>
          <w:lang w:val="sr-Cyrl-RS" w:eastAsia="en-US"/>
        </w:rPr>
        <w:t xml:space="preserve"> да</w:t>
      </w:r>
      <w:r w:rsidR="00B02069" w:rsidRPr="0052271C">
        <w:rPr>
          <w:rFonts w:eastAsiaTheme="minorHAnsi"/>
          <w:lang w:val="sr-Cyrl-RS" w:eastAsia="en-US"/>
        </w:rPr>
        <w:t xml:space="preserve"> буду приватизован</w:t>
      </w:r>
      <w:r w:rsidR="006A082B" w:rsidRPr="0052271C">
        <w:rPr>
          <w:rFonts w:eastAsiaTheme="minorHAnsi"/>
          <w:lang w:val="sr-Cyrl-RS" w:eastAsia="en-US"/>
        </w:rPr>
        <w:t>и</w:t>
      </w:r>
      <w:r w:rsidR="00B02069" w:rsidRPr="0052271C">
        <w:rPr>
          <w:rFonts w:eastAsiaTheme="minorHAnsi"/>
          <w:lang w:val="sr-Cyrl-RS" w:eastAsia="en-US"/>
        </w:rPr>
        <w:t xml:space="preserve"> или да над њима буде покренут стечајни поступак путем</w:t>
      </w:r>
      <w:r w:rsidRPr="0052271C">
        <w:rPr>
          <w:rFonts w:eastAsiaTheme="minorHAnsi"/>
          <w:lang w:val="sr-Cyrl-RS" w:eastAsia="en-US"/>
        </w:rPr>
        <w:t xml:space="preserve"> сектора који су установљени унутар Министарства (</w:t>
      </w:r>
      <w:r w:rsidR="00B02069" w:rsidRPr="0052271C">
        <w:rPr>
          <w:rFonts w:eastAsiaTheme="minorHAnsi"/>
          <w:lang w:val="sr-Cyrl-RS" w:eastAsia="en-US"/>
        </w:rPr>
        <w:t xml:space="preserve">Сектор за контролу и надзор јавних предузећа који врши надзор над јавним предузећима и </w:t>
      </w:r>
      <w:r w:rsidRPr="0052271C">
        <w:rPr>
          <w:rFonts w:eastAsiaTheme="minorHAnsi"/>
          <w:lang w:val="sr-Cyrl-RS" w:eastAsia="en-US"/>
        </w:rPr>
        <w:t xml:space="preserve">Сектор за приватизацију, стечај и индустријски развој који врши надзор над </w:t>
      </w:r>
      <w:r w:rsidR="00A15FDD" w:rsidRPr="0052271C">
        <w:rPr>
          <w:rFonts w:eastAsiaTheme="minorHAnsi"/>
          <w:lang w:val="sr-Cyrl-RS" w:eastAsia="en-US"/>
        </w:rPr>
        <w:t>ПСРС</w:t>
      </w:r>
      <w:r w:rsidRPr="0052271C">
        <w:rPr>
          <w:rFonts w:eastAsiaTheme="minorHAnsi"/>
          <w:lang w:val="sr-Cyrl-RS" w:eastAsia="en-US"/>
        </w:rPr>
        <w:t xml:space="preserve"> кој</w:t>
      </w:r>
      <w:r w:rsidR="006A082B" w:rsidRPr="0052271C">
        <w:rPr>
          <w:rFonts w:eastAsiaTheme="minorHAnsi"/>
          <w:lang w:val="sr-Cyrl-RS" w:eastAsia="en-US"/>
        </w:rPr>
        <w:t>и</w:t>
      </w:r>
      <w:r w:rsidRPr="0052271C">
        <w:rPr>
          <w:rFonts w:eastAsiaTheme="minorHAnsi"/>
          <w:lang w:val="sr-Cyrl-RS" w:eastAsia="en-US"/>
        </w:rPr>
        <w:t xml:space="preserve"> ће бити приватизован</w:t>
      </w:r>
      <w:r w:rsidR="006A082B" w:rsidRPr="0052271C">
        <w:rPr>
          <w:rFonts w:eastAsiaTheme="minorHAnsi"/>
          <w:lang w:val="sr-Cyrl-RS" w:eastAsia="en-US"/>
        </w:rPr>
        <w:t>и</w:t>
      </w:r>
      <w:r w:rsidRPr="0052271C">
        <w:rPr>
          <w:rFonts w:eastAsiaTheme="minorHAnsi"/>
          <w:lang w:val="sr-Cyrl-RS" w:eastAsia="en-US"/>
        </w:rPr>
        <w:t>).</w:t>
      </w:r>
    </w:p>
    <w:p w14:paraId="6469DA91" w14:textId="4BA0AB61" w:rsidR="00E94098" w:rsidRPr="0052271C" w:rsidRDefault="00CF724F" w:rsidP="00E94098">
      <w:pPr>
        <w:spacing w:after="160" w:line="259" w:lineRule="auto"/>
        <w:jc w:val="center"/>
        <w:rPr>
          <w:rFonts w:eastAsiaTheme="minorHAnsi"/>
          <w:lang w:val="sr-Cyrl-RS" w:eastAsia="en-US"/>
        </w:rPr>
      </w:pPr>
      <w:r w:rsidRPr="0052271C">
        <w:rPr>
          <w:rFonts w:eastAsiaTheme="minorHAnsi"/>
          <w:noProof/>
          <w:lang w:val="en-US" w:eastAsia="en-US"/>
        </w:rPr>
        <w:drawing>
          <wp:inline distT="0" distB="0" distL="0" distR="0" wp14:anchorId="5B423CB9" wp14:editId="1ADDD77E">
            <wp:extent cx="5035550" cy="2969260"/>
            <wp:effectExtent l="0" t="0" r="0" b="254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35550" cy="2969260"/>
                    </a:xfrm>
                    <a:prstGeom prst="rect">
                      <a:avLst/>
                    </a:prstGeom>
                    <a:noFill/>
                  </pic:spPr>
                </pic:pic>
              </a:graphicData>
            </a:graphic>
          </wp:inline>
        </w:drawing>
      </w:r>
    </w:p>
    <w:p w14:paraId="10051095" w14:textId="538F681E" w:rsidR="00B02069" w:rsidRPr="0052271C" w:rsidRDefault="00C52235" w:rsidP="00E94098">
      <w:pPr>
        <w:spacing w:after="160" w:line="259" w:lineRule="auto"/>
        <w:ind w:firstLine="567"/>
        <w:jc w:val="both"/>
        <w:rPr>
          <w:rFonts w:eastAsiaTheme="minorHAnsi"/>
          <w:lang w:val="sr-Cyrl-RS" w:eastAsia="en-US"/>
        </w:rPr>
      </w:pPr>
      <w:r w:rsidRPr="0052271C">
        <w:rPr>
          <w:rFonts w:eastAsiaTheme="minorHAnsi"/>
          <w:lang w:val="sr-Cyrl-RS" w:eastAsia="en-US"/>
        </w:rPr>
        <w:t xml:space="preserve">Закон о јавним предузећима садржи </w:t>
      </w:r>
      <w:r w:rsidR="00B85CB8" w:rsidRPr="0052271C">
        <w:rPr>
          <w:rFonts w:eastAsiaTheme="minorHAnsi"/>
          <w:lang w:val="sr-Cyrl-RS" w:eastAsia="en-US"/>
        </w:rPr>
        <w:t>правни оквир којим је одређено да јавна</w:t>
      </w:r>
      <w:r w:rsidR="004F2855" w:rsidRPr="0052271C">
        <w:rPr>
          <w:rFonts w:eastAsiaTheme="minorHAnsi"/>
          <w:lang w:val="sr-Cyrl-RS" w:eastAsia="en-US"/>
        </w:rPr>
        <w:t xml:space="preserve"> предузећа и друштва капитала која обављају делатност од општег интереса</w:t>
      </w:r>
      <w:r w:rsidRPr="0052271C">
        <w:rPr>
          <w:rFonts w:eastAsiaTheme="minorHAnsi"/>
          <w:lang w:val="sr-Cyrl-RS" w:eastAsia="en-US"/>
        </w:rPr>
        <w:t xml:space="preserve"> </w:t>
      </w:r>
      <w:r w:rsidR="004F2855" w:rsidRPr="0052271C">
        <w:rPr>
          <w:rFonts w:eastAsiaTheme="minorHAnsi"/>
          <w:lang w:val="sr-Cyrl-RS" w:eastAsia="en-US"/>
        </w:rPr>
        <w:t>(</w:t>
      </w:r>
      <w:r w:rsidRPr="0052271C">
        <w:rPr>
          <w:rFonts w:eastAsiaTheme="minorHAnsi"/>
          <w:lang w:val="sr-Cyrl-RS" w:eastAsia="en-US"/>
        </w:rPr>
        <w:t xml:space="preserve">на која се </w:t>
      </w:r>
      <w:r w:rsidR="00B52D34" w:rsidRPr="0052271C">
        <w:rPr>
          <w:rFonts w:eastAsiaTheme="minorHAnsi"/>
          <w:lang w:val="sr-Cyrl-RS" w:eastAsia="en-US"/>
        </w:rPr>
        <w:t>тај закон</w:t>
      </w:r>
      <w:r w:rsidR="00B85CB8" w:rsidRPr="0052271C">
        <w:rPr>
          <w:rFonts w:eastAsiaTheme="minorHAnsi"/>
          <w:lang w:val="sr-Cyrl-RS" w:eastAsia="en-US"/>
        </w:rPr>
        <w:t xml:space="preserve"> </w:t>
      </w:r>
      <w:r w:rsidRPr="0052271C">
        <w:rPr>
          <w:rFonts w:eastAsiaTheme="minorHAnsi"/>
          <w:lang w:val="sr-Cyrl-RS" w:eastAsia="en-US"/>
        </w:rPr>
        <w:t>примењује</w:t>
      </w:r>
      <w:r w:rsidR="004F2855" w:rsidRPr="0052271C">
        <w:rPr>
          <w:rFonts w:eastAsiaTheme="minorHAnsi"/>
          <w:lang w:val="sr-Cyrl-RS" w:eastAsia="en-US"/>
        </w:rPr>
        <w:t>)</w:t>
      </w:r>
      <w:r w:rsidRPr="0052271C">
        <w:rPr>
          <w:rFonts w:eastAsiaTheme="minorHAnsi"/>
          <w:lang w:val="sr-Cyrl-RS" w:eastAsia="en-US"/>
        </w:rPr>
        <w:t xml:space="preserve"> припремају и усвајају дугорочне и средњорочне стратешке и развојне планове и годишње (или изузетно, трогодишње) програме пословања. Облик и садржај програма пословања у значајној</w:t>
      </w:r>
      <w:r w:rsidR="00B85CB8" w:rsidRPr="0052271C">
        <w:rPr>
          <w:rFonts w:eastAsiaTheme="minorHAnsi"/>
          <w:lang w:val="sr-Cyrl-RS" w:eastAsia="en-US"/>
        </w:rPr>
        <w:t xml:space="preserve"> мери је </w:t>
      </w:r>
      <w:r w:rsidR="00B52D34" w:rsidRPr="0052271C">
        <w:rPr>
          <w:rFonts w:eastAsiaTheme="minorHAnsi"/>
          <w:lang w:val="sr-Cyrl-RS" w:eastAsia="en-US"/>
        </w:rPr>
        <w:t>уређен</w:t>
      </w:r>
      <w:r w:rsidR="00B85CB8" w:rsidRPr="0052271C">
        <w:rPr>
          <w:rFonts w:eastAsiaTheme="minorHAnsi"/>
          <w:lang w:val="sr-Cyrl-RS" w:eastAsia="en-US"/>
        </w:rPr>
        <w:t xml:space="preserve"> </w:t>
      </w:r>
      <w:r w:rsidR="00B52D34" w:rsidRPr="0052271C">
        <w:rPr>
          <w:rFonts w:eastAsiaTheme="minorHAnsi"/>
          <w:lang w:val="sr-Cyrl-RS" w:eastAsia="en-US"/>
        </w:rPr>
        <w:t>у</w:t>
      </w:r>
      <w:r w:rsidR="00B85CB8" w:rsidRPr="0052271C">
        <w:rPr>
          <w:rFonts w:eastAsiaTheme="minorHAnsi"/>
          <w:lang w:val="sr-Cyrl-RS" w:eastAsia="en-US"/>
        </w:rPr>
        <w:t>редбом којом се утврђују елементи</w:t>
      </w:r>
      <w:r w:rsidR="00B85CB8" w:rsidRPr="0052271C">
        <w:rPr>
          <w:lang w:val="sr-Cyrl-RS"/>
        </w:rPr>
        <w:t xml:space="preserve"> годишњег програма пословања или трогодишњег програма пословања за јавна предузећа и друг</w:t>
      </w:r>
      <w:r w:rsidR="00126CAA" w:rsidRPr="0052271C">
        <w:rPr>
          <w:lang w:val="sr-Cyrl-RS"/>
        </w:rPr>
        <w:t>е</w:t>
      </w:r>
      <w:r w:rsidR="00B85CB8" w:rsidRPr="0052271C">
        <w:rPr>
          <w:lang w:val="sr-Cyrl-RS"/>
        </w:rPr>
        <w:t xml:space="preserve"> </w:t>
      </w:r>
      <w:r w:rsidR="00A15FDD" w:rsidRPr="0052271C">
        <w:rPr>
          <w:lang w:val="sr-Cyrl-RS"/>
        </w:rPr>
        <w:t>ПСРС</w:t>
      </w:r>
      <w:r w:rsidR="00B85CB8" w:rsidRPr="0052271C">
        <w:rPr>
          <w:lang w:val="sr-Cyrl-RS"/>
        </w:rPr>
        <w:t xml:space="preserve"> кој</w:t>
      </w:r>
      <w:r w:rsidR="006A082B" w:rsidRPr="0052271C">
        <w:rPr>
          <w:lang w:val="sr-Cyrl-RS"/>
        </w:rPr>
        <w:t>и</w:t>
      </w:r>
      <w:r w:rsidR="00B85CB8" w:rsidRPr="0052271C">
        <w:rPr>
          <w:lang w:val="sr-Cyrl-RS"/>
        </w:rPr>
        <w:t xml:space="preserve"> обављају делатности од општег </w:t>
      </w:r>
      <w:r w:rsidR="00831B67" w:rsidRPr="0052271C">
        <w:rPr>
          <w:lang w:val="sr-Cyrl-RS"/>
        </w:rPr>
        <w:t>интереса, а</w:t>
      </w:r>
      <w:r w:rsidR="00B85CB8" w:rsidRPr="0052271C">
        <w:rPr>
          <w:lang w:val="sr-Cyrl-RS"/>
        </w:rPr>
        <w:t xml:space="preserve"> која се доноси за сваку календарску годину</w:t>
      </w:r>
      <w:r w:rsidR="00B85CB8" w:rsidRPr="0052271C">
        <w:rPr>
          <w:rFonts w:eastAsiaTheme="minorHAnsi"/>
          <w:lang w:val="sr-Cyrl-RS" w:eastAsia="en-US"/>
        </w:rPr>
        <w:t>.</w:t>
      </w:r>
      <w:r w:rsidRPr="0052271C">
        <w:rPr>
          <w:rFonts w:eastAsiaTheme="minorHAnsi"/>
          <w:lang w:val="sr-Cyrl-RS" w:eastAsia="en-US"/>
        </w:rPr>
        <w:t xml:space="preserve"> </w:t>
      </w:r>
      <w:r w:rsidR="00B52D34" w:rsidRPr="0052271C">
        <w:rPr>
          <w:rFonts w:eastAsiaTheme="minorHAnsi"/>
          <w:lang w:val="sr-Cyrl-RS" w:eastAsia="en-US"/>
        </w:rPr>
        <w:t>Р</w:t>
      </w:r>
      <w:r w:rsidRPr="0052271C">
        <w:rPr>
          <w:rFonts w:eastAsiaTheme="minorHAnsi"/>
          <w:lang w:val="sr-Cyrl-RS" w:eastAsia="en-US"/>
        </w:rPr>
        <w:t xml:space="preserve">есорна министарства дају потребне информације за израду програма пословања у погледу његових елемената као што су циљеви, мере, кључни показатељи учинка, планирани приходи и расходи, планирани трошкови запошљавања, планирана </w:t>
      </w:r>
      <w:r w:rsidR="004F2855" w:rsidRPr="0052271C">
        <w:rPr>
          <w:rFonts w:eastAsiaTheme="minorHAnsi"/>
          <w:lang w:val="sr-Cyrl-RS" w:eastAsia="en-US"/>
        </w:rPr>
        <w:t>расподела добити</w:t>
      </w:r>
      <w:r w:rsidRPr="0052271C">
        <w:rPr>
          <w:rFonts w:eastAsiaTheme="minorHAnsi"/>
          <w:lang w:val="sr-Cyrl-RS" w:eastAsia="en-US"/>
        </w:rPr>
        <w:t xml:space="preserve">, итд. </w:t>
      </w:r>
    </w:p>
    <w:p w14:paraId="4CD26DE2" w14:textId="765A70A7" w:rsidR="00B02069" w:rsidRPr="0052271C" w:rsidRDefault="00B02069" w:rsidP="00E94098">
      <w:pPr>
        <w:spacing w:after="160" w:line="259" w:lineRule="auto"/>
        <w:ind w:firstLine="567"/>
        <w:jc w:val="both"/>
        <w:rPr>
          <w:rFonts w:eastAsiaTheme="minorHAnsi"/>
          <w:lang w:val="sr-Cyrl-RS" w:eastAsia="en-US"/>
        </w:rPr>
      </w:pPr>
      <w:r w:rsidRPr="0052271C">
        <w:rPr>
          <w:rFonts w:eastAsiaTheme="minorHAnsi"/>
          <w:lang w:val="sr-Cyrl-RS" w:eastAsia="en-US"/>
        </w:rPr>
        <w:lastRenderedPageBreak/>
        <w:t>На тај начин су дефинисани</w:t>
      </w:r>
      <w:r w:rsidR="00E10447" w:rsidRPr="0052271C">
        <w:rPr>
          <w:rFonts w:eastAsiaTheme="minorHAnsi"/>
          <w:lang w:val="sr-Cyrl-RS" w:eastAsia="en-US"/>
        </w:rPr>
        <w:t xml:space="preserve"> „</w:t>
      </w:r>
      <w:r w:rsidR="00C52235" w:rsidRPr="0052271C">
        <w:rPr>
          <w:rFonts w:eastAsiaTheme="minorHAnsi"/>
          <w:lang w:val="sr-Cyrl-RS" w:eastAsia="en-US"/>
        </w:rPr>
        <w:t>хоризонталн</w:t>
      </w:r>
      <w:r w:rsidRPr="0052271C">
        <w:rPr>
          <w:rFonts w:eastAsiaTheme="minorHAnsi"/>
          <w:lang w:val="sr-Cyrl-RS" w:eastAsia="en-US"/>
        </w:rPr>
        <w:t>и” индикатори</w:t>
      </w:r>
      <w:r w:rsidR="00C52235" w:rsidRPr="0052271C">
        <w:rPr>
          <w:rFonts w:eastAsiaTheme="minorHAnsi"/>
          <w:lang w:val="sr-Cyrl-RS" w:eastAsia="en-US"/>
        </w:rPr>
        <w:t xml:space="preserve"> успешности пословања за </w:t>
      </w:r>
      <w:r w:rsidR="00B85CB8" w:rsidRPr="0052271C">
        <w:rPr>
          <w:rFonts w:eastAsiaTheme="minorHAnsi"/>
          <w:lang w:val="sr-Cyrl-RS" w:eastAsia="en-US"/>
        </w:rPr>
        <w:t>ПСРС</w:t>
      </w:r>
      <w:r w:rsidR="00C52235" w:rsidRPr="0052271C">
        <w:rPr>
          <w:rFonts w:eastAsiaTheme="minorHAnsi"/>
          <w:lang w:val="sr-Cyrl-RS" w:eastAsia="en-US"/>
        </w:rPr>
        <w:t xml:space="preserve"> на кој</w:t>
      </w:r>
      <w:r w:rsidR="006A082B" w:rsidRPr="0052271C">
        <w:rPr>
          <w:rFonts w:eastAsiaTheme="minorHAnsi"/>
          <w:lang w:val="sr-Cyrl-RS" w:eastAsia="en-US"/>
        </w:rPr>
        <w:t>е</w:t>
      </w:r>
      <w:r w:rsidR="00C52235" w:rsidRPr="0052271C">
        <w:rPr>
          <w:rFonts w:eastAsiaTheme="minorHAnsi"/>
          <w:lang w:val="sr-Cyrl-RS" w:eastAsia="en-US"/>
        </w:rPr>
        <w:t xml:space="preserve"> се примењује Закон о </w:t>
      </w:r>
      <w:r w:rsidRPr="0052271C">
        <w:rPr>
          <w:rFonts w:eastAsiaTheme="minorHAnsi"/>
          <w:lang w:val="sr-Cyrl-RS" w:eastAsia="en-US"/>
        </w:rPr>
        <w:t>јавним предузећима, док такви и</w:t>
      </w:r>
      <w:r w:rsidR="00C52235" w:rsidRPr="0052271C">
        <w:rPr>
          <w:rFonts w:eastAsiaTheme="minorHAnsi"/>
          <w:lang w:val="sr-Cyrl-RS" w:eastAsia="en-US"/>
        </w:rPr>
        <w:t>н</w:t>
      </w:r>
      <w:r w:rsidRPr="0052271C">
        <w:rPr>
          <w:rFonts w:eastAsiaTheme="minorHAnsi"/>
          <w:lang w:val="sr-Cyrl-RS" w:eastAsia="en-US"/>
        </w:rPr>
        <w:t>д</w:t>
      </w:r>
      <w:r w:rsidR="00C52235" w:rsidRPr="0052271C">
        <w:rPr>
          <w:rFonts w:eastAsiaTheme="minorHAnsi"/>
          <w:lang w:val="sr-Cyrl-RS" w:eastAsia="en-US"/>
        </w:rPr>
        <w:t>икатори не постоје за остал</w:t>
      </w:r>
      <w:r w:rsidR="006A082B" w:rsidRPr="0052271C">
        <w:rPr>
          <w:rFonts w:eastAsiaTheme="minorHAnsi"/>
          <w:lang w:val="sr-Cyrl-RS" w:eastAsia="en-US"/>
        </w:rPr>
        <w:t>е</w:t>
      </w:r>
      <w:r w:rsidR="00C52235" w:rsidRPr="0052271C">
        <w:rPr>
          <w:rFonts w:eastAsiaTheme="minorHAnsi"/>
          <w:lang w:val="sr-Cyrl-RS" w:eastAsia="en-US"/>
        </w:rPr>
        <w:t xml:space="preserve"> </w:t>
      </w:r>
      <w:r w:rsidR="00B85CB8" w:rsidRPr="0052271C">
        <w:rPr>
          <w:rFonts w:eastAsiaTheme="minorHAnsi"/>
          <w:lang w:val="sr-Cyrl-RS" w:eastAsia="en-US"/>
        </w:rPr>
        <w:t xml:space="preserve">ПСРС </w:t>
      </w:r>
      <w:r w:rsidR="004F2855" w:rsidRPr="0052271C">
        <w:rPr>
          <w:rFonts w:eastAsiaTheme="minorHAnsi"/>
          <w:lang w:val="sr-Cyrl-RS" w:eastAsia="en-US"/>
        </w:rPr>
        <w:t>на кој</w:t>
      </w:r>
      <w:r w:rsidR="006A082B" w:rsidRPr="0052271C">
        <w:rPr>
          <w:rFonts w:eastAsiaTheme="minorHAnsi"/>
          <w:lang w:val="sr-Cyrl-RS" w:eastAsia="en-US"/>
        </w:rPr>
        <w:t>е</w:t>
      </w:r>
      <w:r w:rsidR="004F2855" w:rsidRPr="0052271C">
        <w:rPr>
          <w:rFonts w:eastAsiaTheme="minorHAnsi"/>
          <w:lang w:val="sr-Cyrl-RS" w:eastAsia="en-US"/>
        </w:rPr>
        <w:t xml:space="preserve"> се </w:t>
      </w:r>
      <w:r w:rsidR="002E458B" w:rsidRPr="0052271C">
        <w:rPr>
          <w:rFonts w:eastAsiaTheme="minorHAnsi"/>
          <w:lang w:val="sr-Cyrl-RS" w:eastAsia="en-US"/>
        </w:rPr>
        <w:t>т</w:t>
      </w:r>
      <w:r w:rsidR="004F2855" w:rsidRPr="0052271C">
        <w:rPr>
          <w:rFonts w:eastAsiaTheme="minorHAnsi"/>
          <w:lang w:val="sr-Cyrl-RS" w:eastAsia="en-US"/>
        </w:rPr>
        <w:t>ај закон не примењује.</w:t>
      </w:r>
      <w:r w:rsidR="00C52235" w:rsidRPr="0052271C">
        <w:rPr>
          <w:rFonts w:eastAsiaTheme="minorHAnsi"/>
          <w:lang w:val="sr-Cyrl-RS" w:eastAsia="en-US"/>
        </w:rPr>
        <w:t xml:space="preserve"> </w:t>
      </w:r>
    </w:p>
    <w:p w14:paraId="59995023" w14:textId="3A69AE01" w:rsidR="00C52235" w:rsidRPr="0052271C" w:rsidRDefault="00C52235" w:rsidP="00E94098">
      <w:pPr>
        <w:spacing w:after="160" w:line="259" w:lineRule="auto"/>
        <w:ind w:firstLine="567"/>
        <w:jc w:val="both"/>
        <w:rPr>
          <w:rFonts w:eastAsiaTheme="minorHAnsi"/>
          <w:lang w:val="sr-Cyrl-RS" w:eastAsia="en-US"/>
        </w:rPr>
      </w:pPr>
      <w:r w:rsidRPr="0052271C">
        <w:rPr>
          <w:rFonts w:eastAsiaTheme="minorHAnsi"/>
          <w:lang w:val="sr-Cyrl-RS" w:eastAsia="en-US"/>
        </w:rPr>
        <w:t xml:space="preserve">Такође, </w:t>
      </w:r>
      <w:r w:rsidR="002E458B" w:rsidRPr="0052271C">
        <w:rPr>
          <w:rFonts w:eastAsiaTheme="minorHAnsi"/>
          <w:lang w:val="sr-Cyrl-RS" w:eastAsia="en-US"/>
        </w:rPr>
        <w:t>Законом о јавним предузећима прописано је</w:t>
      </w:r>
      <w:r w:rsidRPr="0052271C">
        <w:rPr>
          <w:rFonts w:eastAsiaTheme="minorHAnsi"/>
          <w:lang w:val="sr-Cyrl-RS" w:eastAsia="en-US"/>
        </w:rPr>
        <w:t xml:space="preserve"> да је јавно предузеће чији је оснивач Република Србија дужно да Министарству доставља тромесечне извештаје о реализацији годишњег, односно</w:t>
      </w:r>
      <w:r w:rsidR="005C22EC" w:rsidRPr="0052271C">
        <w:rPr>
          <w:rFonts w:eastAsiaTheme="minorHAnsi"/>
          <w:lang w:val="sr-Cyrl-RS" w:eastAsia="en-US"/>
        </w:rPr>
        <w:t xml:space="preserve"> трогодишњег програма пословања,</w:t>
      </w:r>
      <w:r w:rsidR="00B02069" w:rsidRPr="0052271C">
        <w:rPr>
          <w:rStyle w:val="FootnoteReference"/>
          <w:rFonts w:eastAsiaTheme="minorHAnsi"/>
          <w:lang w:val="sr-Cyrl-RS" w:eastAsia="en-US"/>
        </w:rPr>
        <w:footnoteReference w:id="22"/>
      </w:r>
      <w:r w:rsidR="00B02069" w:rsidRPr="0052271C">
        <w:rPr>
          <w:rFonts w:eastAsiaTheme="minorHAnsi"/>
          <w:lang w:val="sr-Cyrl-RS" w:eastAsia="en-US"/>
        </w:rPr>
        <w:t xml:space="preserve"> а та обавез</w:t>
      </w:r>
      <w:r w:rsidR="002E458B" w:rsidRPr="0052271C">
        <w:rPr>
          <w:rFonts w:eastAsiaTheme="minorHAnsi"/>
          <w:lang w:val="sr-Cyrl-RS" w:eastAsia="en-US"/>
        </w:rPr>
        <w:t>а</w:t>
      </w:r>
      <w:r w:rsidR="00B02069" w:rsidRPr="0052271C">
        <w:rPr>
          <w:rFonts w:eastAsiaTheme="minorHAnsi"/>
          <w:lang w:val="sr-Cyrl-RS" w:eastAsia="en-US"/>
        </w:rPr>
        <w:t xml:space="preserve"> </w:t>
      </w:r>
      <w:r w:rsidR="002E458B" w:rsidRPr="0052271C">
        <w:rPr>
          <w:rFonts w:eastAsiaTheme="minorHAnsi"/>
          <w:lang w:val="sr-Cyrl-RS" w:eastAsia="en-US"/>
        </w:rPr>
        <w:t>није прописана</w:t>
      </w:r>
      <w:r w:rsidR="00B02069" w:rsidRPr="0052271C">
        <w:rPr>
          <w:rFonts w:eastAsiaTheme="minorHAnsi"/>
          <w:lang w:val="sr-Cyrl-RS" w:eastAsia="en-US"/>
        </w:rPr>
        <w:t xml:space="preserve"> за остал</w:t>
      </w:r>
      <w:r w:rsidR="006A082B" w:rsidRPr="0052271C">
        <w:rPr>
          <w:rFonts w:eastAsiaTheme="minorHAnsi"/>
          <w:lang w:val="sr-Cyrl-RS" w:eastAsia="en-US"/>
        </w:rPr>
        <w:t>е</w:t>
      </w:r>
      <w:r w:rsidR="00B02069" w:rsidRPr="0052271C">
        <w:rPr>
          <w:rFonts w:eastAsiaTheme="minorHAnsi"/>
          <w:lang w:val="sr-Cyrl-RS" w:eastAsia="en-US"/>
        </w:rPr>
        <w:t xml:space="preserve"> </w:t>
      </w:r>
      <w:r w:rsidR="00B85CB8" w:rsidRPr="0052271C">
        <w:rPr>
          <w:rFonts w:eastAsiaTheme="minorHAnsi"/>
          <w:lang w:val="sr-Cyrl-RS" w:eastAsia="en-US"/>
        </w:rPr>
        <w:t>ПСРС</w:t>
      </w:r>
      <w:r w:rsidR="002E458B" w:rsidRPr="0052271C">
        <w:rPr>
          <w:rFonts w:eastAsiaTheme="minorHAnsi"/>
          <w:lang w:val="sr-Cyrl-RS" w:eastAsia="en-US"/>
        </w:rPr>
        <w:t>,</w:t>
      </w:r>
      <w:r w:rsidR="00B85CB8" w:rsidRPr="0052271C">
        <w:rPr>
          <w:rFonts w:eastAsiaTheme="minorHAnsi"/>
          <w:lang w:val="sr-Cyrl-RS" w:eastAsia="en-US"/>
        </w:rPr>
        <w:t xml:space="preserve"> </w:t>
      </w:r>
      <w:r w:rsidR="004F2855" w:rsidRPr="0052271C">
        <w:rPr>
          <w:rFonts w:eastAsiaTheme="minorHAnsi"/>
          <w:lang w:val="sr-Cyrl-RS" w:eastAsia="en-US"/>
        </w:rPr>
        <w:t>на кој</w:t>
      </w:r>
      <w:r w:rsidR="006A082B" w:rsidRPr="0052271C">
        <w:rPr>
          <w:rFonts w:eastAsiaTheme="minorHAnsi"/>
          <w:lang w:val="sr-Cyrl-RS" w:eastAsia="en-US"/>
        </w:rPr>
        <w:t>е</w:t>
      </w:r>
      <w:r w:rsidR="004F2855" w:rsidRPr="0052271C">
        <w:rPr>
          <w:rFonts w:eastAsiaTheme="minorHAnsi"/>
          <w:lang w:val="sr-Cyrl-RS" w:eastAsia="en-US"/>
        </w:rPr>
        <w:t xml:space="preserve"> се </w:t>
      </w:r>
      <w:r w:rsidR="002E458B" w:rsidRPr="0052271C">
        <w:rPr>
          <w:rFonts w:eastAsiaTheme="minorHAnsi"/>
          <w:lang w:val="sr-Cyrl-RS" w:eastAsia="en-US"/>
        </w:rPr>
        <w:t>т</w:t>
      </w:r>
      <w:r w:rsidR="004F2855" w:rsidRPr="0052271C">
        <w:rPr>
          <w:rFonts w:eastAsiaTheme="minorHAnsi"/>
          <w:lang w:val="sr-Cyrl-RS" w:eastAsia="en-US"/>
        </w:rPr>
        <w:t>ај закон не примењује</w:t>
      </w:r>
      <w:r w:rsidR="00B02069" w:rsidRPr="0052271C">
        <w:rPr>
          <w:rFonts w:eastAsiaTheme="minorHAnsi"/>
          <w:lang w:val="sr-Cyrl-RS" w:eastAsia="en-US"/>
        </w:rPr>
        <w:t xml:space="preserve">. </w:t>
      </w:r>
    </w:p>
    <w:p w14:paraId="69A43849" w14:textId="159003D3" w:rsidR="00C52235" w:rsidRPr="0052271C" w:rsidRDefault="00C52235" w:rsidP="00E94098">
      <w:pPr>
        <w:spacing w:after="160" w:line="259" w:lineRule="auto"/>
        <w:ind w:firstLine="567"/>
        <w:jc w:val="both"/>
        <w:rPr>
          <w:rFonts w:eastAsiaTheme="minorHAnsi"/>
          <w:lang w:val="sr-Cyrl-RS" w:eastAsia="en-US"/>
        </w:rPr>
      </w:pPr>
      <w:r w:rsidRPr="0052271C">
        <w:rPr>
          <w:rFonts w:eastAsiaTheme="minorHAnsi"/>
          <w:lang w:val="sr-Cyrl-RS" w:eastAsia="en-US"/>
        </w:rPr>
        <w:t xml:space="preserve">За </w:t>
      </w:r>
      <w:r w:rsidR="004F2855" w:rsidRPr="0052271C">
        <w:rPr>
          <w:rFonts w:eastAsiaTheme="minorHAnsi"/>
          <w:lang w:val="sr-Cyrl-RS" w:eastAsia="en-US"/>
        </w:rPr>
        <w:t>ПСРС</w:t>
      </w:r>
      <w:r w:rsidRPr="0052271C">
        <w:rPr>
          <w:rFonts w:eastAsiaTheme="minorHAnsi"/>
          <w:lang w:val="sr-Cyrl-RS" w:eastAsia="en-US"/>
        </w:rPr>
        <w:t xml:space="preserve"> кој</w:t>
      </w:r>
      <w:r w:rsidR="006A082B" w:rsidRPr="0052271C">
        <w:rPr>
          <w:rFonts w:eastAsiaTheme="minorHAnsi"/>
          <w:lang w:val="sr-Cyrl-RS" w:eastAsia="en-US"/>
        </w:rPr>
        <w:t>и</w:t>
      </w:r>
      <w:r w:rsidRPr="0052271C">
        <w:rPr>
          <w:rFonts w:eastAsiaTheme="minorHAnsi"/>
          <w:lang w:val="sr-Cyrl-RS" w:eastAsia="en-US"/>
        </w:rPr>
        <w:t xml:space="preserve"> нису обухваћен</w:t>
      </w:r>
      <w:r w:rsidR="006A082B" w:rsidRPr="0052271C">
        <w:rPr>
          <w:rFonts w:eastAsiaTheme="minorHAnsi"/>
          <w:lang w:val="sr-Cyrl-RS" w:eastAsia="en-US"/>
        </w:rPr>
        <w:t>и</w:t>
      </w:r>
      <w:r w:rsidRPr="0052271C">
        <w:rPr>
          <w:rFonts w:eastAsiaTheme="minorHAnsi"/>
          <w:lang w:val="sr-Cyrl-RS" w:eastAsia="en-US"/>
        </w:rPr>
        <w:t xml:space="preserve"> Законом о јавним предузећима, </w:t>
      </w:r>
      <w:r w:rsidR="004F2855" w:rsidRPr="0052271C">
        <w:rPr>
          <w:rFonts w:eastAsiaTheme="minorHAnsi"/>
          <w:lang w:val="sr-Cyrl-RS" w:eastAsia="en-US"/>
        </w:rPr>
        <w:t xml:space="preserve">у постојећем правном оквиру </w:t>
      </w:r>
      <w:r w:rsidRPr="0052271C">
        <w:rPr>
          <w:rFonts w:eastAsiaTheme="minorHAnsi"/>
          <w:lang w:val="sr-Cyrl-RS" w:eastAsia="en-US"/>
        </w:rPr>
        <w:t>не постоје посебни захтеви у погледу припреме стратегије и планова пословања, усмеравања и постављања циљева од стране државе. Закључено је да не постоји јасна обавеза за св</w:t>
      </w:r>
      <w:r w:rsidR="006A082B" w:rsidRPr="0052271C">
        <w:rPr>
          <w:rFonts w:eastAsiaTheme="minorHAnsi"/>
          <w:lang w:val="sr-Cyrl-RS" w:eastAsia="en-US"/>
        </w:rPr>
        <w:t>е</w:t>
      </w:r>
      <w:r w:rsidRPr="0052271C">
        <w:rPr>
          <w:rFonts w:eastAsiaTheme="minorHAnsi"/>
          <w:lang w:val="sr-Cyrl-RS" w:eastAsia="en-US"/>
        </w:rPr>
        <w:t xml:space="preserve"> </w:t>
      </w:r>
      <w:r w:rsidR="00173A96" w:rsidRPr="0052271C">
        <w:rPr>
          <w:rFonts w:eastAsiaTheme="minorHAnsi"/>
          <w:lang w:val="sr-Cyrl-RS" w:eastAsia="en-US"/>
        </w:rPr>
        <w:t>ПСРС</w:t>
      </w:r>
      <w:r w:rsidRPr="0052271C">
        <w:rPr>
          <w:rFonts w:eastAsiaTheme="minorHAnsi"/>
          <w:lang w:val="sr-Cyrl-RS" w:eastAsia="en-US"/>
        </w:rPr>
        <w:t xml:space="preserve"> да припремају стратешке планове. Такође, </w:t>
      </w:r>
      <w:r w:rsidR="00173A96" w:rsidRPr="0052271C">
        <w:rPr>
          <w:rFonts w:eastAsiaTheme="minorHAnsi"/>
          <w:lang w:val="sr-Cyrl-RS" w:eastAsia="en-US"/>
        </w:rPr>
        <w:t>ПСРС</w:t>
      </w:r>
      <w:r w:rsidRPr="0052271C">
        <w:rPr>
          <w:rFonts w:eastAsiaTheme="minorHAnsi"/>
          <w:lang w:val="sr-Cyrl-RS" w:eastAsia="en-US"/>
        </w:rPr>
        <w:t xml:space="preserve"> кој</w:t>
      </w:r>
      <w:r w:rsidR="006A082B" w:rsidRPr="0052271C">
        <w:rPr>
          <w:rFonts w:eastAsiaTheme="minorHAnsi"/>
          <w:lang w:val="sr-Cyrl-RS" w:eastAsia="en-US"/>
        </w:rPr>
        <w:t>и</w:t>
      </w:r>
      <w:r w:rsidRPr="0052271C">
        <w:rPr>
          <w:rFonts w:eastAsiaTheme="minorHAnsi"/>
          <w:lang w:val="sr-Cyrl-RS" w:eastAsia="en-US"/>
        </w:rPr>
        <w:t xml:space="preserve"> нису обухваћен</w:t>
      </w:r>
      <w:r w:rsidR="006A082B" w:rsidRPr="0052271C">
        <w:rPr>
          <w:rFonts w:eastAsiaTheme="minorHAnsi"/>
          <w:lang w:val="sr-Cyrl-RS" w:eastAsia="en-US"/>
        </w:rPr>
        <w:t>и</w:t>
      </w:r>
      <w:r w:rsidRPr="0052271C">
        <w:rPr>
          <w:rFonts w:eastAsiaTheme="minorHAnsi"/>
          <w:lang w:val="sr-Cyrl-RS" w:eastAsia="en-US"/>
        </w:rPr>
        <w:t xml:space="preserve"> Законом о јавним предузећима немају јасно дефинисану обавезу извештавања оснивача о свом пословању, о остварењу планираних активности и кључних показатеља успеха пословања. </w:t>
      </w:r>
    </w:p>
    <w:p w14:paraId="79EC1C38" w14:textId="110EF589" w:rsidR="00922FBA" w:rsidRPr="0052271C" w:rsidRDefault="00CF724F" w:rsidP="007A668E">
      <w:pPr>
        <w:spacing w:after="160" w:line="259" w:lineRule="auto"/>
        <w:jc w:val="center"/>
        <w:rPr>
          <w:rFonts w:eastAsiaTheme="minorHAnsi"/>
          <w:lang w:val="sr-Cyrl-RS" w:eastAsia="en-US"/>
        </w:rPr>
      </w:pPr>
      <w:r w:rsidRPr="0052271C">
        <w:rPr>
          <w:rFonts w:eastAsiaTheme="minorHAnsi"/>
          <w:noProof/>
          <w:lang w:val="en-US" w:eastAsia="en-US"/>
        </w:rPr>
        <w:drawing>
          <wp:inline distT="0" distB="0" distL="0" distR="0" wp14:anchorId="617272ED" wp14:editId="52B8A7EC">
            <wp:extent cx="5035550" cy="2969260"/>
            <wp:effectExtent l="0" t="0" r="0" b="254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35550" cy="2969260"/>
                    </a:xfrm>
                    <a:prstGeom prst="rect">
                      <a:avLst/>
                    </a:prstGeom>
                    <a:noFill/>
                  </pic:spPr>
                </pic:pic>
              </a:graphicData>
            </a:graphic>
          </wp:inline>
        </w:drawing>
      </w:r>
    </w:p>
    <w:p w14:paraId="6DD5C968" w14:textId="77777777" w:rsidR="007A668E" w:rsidRPr="0052271C" w:rsidRDefault="007A668E" w:rsidP="007A668E">
      <w:pPr>
        <w:spacing w:after="160" w:line="259" w:lineRule="auto"/>
        <w:rPr>
          <w:rFonts w:eastAsiaTheme="minorHAnsi"/>
          <w:lang w:val="sr-Cyrl-RS" w:eastAsia="en-US"/>
        </w:rPr>
      </w:pPr>
    </w:p>
    <w:p w14:paraId="6FB4C0F4" w14:textId="62EBF4B6" w:rsidR="00C52235" w:rsidRPr="0052271C" w:rsidRDefault="00157573" w:rsidP="00D93305">
      <w:pPr>
        <w:spacing w:line="276" w:lineRule="auto"/>
        <w:ind w:firstLine="562"/>
        <w:jc w:val="both"/>
        <w:rPr>
          <w:rFonts w:eastAsiaTheme="minorHAnsi"/>
          <w:lang w:val="sr-Cyrl-RS" w:eastAsia="en-US"/>
        </w:rPr>
      </w:pPr>
      <w:r w:rsidRPr="0052271C">
        <w:rPr>
          <w:rFonts w:eastAsiaTheme="minorHAnsi"/>
          <w:lang w:val="sr-Cyrl-RS" w:eastAsia="en-US"/>
        </w:rPr>
        <w:t>Тренутно не постоји дефинисана</w:t>
      </w:r>
      <w:r w:rsidR="0083593A" w:rsidRPr="0052271C">
        <w:rPr>
          <w:rFonts w:eastAsiaTheme="minorHAnsi"/>
          <w:lang w:val="sr-Cyrl-RS" w:eastAsia="en-US"/>
        </w:rPr>
        <w:t xml:space="preserve"> баз</w:t>
      </w:r>
      <w:r w:rsidRPr="0052271C">
        <w:rPr>
          <w:rFonts w:eastAsiaTheme="minorHAnsi"/>
          <w:lang w:val="sr-Cyrl-RS" w:eastAsia="en-US"/>
        </w:rPr>
        <w:t>а</w:t>
      </w:r>
      <w:r w:rsidR="0083593A" w:rsidRPr="0052271C">
        <w:rPr>
          <w:rFonts w:eastAsiaTheme="minorHAnsi"/>
          <w:lang w:val="sr-Cyrl-RS" w:eastAsia="en-US"/>
        </w:rPr>
        <w:t xml:space="preserve"> података ПСРС и јединственог приступа институционалног надзора. </w:t>
      </w:r>
      <w:r w:rsidRPr="0052271C">
        <w:rPr>
          <w:rFonts w:eastAsiaTheme="minorHAnsi"/>
          <w:lang w:val="sr-Cyrl-RS" w:eastAsia="en-US"/>
        </w:rPr>
        <w:t>Н</w:t>
      </w:r>
      <w:r w:rsidR="00C52235" w:rsidRPr="0052271C">
        <w:rPr>
          <w:rFonts w:eastAsiaTheme="minorHAnsi"/>
          <w:lang w:val="sr-Cyrl-RS" w:eastAsia="en-US"/>
        </w:rPr>
        <w:t xml:space="preserve">адзор и усмеравање </w:t>
      </w:r>
      <w:r w:rsidR="00173A96" w:rsidRPr="0052271C">
        <w:rPr>
          <w:rFonts w:eastAsiaTheme="minorHAnsi"/>
          <w:lang w:val="sr-Cyrl-RS" w:eastAsia="en-US"/>
        </w:rPr>
        <w:t>ПСРС</w:t>
      </w:r>
      <w:r w:rsidR="00E94098" w:rsidRPr="0052271C">
        <w:rPr>
          <w:rFonts w:eastAsiaTheme="minorHAnsi"/>
          <w:lang w:val="sr-Cyrl-RS" w:eastAsia="en-US"/>
        </w:rPr>
        <w:t xml:space="preserve"> врш</w:t>
      </w:r>
      <w:r w:rsidR="003E134B" w:rsidRPr="0052271C">
        <w:rPr>
          <w:rFonts w:eastAsiaTheme="minorHAnsi"/>
          <w:lang w:val="sr-Cyrl-RS" w:eastAsia="en-US"/>
        </w:rPr>
        <w:t xml:space="preserve">е </w:t>
      </w:r>
      <w:r w:rsidR="00C52235" w:rsidRPr="0052271C">
        <w:rPr>
          <w:rFonts w:eastAsiaTheme="minorHAnsi"/>
          <w:lang w:val="sr-Cyrl-RS" w:eastAsia="en-US"/>
        </w:rPr>
        <w:t>организациони делов</w:t>
      </w:r>
      <w:r w:rsidR="003E134B" w:rsidRPr="0052271C">
        <w:rPr>
          <w:rFonts w:eastAsiaTheme="minorHAnsi"/>
          <w:lang w:val="sr-Cyrl-RS" w:eastAsia="en-US"/>
        </w:rPr>
        <w:t>и</w:t>
      </w:r>
      <w:r w:rsidR="00C52235" w:rsidRPr="0052271C">
        <w:rPr>
          <w:rFonts w:eastAsiaTheme="minorHAnsi"/>
          <w:lang w:val="sr-Cyrl-RS" w:eastAsia="en-US"/>
        </w:rPr>
        <w:t xml:space="preserve"> </w:t>
      </w:r>
      <w:r w:rsidRPr="0052271C">
        <w:rPr>
          <w:rFonts w:eastAsiaTheme="minorHAnsi"/>
          <w:lang w:val="sr-Cyrl-RS" w:eastAsia="en-US"/>
        </w:rPr>
        <w:t xml:space="preserve">различитих </w:t>
      </w:r>
      <w:r w:rsidR="00C52235" w:rsidRPr="0052271C">
        <w:rPr>
          <w:rFonts w:eastAsiaTheme="minorHAnsi"/>
          <w:lang w:val="sr-Cyrl-RS" w:eastAsia="en-US"/>
        </w:rPr>
        <w:t xml:space="preserve">државних органа </w:t>
      </w:r>
      <w:r w:rsidRPr="0052271C">
        <w:rPr>
          <w:rFonts w:eastAsiaTheme="minorHAnsi"/>
          <w:lang w:val="sr-Cyrl-RS" w:eastAsia="en-US"/>
        </w:rPr>
        <w:t xml:space="preserve">и то </w:t>
      </w:r>
      <w:r w:rsidR="00043228" w:rsidRPr="0052271C">
        <w:rPr>
          <w:rFonts w:eastAsiaTheme="minorHAnsi"/>
          <w:lang w:val="sr-Cyrl-RS" w:eastAsia="en-US"/>
        </w:rPr>
        <w:t>над</w:t>
      </w:r>
      <w:r w:rsidR="00C52235" w:rsidRPr="0052271C">
        <w:rPr>
          <w:rFonts w:eastAsiaTheme="minorHAnsi"/>
          <w:lang w:val="sr-Cyrl-RS" w:eastAsia="en-US"/>
        </w:rPr>
        <w:t xml:space="preserve"> о</w:t>
      </w:r>
      <w:r w:rsidR="00043228" w:rsidRPr="0052271C">
        <w:rPr>
          <w:rFonts w:eastAsiaTheme="minorHAnsi"/>
          <w:lang w:val="sr-Cyrl-RS" w:eastAsia="en-US"/>
        </w:rPr>
        <w:t xml:space="preserve">дређеним </w:t>
      </w:r>
      <w:r w:rsidR="00C52235" w:rsidRPr="0052271C">
        <w:rPr>
          <w:rFonts w:eastAsiaTheme="minorHAnsi"/>
          <w:lang w:val="sr-Cyrl-RS" w:eastAsia="en-US"/>
        </w:rPr>
        <w:t>број</w:t>
      </w:r>
      <w:r w:rsidR="00043228" w:rsidRPr="0052271C">
        <w:rPr>
          <w:rFonts w:eastAsiaTheme="minorHAnsi"/>
          <w:lang w:val="sr-Cyrl-RS" w:eastAsia="en-US"/>
        </w:rPr>
        <w:t>ем</w:t>
      </w:r>
      <w:r w:rsidR="00C52235" w:rsidRPr="0052271C">
        <w:rPr>
          <w:rFonts w:eastAsiaTheme="minorHAnsi"/>
          <w:lang w:val="sr-Cyrl-RS" w:eastAsia="en-US"/>
        </w:rPr>
        <w:t xml:space="preserve"> </w:t>
      </w:r>
      <w:r w:rsidR="00173A96" w:rsidRPr="0052271C">
        <w:rPr>
          <w:rFonts w:eastAsiaTheme="minorHAnsi"/>
          <w:lang w:val="sr-Cyrl-RS" w:eastAsia="en-US"/>
        </w:rPr>
        <w:t>ПСРС</w:t>
      </w:r>
      <w:r w:rsidR="00043228" w:rsidRPr="0052271C">
        <w:rPr>
          <w:rFonts w:eastAsiaTheme="minorHAnsi"/>
          <w:lang w:val="sr-Cyrl-RS" w:eastAsia="en-US"/>
        </w:rPr>
        <w:t xml:space="preserve"> (тј. јавним предузећима и друштвима</w:t>
      </w:r>
      <w:r w:rsidR="00C52235" w:rsidRPr="0052271C">
        <w:rPr>
          <w:rFonts w:eastAsiaTheme="minorHAnsi"/>
          <w:lang w:val="sr-Cyrl-RS" w:eastAsia="en-US"/>
        </w:rPr>
        <w:t xml:space="preserve"> капитала која обављају делатност од општег интереса, </w:t>
      </w:r>
      <w:r w:rsidR="00173A96" w:rsidRPr="0052271C">
        <w:rPr>
          <w:rFonts w:eastAsiaTheme="minorHAnsi"/>
          <w:lang w:val="sr-Cyrl-RS" w:eastAsia="en-US"/>
        </w:rPr>
        <w:t>ПСРС</w:t>
      </w:r>
      <w:r w:rsidR="00C52235" w:rsidRPr="0052271C">
        <w:rPr>
          <w:rFonts w:eastAsiaTheme="minorHAnsi"/>
          <w:lang w:val="sr-Cyrl-RS" w:eastAsia="en-US"/>
        </w:rPr>
        <w:t xml:space="preserve"> кој</w:t>
      </w:r>
      <w:r w:rsidR="00216B06" w:rsidRPr="0052271C">
        <w:rPr>
          <w:rFonts w:eastAsiaTheme="minorHAnsi"/>
          <w:lang w:val="sr-Cyrl-RS" w:eastAsia="en-US"/>
        </w:rPr>
        <w:t>и</w:t>
      </w:r>
      <w:r w:rsidR="00C52235" w:rsidRPr="0052271C">
        <w:rPr>
          <w:rFonts w:eastAsiaTheme="minorHAnsi"/>
          <w:lang w:val="sr-Cyrl-RS" w:eastAsia="en-US"/>
        </w:rPr>
        <w:t xml:space="preserve"> треба да се приватизују, </w:t>
      </w:r>
      <w:r w:rsidR="003E134B" w:rsidRPr="0052271C">
        <w:rPr>
          <w:rFonts w:eastAsiaTheme="minorHAnsi"/>
          <w:lang w:val="sr-Cyrl-RS" w:eastAsia="en-US"/>
        </w:rPr>
        <w:t>као и</w:t>
      </w:r>
      <w:r w:rsidR="00043228" w:rsidRPr="0052271C">
        <w:rPr>
          <w:rFonts w:eastAsiaTheme="minorHAnsi"/>
          <w:lang w:val="sr-Cyrl-RS" w:eastAsia="en-US"/>
        </w:rPr>
        <w:t xml:space="preserve"> ПСРС</w:t>
      </w:r>
      <w:r w:rsidR="00C52235" w:rsidRPr="0052271C">
        <w:rPr>
          <w:rFonts w:eastAsiaTheme="minorHAnsi"/>
          <w:lang w:val="sr-Cyrl-RS" w:eastAsia="en-US"/>
        </w:rPr>
        <w:t xml:space="preserve"> кој</w:t>
      </w:r>
      <w:r w:rsidR="00216B06" w:rsidRPr="0052271C">
        <w:rPr>
          <w:rFonts w:eastAsiaTheme="minorHAnsi"/>
          <w:lang w:val="sr-Cyrl-RS" w:eastAsia="en-US"/>
        </w:rPr>
        <w:t>и</w:t>
      </w:r>
      <w:r w:rsidR="00C52235" w:rsidRPr="0052271C">
        <w:rPr>
          <w:rFonts w:eastAsiaTheme="minorHAnsi"/>
          <w:lang w:val="sr-Cyrl-RS" w:eastAsia="en-US"/>
        </w:rPr>
        <w:t xml:space="preserve"> представљају фискални ризик за државу). </w:t>
      </w:r>
      <w:r w:rsidR="00043228" w:rsidRPr="0052271C">
        <w:rPr>
          <w:rFonts w:eastAsiaTheme="minorHAnsi"/>
          <w:lang w:val="sr-Cyrl-RS" w:eastAsia="en-US"/>
        </w:rPr>
        <w:t>Остал</w:t>
      </w:r>
      <w:r w:rsidR="00216B06" w:rsidRPr="0052271C">
        <w:rPr>
          <w:rFonts w:eastAsiaTheme="minorHAnsi"/>
          <w:lang w:val="sr-Cyrl-RS" w:eastAsia="en-US"/>
        </w:rPr>
        <w:t>е</w:t>
      </w:r>
      <w:r w:rsidR="00C52235" w:rsidRPr="0052271C">
        <w:rPr>
          <w:rFonts w:eastAsiaTheme="minorHAnsi"/>
          <w:lang w:val="sr-Cyrl-RS" w:eastAsia="en-US"/>
        </w:rPr>
        <w:t xml:space="preserve"> </w:t>
      </w:r>
      <w:r w:rsidR="00173A96" w:rsidRPr="0052271C">
        <w:rPr>
          <w:rFonts w:eastAsiaTheme="minorHAnsi"/>
          <w:lang w:val="sr-Cyrl-RS" w:eastAsia="en-US"/>
        </w:rPr>
        <w:t>ПСРС</w:t>
      </w:r>
      <w:r w:rsidR="00C52235" w:rsidRPr="0052271C">
        <w:rPr>
          <w:rFonts w:eastAsiaTheme="minorHAnsi"/>
          <w:lang w:val="sr-Cyrl-RS" w:eastAsia="en-US"/>
        </w:rPr>
        <w:t xml:space="preserve"> надзиру и контролишу надлежна министарства или </w:t>
      </w:r>
      <w:r w:rsidR="00043228" w:rsidRPr="0052271C">
        <w:rPr>
          <w:rFonts w:eastAsiaTheme="minorHAnsi"/>
          <w:lang w:val="sr-Cyrl-RS" w:eastAsia="en-US"/>
        </w:rPr>
        <w:t>се над њиховим пословањем уопште не врши надзор</w:t>
      </w:r>
      <w:r w:rsidR="00C52235" w:rsidRPr="0052271C">
        <w:rPr>
          <w:rFonts w:eastAsiaTheme="minorHAnsi"/>
          <w:lang w:val="sr-Cyrl-RS" w:eastAsia="en-US"/>
        </w:rPr>
        <w:t>.</w:t>
      </w:r>
    </w:p>
    <w:p w14:paraId="3F9DC4E0" w14:textId="1117D3C5" w:rsidR="00F70402" w:rsidRPr="0052271C" w:rsidRDefault="00A20937" w:rsidP="00D23B49">
      <w:pPr>
        <w:spacing w:line="276" w:lineRule="auto"/>
        <w:ind w:firstLine="562"/>
        <w:jc w:val="both"/>
        <w:rPr>
          <w:rFonts w:eastAsiaTheme="minorHAnsi"/>
          <w:lang w:val="sr-Cyrl-RS" w:eastAsia="en-US"/>
        </w:rPr>
      </w:pPr>
      <w:r w:rsidRPr="0052271C">
        <w:rPr>
          <w:lang w:val="sr-Cyrl-RS"/>
        </w:rPr>
        <w:lastRenderedPageBreak/>
        <w:t xml:space="preserve">Не постоји јединствен систем надзора </w:t>
      </w:r>
      <w:r w:rsidR="0083593A" w:rsidRPr="0052271C">
        <w:rPr>
          <w:lang w:val="sr-Cyrl-RS"/>
        </w:rPr>
        <w:t>ни уједначеност конт</w:t>
      </w:r>
      <w:r w:rsidR="00DA0E98" w:rsidRPr="0052271C">
        <w:rPr>
          <w:lang w:val="sr-Cyrl-RS"/>
        </w:rPr>
        <w:t xml:space="preserve">роле </w:t>
      </w:r>
      <w:r w:rsidRPr="0052271C">
        <w:rPr>
          <w:lang w:val="sr-Cyrl-RS"/>
        </w:rPr>
        <w:t xml:space="preserve">над пословањем свих ПСРС </w:t>
      </w:r>
      <w:r w:rsidR="00DA0E98" w:rsidRPr="0052271C">
        <w:rPr>
          <w:lang w:val="sr-Cyrl-RS"/>
        </w:rPr>
        <w:t>док д</w:t>
      </w:r>
      <w:r w:rsidR="00C52235" w:rsidRPr="0052271C">
        <w:rPr>
          <w:rFonts w:eastAsiaTheme="minorHAnsi"/>
          <w:lang w:val="sr-Cyrl-RS" w:eastAsia="en-US"/>
        </w:rPr>
        <w:t>одатни проблем пред</w:t>
      </w:r>
      <w:r w:rsidR="00DA0E98" w:rsidRPr="0052271C">
        <w:rPr>
          <w:rFonts w:eastAsiaTheme="minorHAnsi"/>
          <w:lang w:val="sr-Cyrl-RS" w:eastAsia="en-US"/>
        </w:rPr>
        <w:t>ставља приметан мањак ресурса</w:t>
      </w:r>
      <w:r w:rsidR="00C52235" w:rsidRPr="0052271C">
        <w:rPr>
          <w:rFonts w:eastAsiaTheme="minorHAnsi"/>
          <w:lang w:val="sr-Cyrl-RS" w:eastAsia="en-US"/>
        </w:rPr>
        <w:t xml:space="preserve"> </w:t>
      </w:r>
      <w:r w:rsidR="00DA0E98" w:rsidRPr="0052271C">
        <w:rPr>
          <w:rFonts w:eastAsiaTheme="minorHAnsi"/>
          <w:lang w:val="sr-Cyrl-RS" w:eastAsia="en-US"/>
        </w:rPr>
        <w:t xml:space="preserve">за вршење </w:t>
      </w:r>
      <w:r w:rsidR="00C52235" w:rsidRPr="0052271C">
        <w:rPr>
          <w:rFonts w:eastAsiaTheme="minorHAnsi"/>
          <w:lang w:val="sr-Cyrl-RS" w:eastAsia="en-US"/>
        </w:rPr>
        <w:t>надзор</w:t>
      </w:r>
      <w:r w:rsidR="00DA0E98" w:rsidRPr="0052271C">
        <w:rPr>
          <w:rFonts w:eastAsiaTheme="minorHAnsi"/>
          <w:lang w:val="sr-Cyrl-RS" w:eastAsia="en-US"/>
        </w:rPr>
        <w:t>а</w:t>
      </w:r>
      <w:r w:rsidR="00C52235" w:rsidRPr="0052271C">
        <w:rPr>
          <w:rFonts w:eastAsiaTheme="minorHAnsi"/>
          <w:lang w:val="sr-Cyrl-RS" w:eastAsia="en-US"/>
        </w:rPr>
        <w:t xml:space="preserve"> на</w:t>
      </w:r>
      <w:r w:rsidR="003E134B" w:rsidRPr="0052271C">
        <w:rPr>
          <w:rFonts w:eastAsiaTheme="minorHAnsi"/>
          <w:lang w:val="sr-Cyrl-RS" w:eastAsia="en-US"/>
        </w:rPr>
        <w:t>д</w:t>
      </w:r>
      <w:r w:rsidR="00C52235" w:rsidRPr="0052271C">
        <w:rPr>
          <w:rFonts w:eastAsiaTheme="minorHAnsi"/>
          <w:lang w:val="sr-Cyrl-RS" w:eastAsia="en-US"/>
        </w:rPr>
        <w:t xml:space="preserve"> читавим </w:t>
      </w:r>
      <w:r w:rsidR="00B02069" w:rsidRPr="0052271C">
        <w:rPr>
          <w:rFonts w:eastAsiaTheme="minorHAnsi"/>
          <w:lang w:val="sr-Cyrl-RS" w:eastAsia="en-US"/>
        </w:rPr>
        <w:t>портфељ</w:t>
      </w:r>
      <w:r w:rsidR="00216B06" w:rsidRPr="0052271C">
        <w:rPr>
          <w:rFonts w:eastAsiaTheme="minorHAnsi"/>
          <w:lang w:val="sr-Cyrl-RS" w:eastAsia="en-US"/>
        </w:rPr>
        <w:t>е</w:t>
      </w:r>
      <w:r w:rsidR="00B02069" w:rsidRPr="0052271C">
        <w:rPr>
          <w:rFonts w:eastAsiaTheme="minorHAnsi"/>
          <w:lang w:val="sr-Cyrl-RS" w:eastAsia="en-US"/>
        </w:rPr>
        <w:t>м</w:t>
      </w:r>
      <w:r w:rsidR="00173A96" w:rsidRPr="0052271C">
        <w:rPr>
          <w:rFonts w:eastAsiaTheme="minorHAnsi"/>
          <w:lang w:val="sr-Cyrl-RS" w:eastAsia="en-US"/>
        </w:rPr>
        <w:t xml:space="preserve"> ПСРС</w:t>
      </w:r>
      <w:r w:rsidR="00C52235" w:rsidRPr="0052271C">
        <w:rPr>
          <w:rFonts w:eastAsiaTheme="minorHAnsi"/>
          <w:lang w:val="sr-Cyrl-RS" w:eastAsia="en-US"/>
        </w:rPr>
        <w:t>.</w:t>
      </w:r>
    </w:p>
    <w:p w14:paraId="4143FAD3" w14:textId="77777777" w:rsidR="00480E17" w:rsidRPr="0052271C" w:rsidRDefault="00480E17" w:rsidP="00D23B49">
      <w:pPr>
        <w:spacing w:line="276" w:lineRule="auto"/>
        <w:ind w:firstLine="562"/>
        <w:jc w:val="both"/>
        <w:rPr>
          <w:rFonts w:eastAsiaTheme="minorHAnsi"/>
          <w:lang w:val="sr-Cyrl-RS" w:eastAsia="en-US"/>
        </w:rPr>
      </w:pPr>
    </w:p>
    <w:p w14:paraId="7BA049CE" w14:textId="77777777" w:rsidR="00657C6E" w:rsidRPr="0052271C" w:rsidRDefault="00657C6E" w:rsidP="00D23B49">
      <w:pPr>
        <w:spacing w:line="276" w:lineRule="auto"/>
        <w:ind w:firstLine="562"/>
        <w:jc w:val="both"/>
        <w:rPr>
          <w:rFonts w:eastAsiaTheme="minorHAnsi"/>
          <w:lang w:val="sr-Cyrl-RS" w:eastAsia="en-US"/>
        </w:rPr>
      </w:pPr>
    </w:p>
    <w:p w14:paraId="39B105D2" w14:textId="2DFD902B" w:rsidR="00D93305" w:rsidRPr="0052271C" w:rsidRDefault="00C52235" w:rsidP="00D23B49">
      <w:pPr>
        <w:pStyle w:val="Heading2"/>
        <w:numPr>
          <w:ilvl w:val="0"/>
          <w:numId w:val="34"/>
        </w:numPr>
        <w:tabs>
          <w:tab w:val="left" w:pos="284"/>
        </w:tabs>
        <w:spacing w:before="0" w:after="0"/>
        <w:ind w:left="0" w:firstLine="0"/>
        <w:jc w:val="center"/>
        <w:rPr>
          <w:rFonts w:ascii="Times New Roman" w:eastAsia="Calibri" w:hAnsi="Times New Roman"/>
          <w:b w:val="0"/>
          <w:bCs w:val="0"/>
          <w:i w:val="0"/>
          <w:iCs w:val="0"/>
          <w:sz w:val="24"/>
          <w:szCs w:val="24"/>
          <w:lang w:val="sr-Cyrl-RS"/>
        </w:rPr>
      </w:pPr>
      <w:bookmarkStart w:id="34" w:name="_Toc63452452"/>
      <w:bookmarkStart w:id="35" w:name="_Toc63587087"/>
      <w:r w:rsidRPr="0052271C">
        <w:rPr>
          <w:rFonts w:ascii="Times New Roman" w:eastAsia="Calibri" w:hAnsi="Times New Roman"/>
          <w:b w:val="0"/>
          <w:bCs w:val="0"/>
          <w:i w:val="0"/>
          <w:iCs w:val="0"/>
          <w:sz w:val="24"/>
          <w:szCs w:val="24"/>
          <w:lang w:val="sr-Cyrl-RS"/>
        </w:rPr>
        <w:t xml:space="preserve">Корпоративно управљање у </w:t>
      </w:r>
      <w:r w:rsidR="00173A96" w:rsidRPr="0052271C">
        <w:rPr>
          <w:rFonts w:ascii="Times New Roman" w:eastAsia="Calibri" w:hAnsi="Times New Roman"/>
          <w:b w:val="0"/>
          <w:bCs w:val="0"/>
          <w:i w:val="0"/>
          <w:iCs w:val="0"/>
          <w:sz w:val="24"/>
          <w:szCs w:val="24"/>
          <w:lang w:val="sr-Cyrl-RS"/>
        </w:rPr>
        <w:t>ПСРС</w:t>
      </w:r>
      <w:r w:rsidR="00A94846" w:rsidRPr="0052271C">
        <w:rPr>
          <w:rFonts w:ascii="Times New Roman" w:eastAsia="Calibri" w:hAnsi="Times New Roman"/>
          <w:b w:val="0"/>
          <w:bCs w:val="0"/>
          <w:i w:val="0"/>
          <w:iCs w:val="0"/>
          <w:sz w:val="24"/>
          <w:szCs w:val="24"/>
          <w:lang w:val="sr-Cyrl-RS"/>
        </w:rPr>
        <w:t xml:space="preserve"> -</w:t>
      </w:r>
      <w:r w:rsidR="000D3502" w:rsidRPr="0052271C">
        <w:rPr>
          <w:rFonts w:ascii="Times New Roman" w:eastAsia="Calibri" w:hAnsi="Times New Roman"/>
          <w:b w:val="0"/>
          <w:bCs w:val="0"/>
          <w:i w:val="0"/>
          <w:iCs w:val="0"/>
          <w:sz w:val="24"/>
          <w:szCs w:val="24"/>
          <w:lang w:val="sr-Cyrl-RS"/>
        </w:rPr>
        <w:t xml:space="preserve"> </w:t>
      </w:r>
      <w:r w:rsidR="00A94846" w:rsidRPr="0052271C">
        <w:rPr>
          <w:rFonts w:ascii="Times New Roman" w:eastAsia="Calibri" w:hAnsi="Times New Roman"/>
          <w:b w:val="0"/>
          <w:bCs w:val="0"/>
          <w:i w:val="0"/>
          <w:iCs w:val="0"/>
          <w:sz w:val="24"/>
          <w:szCs w:val="24"/>
          <w:lang w:val="sr-Cyrl-RS"/>
        </w:rPr>
        <w:t>анализа стања и уочени недостаци</w:t>
      </w:r>
      <w:bookmarkEnd w:id="34"/>
      <w:bookmarkEnd w:id="35"/>
    </w:p>
    <w:p w14:paraId="25051377" w14:textId="77777777" w:rsidR="00480E17" w:rsidRPr="0052271C" w:rsidRDefault="00480E17" w:rsidP="00D23B49">
      <w:pPr>
        <w:rPr>
          <w:rFonts w:eastAsia="Calibri"/>
          <w:lang w:val="sr-Cyrl-RS"/>
        </w:rPr>
      </w:pPr>
    </w:p>
    <w:p w14:paraId="573D8878" w14:textId="77777777" w:rsidR="00657C6E" w:rsidRPr="0052271C" w:rsidRDefault="00657C6E" w:rsidP="00D23B49">
      <w:pPr>
        <w:rPr>
          <w:rFonts w:eastAsia="Calibri"/>
          <w:lang w:val="sr-Cyrl-RS"/>
        </w:rPr>
      </w:pPr>
    </w:p>
    <w:p w14:paraId="38A0964A" w14:textId="7390922B" w:rsidR="00C52235" w:rsidRPr="0052271C" w:rsidRDefault="00C52235" w:rsidP="00D23B49">
      <w:pPr>
        <w:autoSpaceDE w:val="0"/>
        <w:autoSpaceDN w:val="0"/>
        <w:adjustRightInd w:val="0"/>
        <w:spacing w:line="276" w:lineRule="auto"/>
        <w:ind w:firstLine="567"/>
        <w:jc w:val="both"/>
        <w:rPr>
          <w:rFonts w:eastAsiaTheme="minorHAnsi"/>
          <w:color w:val="000000"/>
          <w:lang w:val="sr-Cyrl-RS" w:eastAsia="en-US"/>
        </w:rPr>
      </w:pPr>
      <w:r w:rsidRPr="0052271C">
        <w:rPr>
          <w:rFonts w:eastAsiaTheme="minorHAnsi"/>
          <w:bCs/>
          <w:iCs/>
          <w:color w:val="000000"/>
          <w:lang w:val="sr-Cyrl-RS" w:eastAsia="en-US"/>
        </w:rPr>
        <w:t>Корпоративно управљање</w:t>
      </w:r>
      <w:r w:rsidRPr="0052271C">
        <w:rPr>
          <w:rFonts w:eastAsiaTheme="minorHAnsi"/>
          <w:bCs/>
          <w:iCs/>
          <w:color w:val="000000"/>
          <w:vertAlign w:val="superscript"/>
          <w:lang w:val="sr-Cyrl-RS" w:eastAsia="en-US"/>
        </w:rPr>
        <w:footnoteReference w:id="23"/>
      </w:r>
      <w:r w:rsidRPr="0052271C">
        <w:rPr>
          <w:rFonts w:eastAsiaTheme="minorHAnsi"/>
          <w:b/>
          <w:bCs/>
          <w:iCs/>
          <w:color w:val="000000"/>
          <w:lang w:val="sr-Cyrl-RS" w:eastAsia="en-US"/>
        </w:rPr>
        <w:t xml:space="preserve"> </w:t>
      </w:r>
      <w:r w:rsidRPr="0052271C">
        <w:rPr>
          <w:rFonts w:eastAsiaTheme="minorHAnsi"/>
          <w:color w:val="000000"/>
          <w:lang w:val="sr-Cyrl-RS" w:eastAsia="en-US"/>
        </w:rPr>
        <w:t>данас представља једну од највише истраживаних области, а налази истраживања указују да квалитетно корпоративно управљање смањује информациону асиметрију између власника и менаџера и олакшава мониторинг; представља предуслов успешности пословања; олакшава привлачење додатног капитала; олакшава процес „откривања цена” на финансијским тржиштима и повећава њихову стабилност и ефикасност; минимиз</w:t>
      </w:r>
      <w:r w:rsidR="00014434" w:rsidRPr="0052271C">
        <w:rPr>
          <w:rFonts w:eastAsiaTheme="minorHAnsi"/>
          <w:color w:val="000000"/>
          <w:lang w:val="sr-Cyrl-RS" w:eastAsia="en-US"/>
        </w:rPr>
        <w:t>ује</w:t>
      </w:r>
      <w:r w:rsidRPr="0052271C">
        <w:rPr>
          <w:rFonts w:eastAsiaTheme="minorHAnsi"/>
          <w:color w:val="000000"/>
          <w:lang w:val="sr-Cyrl-RS" w:eastAsia="en-US"/>
        </w:rPr>
        <w:t xml:space="preserve"> ризик финансијског система тј. доприноси јачању поверења у финансијски систем; повећава атрактивност земље за директне стране инвестиције</w:t>
      </w:r>
      <w:r w:rsidR="008C2167" w:rsidRPr="0052271C">
        <w:rPr>
          <w:rFonts w:eastAsiaTheme="minorHAnsi"/>
          <w:color w:val="000000"/>
          <w:lang w:val="sr-Cyrl-RS" w:eastAsia="en-US"/>
        </w:rPr>
        <w:t xml:space="preserve"> и последично</w:t>
      </w:r>
      <w:r w:rsidRPr="0052271C">
        <w:rPr>
          <w:rFonts w:eastAsiaTheme="minorHAnsi"/>
          <w:color w:val="000000"/>
          <w:lang w:val="sr-Cyrl-RS" w:eastAsia="en-US"/>
        </w:rPr>
        <w:t xml:space="preserve"> води већој запослености и већем економском расту. </w:t>
      </w:r>
    </w:p>
    <w:p w14:paraId="161198E3" w14:textId="1EC5E9F3" w:rsidR="00105FEF" w:rsidRPr="0052271C" w:rsidRDefault="00C52235" w:rsidP="00657C6E">
      <w:pPr>
        <w:autoSpaceDE w:val="0"/>
        <w:autoSpaceDN w:val="0"/>
        <w:adjustRightInd w:val="0"/>
        <w:spacing w:line="276" w:lineRule="auto"/>
        <w:ind w:firstLine="562"/>
        <w:jc w:val="both"/>
        <w:rPr>
          <w:rFonts w:eastAsiaTheme="minorHAnsi"/>
          <w:color w:val="000000"/>
          <w:lang w:val="sr-Cyrl-RS" w:eastAsia="en-US"/>
        </w:rPr>
      </w:pPr>
      <w:r w:rsidRPr="0052271C">
        <w:rPr>
          <w:rFonts w:eastAsiaTheme="minorHAnsi"/>
          <w:bCs/>
          <w:iCs/>
          <w:color w:val="000000"/>
          <w:lang w:val="sr-Cyrl-RS" w:eastAsia="en-US"/>
        </w:rPr>
        <w:t xml:space="preserve">Под корпоративним управљањем подразумева се скуп правила по којима функционише унутрашња организација јавног предузећа, избор директора и чланова органа управљања, надзор државе као власника, систем планирања и извештавања и мерење постигнутих резултата јавних предузећа у циљу </w:t>
      </w:r>
      <w:r w:rsidR="00831B67" w:rsidRPr="0052271C">
        <w:rPr>
          <w:rFonts w:eastAsiaTheme="minorHAnsi"/>
          <w:bCs/>
          <w:iCs/>
          <w:color w:val="000000"/>
          <w:lang w:val="sr-Cyrl-RS" w:eastAsia="en-US"/>
        </w:rPr>
        <w:t>транспарентности</w:t>
      </w:r>
      <w:r w:rsidRPr="0052271C">
        <w:rPr>
          <w:rFonts w:eastAsiaTheme="minorHAnsi"/>
          <w:bCs/>
          <w:iCs/>
          <w:color w:val="000000"/>
          <w:lang w:val="sr-Cyrl-RS" w:eastAsia="en-US"/>
        </w:rPr>
        <w:t xml:space="preserve"> њиховог рада. </w:t>
      </w:r>
      <w:r w:rsidR="00B54B01" w:rsidRPr="0052271C">
        <w:rPr>
          <w:rFonts w:eastAsiaTheme="minorHAnsi"/>
          <w:bCs/>
          <w:iCs/>
          <w:color w:val="000000"/>
          <w:lang w:val="sr-Cyrl-RS" w:eastAsia="en-US"/>
        </w:rPr>
        <w:t xml:space="preserve">Друштва у којима је држава власник </w:t>
      </w:r>
      <w:r w:rsidR="00105FEF" w:rsidRPr="0052271C">
        <w:rPr>
          <w:rFonts w:eastAsiaTheme="minorHAnsi"/>
          <w:bCs/>
          <w:iCs/>
          <w:color w:val="000000"/>
          <w:lang w:val="sr-Cyrl-RS" w:eastAsia="en-US"/>
        </w:rPr>
        <w:t xml:space="preserve">се налазе </w:t>
      </w:r>
      <w:r w:rsidRPr="0052271C">
        <w:rPr>
          <w:rFonts w:eastAsiaTheme="minorHAnsi"/>
          <w:color w:val="000000"/>
          <w:lang w:val="sr-Cyrl-RS" w:eastAsia="en-US"/>
        </w:rPr>
        <w:t xml:space="preserve">у специфичној позицији у односу на друге учеснике на тржишту. </w:t>
      </w:r>
    </w:p>
    <w:p w14:paraId="6CEAD293" w14:textId="0037AAFD" w:rsidR="00B54B01" w:rsidRPr="0052271C" w:rsidRDefault="00C52235" w:rsidP="00657C6E">
      <w:pPr>
        <w:autoSpaceDE w:val="0"/>
        <w:autoSpaceDN w:val="0"/>
        <w:adjustRightInd w:val="0"/>
        <w:spacing w:line="276" w:lineRule="auto"/>
        <w:ind w:firstLine="562"/>
        <w:jc w:val="both"/>
        <w:rPr>
          <w:rFonts w:eastAsiaTheme="minorHAnsi"/>
          <w:color w:val="000000"/>
          <w:lang w:val="sr-Cyrl-RS" w:eastAsia="en-US"/>
        </w:rPr>
      </w:pPr>
      <w:r w:rsidRPr="0052271C">
        <w:rPr>
          <w:rFonts w:eastAsiaTheme="minorHAnsi"/>
          <w:color w:val="000000"/>
          <w:lang w:val="sr-Cyrl-RS" w:eastAsia="en-US"/>
        </w:rPr>
        <w:t>Са једне стране, други тржишни учесници могу да верују да држава ставља у повлашћени положај</w:t>
      </w:r>
      <w:r w:rsidR="00ED4FCE" w:rsidRPr="0052271C">
        <w:rPr>
          <w:rFonts w:eastAsiaTheme="minorHAnsi"/>
          <w:color w:val="000000"/>
          <w:lang w:val="sr-Cyrl-RS" w:eastAsia="en-US"/>
        </w:rPr>
        <w:t xml:space="preserve"> </w:t>
      </w:r>
      <w:r w:rsidR="00ED4FCE" w:rsidRPr="0052271C">
        <w:rPr>
          <w:rFonts w:eastAsiaTheme="minorHAnsi"/>
          <w:bCs/>
          <w:iCs/>
          <w:color w:val="000000"/>
          <w:lang w:val="sr-Cyrl-RS" w:eastAsia="en-US"/>
        </w:rPr>
        <w:t>друштва у којима је власник</w:t>
      </w:r>
      <w:r w:rsidRPr="0052271C">
        <w:rPr>
          <w:rFonts w:eastAsiaTheme="minorHAnsi"/>
          <w:color w:val="000000"/>
          <w:lang w:val="sr-Cyrl-RS" w:eastAsia="en-US"/>
        </w:rPr>
        <w:t xml:space="preserve">, што може али и не мора да буде случај. Са друге стране, сама </w:t>
      </w:r>
      <w:r w:rsidR="00B54B01" w:rsidRPr="0052271C">
        <w:rPr>
          <w:rFonts w:eastAsiaTheme="minorHAnsi"/>
          <w:bCs/>
          <w:iCs/>
          <w:color w:val="000000"/>
          <w:lang w:val="sr-Cyrl-RS" w:eastAsia="en-US"/>
        </w:rPr>
        <w:t xml:space="preserve">друштва у којима је држава власник </w:t>
      </w:r>
      <w:r w:rsidRPr="0052271C">
        <w:rPr>
          <w:rFonts w:eastAsiaTheme="minorHAnsi"/>
          <w:color w:val="000000"/>
          <w:lang w:val="sr-Cyrl-RS" w:eastAsia="en-US"/>
        </w:rPr>
        <w:t xml:space="preserve">често могу да се нађу у проблему непрепознавања својих циљева. За разлику од компанија у приватном сектору, </w:t>
      </w:r>
      <w:r w:rsidR="00B54B01" w:rsidRPr="0052271C">
        <w:rPr>
          <w:rFonts w:eastAsiaTheme="minorHAnsi"/>
          <w:color w:val="000000"/>
          <w:lang w:val="sr-Cyrl-RS" w:eastAsia="en-US"/>
        </w:rPr>
        <w:t>ова друштва</w:t>
      </w:r>
      <w:r w:rsidRPr="0052271C">
        <w:rPr>
          <w:rFonts w:eastAsiaTheme="minorHAnsi"/>
          <w:color w:val="000000"/>
          <w:lang w:val="sr-Cyrl-RS" w:eastAsia="en-US"/>
        </w:rPr>
        <w:t xml:space="preserve"> уобичајено немају за </w:t>
      </w:r>
      <w:r w:rsidR="00105FEF" w:rsidRPr="0052271C">
        <w:rPr>
          <w:rFonts w:eastAsiaTheme="minorHAnsi"/>
          <w:color w:val="000000"/>
          <w:lang w:val="sr-Cyrl-RS" w:eastAsia="en-US"/>
        </w:rPr>
        <w:t xml:space="preserve">основни </w:t>
      </w:r>
      <w:r w:rsidRPr="0052271C">
        <w:rPr>
          <w:rFonts w:eastAsiaTheme="minorHAnsi"/>
          <w:color w:val="000000"/>
          <w:lang w:val="sr-Cyrl-RS" w:eastAsia="en-US"/>
        </w:rPr>
        <w:t xml:space="preserve">циљ </w:t>
      </w:r>
      <w:r w:rsidR="00105FEF" w:rsidRPr="0052271C">
        <w:rPr>
          <w:rFonts w:eastAsiaTheme="minorHAnsi"/>
          <w:color w:val="000000"/>
          <w:lang w:val="sr-Cyrl-RS" w:eastAsia="en-US"/>
        </w:rPr>
        <w:t>увећање</w:t>
      </w:r>
      <w:r w:rsidRPr="0052271C">
        <w:rPr>
          <w:rFonts w:eastAsiaTheme="minorHAnsi"/>
          <w:color w:val="000000"/>
          <w:lang w:val="sr-Cyrl-RS" w:eastAsia="en-US"/>
        </w:rPr>
        <w:t xml:space="preserve"> добитка или вредности за акционаре. </w:t>
      </w:r>
    </w:p>
    <w:p w14:paraId="39ABF8B4" w14:textId="0C445F94" w:rsidR="00C52235" w:rsidRPr="0052271C" w:rsidRDefault="00B54B01" w:rsidP="00657C6E">
      <w:pPr>
        <w:autoSpaceDE w:val="0"/>
        <w:autoSpaceDN w:val="0"/>
        <w:adjustRightInd w:val="0"/>
        <w:spacing w:line="276" w:lineRule="auto"/>
        <w:ind w:firstLine="562"/>
        <w:jc w:val="both"/>
        <w:rPr>
          <w:rFonts w:eastAsiaTheme="minorHAnsi"/>
          <w:color w:val="000000"/>
          <w:lang w:val="sr-Cyrl-RS" w:eastAsia="en-US"/>
        </w:rPr>
      </w:pPr>
      <w:r w:rsidRPr="0052271C">
        <w:rPr>
          <w:rFonts w:eastAsiaTheme="minorHAnsi"/>
          <w:color w:val="000000"/>
          <w:lang w:val="sr-Cyrl-RS" w:eastAsia="en-US"/>
        </w:rPr>
        <w:t xml:space="preserve">Друштва </w:t>
      </w:r>
      <w:r w:rsidR="00105FEF" w:rsidRPr="0052271C">
        <w:rPr>
          <w:rFonts w:eastAsiaTheme="minorHAnsi"/>
          <w:color w:val="000000"/>
          <w:lang w:val="sr-Cyrl-RS" w:eastAsia="en-US"/>
        </w:rPr>
        <w:t>која обављају делатност</w:t>
      </w:r>
      <w:r w:rsidR="00C52235" w:rsidRPr="0052271C">
        <w:rPr>
          <w:rFonts w:eastAsiaTheme="minorHAnsi"/>
          <w:color w:val="000000"/>
          <w:lang w:val="sr-Cyrl-RS" w:eastAsia="en-US"/>
        </w:rPr>
        <w:t xml:space="preserve"> од </w:t>
      </w:r>
      <w:r w:rsidR="00105FEF" w:rsidRPr="0052271C">
        <w:rPr>
          <w:rFonts w:eastAsiaTheme="minorHAnsi"/>
          <w:color w:val="000000"/>
          <w:lang w:val="sr-Cyrl-RS" w:eastAsia="en-US"/>
        </w:rPr>
        <w:t>општег интереса</w:t>
      </w:r>
      <w:r w:rsidR="00C52235" w:rsidRPr="0052271C">
        <w:rPr>
          <w:rFonts w:eastAsiaTheme="minorHAnsi"/>
          <w:color w:val="000000"/>
          <w:lang w:val="sr-Cyrl-RS" w:eastAsia="en-US"/>
        </w:rPr>
        <w:t xml:space="preserve"> уобичајено имају социјалне (друштвене) циљеве - пружање услуга по цени испод пуне тржишне цене како би се те </w:t>
      </w:r>
      <w:r w:rsidR="00F02DEF" w:rsidRPr="0052271C">
        <w:rPr>
          <w:rFonts w:eastAsiaTheme="minorHAnsi"/>
          <w:color w:val="000000"/>
          <w:lang w:val="sr-Cyrl-RS" w:eastAsia="en-US"/>
        </w:rPr>
        <w:t xml:space="preserve">услуге </w:t>
      </w:r>
      <w:r w:rsidR="00C52235" w:rsidRPr="0052271C">
        <w:rPr>
          <w:rFonts w:eastAsiaTheme="minorHAnsi"/>
          <w:color w:val="000000"/>
          <w:lang w:val="sr-Cyrl-RS" w:eastAsia="en-US"/>
        </w:rPr>
        <w:t xml:space="preserve">учиниле доступним свим грађанима, </w:t>
      </w:r>
      <w:r w:rsidR="00F02DEF" w:rsidRPr="0052271C">
        <w:rPr>
          <w:rFonts w:eastAsiaTheme="minorHAnsi"/>
          <w:color w:val="000000"/>
          <w:lang w:val="sr-Cyrl-RS" w:eastAsia="en-US"/>
        </w:rPr>
        <w:t xml:space="preserve">као </w:t>
      </w:r>
      <w:r w:rsidR="00C52235" w:rsidRPr="0052271C">
        <w:rPr>
          <w:rFonts w:eastAsiaTheme="minorHAnsi"/>
          <w:color w:val="000000"/>
          <w:lang w:val="sr-Cyrl-RS" w:eastAsia="en-US"/>
        </w:rPr>
        <w:t xml:space="preserve">и развојне циљеве - подстицање развоја неког региона или индустрије. </w:t>
      </w:r>
    </w:p>
    <w:p w14:paraId="2A0A20C8" w14:textId="6C735BFB" w:rsidR="00105FEF" w:rsidRPr="0052271C" w:rsidRDefault="00CE1F8E" w:rsidP="00657C6E">
      <w:pPr>
        <w:autoSpaceDE w:val="0"/>
        <w:autoSpaceDN w:val="0"/>
        <w:adjustRightInd w:val="0"/>
        <w:spacing w:line="276" w:lineRule="auto"/>
        <w:ind w:firstLine="567"/>
        <w:jc w:val="both"/>
        <w:rPr>
          <w:noProof/>
          <w:lang w:val="sr-Cyrl-RS"/>
        </w:rPr>
      </w:pPr>
      <w:r w:rsidRPr="0052271C">
        <w:rPr>
          <w:noProof/>
          <w:lang w:val="sr-Cyrl-RS"/>
        </w:rPr>
        <w:t>Министарство од 2016. године инте</w:t>
      </w:r>
      <w:r w:rsidR="00961200" w:rsidRPr="0052271C">
        <w:rPr>
          <w:noProof/>
          <w:lang w:val="sr-Cyrl-RS"/>
        </w:rPr>
        <w:t>н</w:t>
      </w:r>
      <w:r w:rsidRPr="0052271C">
        <w:rPr>
          <w:noProof/>
          <w:lang w:val="sr-Cyrl-RS"/>
        </w:rPr>
        <w:t>зивно учествује на пројектима са међународним институцијама</w:t>
      </w:r>
      <w:r w:rsidR="00105FEF" w:rsidRPr="0052271C">
        <w:rPr>
          <w:noProof/>
          <w:lang w:val="sr-Cyrl-RS"/>
        </w:rPr>
        <w:t xml:space="preserve"> у области унапређења корпоративног управљања у јавним предузећима</w:t>
      </w:r>
      <w:r w:rsidR="00105FEF" w:rsidRPr="0052271C">
        <w:rPr>
          <w:rStyle w:val="FootnoteReference"/>
          <w:noProof/>
          <w:lang w:val="sr-Cyrl-RS"/>
        </w:rPr>
        <w:footnoteReference w:id="24"/>
      </w:r>
      <w:r w:rsidRPr="0052271C">
        <w:rPr>
          <w:noProof/>
          <w:lang w:val="sr-Cyrl-RS"/>
        </w:rPr>
        <w:t>.</w:t>
      </w:r>
    </w:p>
    <w:p w14:paraId="27E93B19" w14:textId="19DE8CE3" w:rsidR="00CE1F8E" w:rsidRPr="0052271C" w:rsidRDefault="00CE1F8E" w:rsidP="00657C6E">
      <w:pPr>
        <w:autoSpaceDE w:val="0"/>
        <w:autoSpaceDN w:val="0"/>
        <w:adjustRightInd w:val="0"/>
        <w:spacing w:line="276" w:lineRule="auto"/>
        <w:ind w:firstLine="567"/>
        <w:jc w:val="both"/>
        <w:rPr>
          <w:lang w:val="sr-Cyrl-RS"/>
        </w:rPr>
      </w:pPr>
      <w:r w:rsidRPr="0052271C">
        <w:rPr>
          <w:lang w:val="sr-Cyrl-RS"/>
        </w:rPr>
        <w:lastRenderedPageBreak/>
        <w:t xml:space="preserve"> Резултати и препоруке проистекле из истраживања имале су за циљ да на свеобухватан и упоредан начин сагледају </w:t>
      </w:r>
      <w:r w:rsidR="00831B67" w:rsidRPr="0052271C">
        <w:rPr>
          <w:lang w:val="sr-Cyrl-RS"/>
        </w:rPr>
        <w:t>стање</w:t>
      </w:r>
      <w:r w:rsidRPr="0052271C">
        <w:rPr>
          <w:lang w:val="sr-Cyrl-RS"/>
        </w:rPr>
        <w:t xml:space="preserve"> и ниво развијености </w:t>
      </w:r>
      <w:r w:rsidR="00831B67" w:rsidRPr="0052271C">
        <w:rPr>
          <w:lang w:val="sr-Cyrl-RS"/>
        </w:rPr>
        <w:t>корпоративног</w:t>
      </w:r>
      <w:r w:rsidRPr="0052271C">
        <w:rPr>
          <w:lang w:val="sr-Cyrl-RS"/>
        </w:rPr>
        <w:t xml:space="preserve"> </w:t>
      </w:r>
      <w:r w:rsidR="00831B67" w:rsidRPr="0052271C">
        <w:rPr>
          <w:lang w:val="sr-Cyrl-RS"/>
        </w:rPr>
        <w:t>управљања</w:t>
      </w:r>
      <w:r w:rsidRPr="0052271C">
        <w:rPr>
          <w:lang w:val="sr-Cyrl-RS"/>
        </w:rPr>
        <w:t xml:space="preserve"> у </w:t>
      </w:r>
      <w:r w:rsidR="00831B67" w:rsidRPr="0052271C">
        <w:rPr>
          <w:lang w:val="sr-Cyrl-RS"/>
        </w:rPr>
        <w:t>јавним</w:t>
      </w:r>
      <w:r w:rsidRPr="0052271C">
        <w:rPr>
          <w:lang w:val="sr-Cyrl-RS"/>
        </w:rPr>
        <w:t xml:space="preserve"> </w:t>
      </w:r>
      <w:r w:rsidR="00831B67" w:rsidRPr="0052271C">
        <w:rPr>
          <w:lang w:val="sr-Cyrl-RS"/>
        </w:rPr>
        <w:t>предузећима</w:t>
      </w:r>
      <w:r w:rsidRPr="0052271C">
        <w:rPr>
          <w:lang w:val="sr-Cyrl-RS"/>
        </w:rPr>
        <w:t xml:space="preserve"> у Републици Србији. </w:t>
      </w:r>
    </w:p>
    <w:p w14:paraId="728419C2" w14:textId="77777777" w:rsidR="00CE1F8E" w:rsidRPr="0052271C" w:rsidRDefault="00CE1F8E" w:rsidP="00657C6E">
      <w:pPr>
        <w:spacing w:line="276" w:lineRule="auto"/>
        <w:ind w:firstLine="567"/>
        <w:jc w:val="both"/>
        <w:rPr>
          <w:lang w:val="sr-Cyrl-RS"/>
        </w:rPr>
      </w:pPr>
      <w:r w:rsidRPr="0052271C">
        <w:rPr>
          <w:kern w:val="16"/>
          <w:lang w:val="sr-Cyrl-RS" w:eastAsia="ar-SA"/>
        </w:rPr>
        <w:t xml:space="preserve">Спроведена истраживања су показала да је корпоративно управљање у јавним предузећима чији је оснивач Република Србија у почетним фазама развоја, тј. у развијању.       </w:t>
      </w:r>
    </w:p>
    <w:p w14:paraId="1EA1DC72" w14:textId="4E3E8BF2" w:rsidR="00554D9F" w:rsidRPr="0052271C" w:rsidRDefault="008023F2" w:rsidP="00657C6E">
      <w:pPr>
        <w:autoSpaceDE w:val="0"/>
        <w:autoSpaceDN w:val="0"/>
        <w:adjustRightInd w:val="0"/>
        <w:spacing w:line="276" w:lineRule="auto"/>
        <w:ind w:firstLine="567"/>
        <w:jc w:val="both"/>
        <w:rPr>
          <w:rFonts w:eastAsiaTheme="minorHAnsi"/>
          <w:lang w:val="sr-Cyrl-RS" w:eastAsia="en-US"/>
        </w:rPr>
      </w:pPr>
      <w:r w:rsidRPr="0052271C">
        <w:rPr>
          <w:rFonts w:eastAsiaTheme="minorHAnsi"/>
          <w:lang w:val="sr-Cyrl-RS" w:eastAsia="en-US"/>
        </w:rPr>
        <w:t>К</w:t>
      </w:r>
      <w:r w:rsidR="00C52235" w:rsidRPr="0052271C">
        <w:rPr>
          <w:rFonts w:eastAsiaTheme="minorHAnsi"/>
          <w:lang w:val="sr-Cyrl-RS" w:eastAsia="en-US"/>
        </w:rPr>
        <w:t xml:space="preserve">ратак пресек тренутног стања корпоративног управљања </w:t>
      </w:r>
      <w:r w:rsidRPr="0052271C">
        <w:rPr>
          <w:rFonts w:eastAsiaTheme="minorHAnsi"/>
          <w:lang w:val="sr-Cyrl-RS" w:eastAsia="en-US"/>
        </w:rPr>
        <w:t xml:space="preserve">односи се на ниво корпоративног управљања </w:t>
      </w:r>
      <w:r w:rsidR="00C52235" w:rsidRPr="0052271C">
        <w:rPr>
          <w:rFonts w:eastAsiaTheme="minorHAnsi"/>
          <w:lang w:val="sr-Cyrl-RS" w:eastAsia="en-US"/>
        </w:rPr>
        <w:t>у јавним предузећима,</w:t>
      </w:r>
      <w:r w:rsidR="00B54EA1" w:rsidRPr="0052271C">
        <w:rPr>
          <w:rFonts w:eastAsiaTheme="minorHAnsi"/>
          <w:lang w:val="sr-Cyrl-RS" w:eastAsia="en-US"/>
        </w:rPr>
        <w:t xml:space="preserve"> с обзиром да су извршене анализе само у овим облицима ПСРС</w:t>
      </w:r>
      <w:r w:rsidR="00C52235" w:rsidRPr="0052271C">
        <w:rPr>
          <w:rFonts w:eastAsiaTheme="minorHAnsi"/>
          <w:lang w:val="sr-Cyrl-RS" w:eastAsia="en-US"/>
        </w:rPr>
        <w:t>. На основу пресека су дате одређене препоруке ради успостављања  новог правног оквира.</w:t>
      </w:r>
    </w:p>
    <w:p w14:paraId="4DAACC19" w14:textId="24459DAE" w:rsidR="00F02DEF" w:rsidRPr="0052271C" w:rsidRDefault="00F02DEF" w:rsidP="00D23B49">
      <w:pPr>
        <w:autoSpaceDE w:val="0"/>
        <w:autoSpaceDN w:val="0"/>
        <w:adjustRightInd w:val="0"/>
        <w:spacing w:line="276" w:lineRule="auto"/>
        <w:jc w:val="both"/>
        <w:rPr>
          <w:rFonts w:eastAsiaTheme="minorHAnsi"/>
          <w:lang w:val="sr-Cyrl-RS" w:eastAsia="en-US"/>
        </w:rPr>
      </w:pPr>
    </w:p>
    <w:p w14:paraId="29F42042" w14:textId="77777777" w:rsidR="00F02DEF" w:rsidRPr="0052271C" w:rsidRDefault="00F02DEF" w:rsidP="00657C6E">
      <w:pPr>
        <w:autoSpaceDE w:val="0"/>
        <w:autoSpaceDN w:val="0"/>
        <w:adjustRightInd w:val="0"/>
        <w:spacing w:line="276" w:lineRule="auto"/>
        <w:ind w:firstLine="567"/>
        <w:jc w:val="both"/>
        <w:rPr>
          <w:rFonts w:eastAsiaTheme="minorHAnsi"/>
          <w:lang w:val="sr-Cyrl-RS" w:eastAsia="en-US"/>
        </w:rPr>
      </w:pPr>
    </w:p>
    <w:p w14:paraId="7DE2F95C" w14:textId="55AABC2A" w:rsidR="00800974" w:rsidRPr="0052271C" w:rsidRDefault="00800974" w:rsidP="003A7FEE">
      <w:pPr>
        <w:spacing w:line="276" w:lineRule="auto"/>
        <w:ind w:firstLine="567"/>
        <w:jc w:val="both"/>
        <w:outlineLvl w:val="2"/>
        <w:rPr>
          <w:lang w:val="sr-Cyrl-RS"/>
        </w:rPr>
      </w:pPr>
      <w:bookmarkStart w:id="36" w:name="_Toc63452453"/>
      <w:bookmarkStart w:id="37" w:name="_Toc63587088"/>
      <w:r w:rsidRPr="0052271C">
        <w:rPr>
          <w:lang w:val="sr-Cyrl-RS"/>
        </w:rPr>
        <w:t>Органи управљања</w:t>
      </w:r>
      <w:bookmarkEnd w:id="36"/>
      <w:bookmarkEnd w:id="37"/>
    </w:p>
    <w:p w14:paraId="12016DE1" w14:textId="77777777" w:rsidR="00F02DEF" w:rsidRPr="0052271C" w:rsidRDefault="00F02DEF" w:rsidP="003A7FEE">
      <w:pPr>
        <w:spacing w:line="276" w:lineRule="auto"/>
        <w:ind w:firstLine="567"/>
        <w:jc w:val="both"/>
        <w:outlineLvl w:val="2"/>
        <w:rPr>
          <w:lang w:val="sr-Cyrl-RS" w:eastAsia="en-US"/>
        </w:rPr>
      </w:pPr>
    </w:p>
    <w:p w14:paraId="2439E7A4" w14:textId="3613703B" w:rsidR="00876998" w:rsidRPr="0052271C" w:rsidRDefault="00800974" w:rsidP="003A7FEE">
      <w:pPr>
        <w:spacing w:line="276" w:lineRule="auto"/>
        <w:ind w:right="-40" w:firstLine="567"/>
        <w:jc w:val="both"/>
        <w:rPr>
          <w:lang w:val="sr-Cyrl-RS" w:eastAsia="en-US"/>
        </w:rPr>
      </w:pPr>
      <w:r w:rsidRPr="0052271C">
        <w:rPr>
          <w:lang w:val="sr-Cyrl-RS" w:eastAsia="en-US"/>
        </w:rPr>
        <w:t xml:space="preserve">Јавно предузеће је посебан правни облик организовања који обавља делатност од општег интереса. Јавно предузеће оснива Република Србија, </w:t>
      </w:r>
      <w:r w:rsidR="00D96BE4" w:rsidRPr="0052271C">
        <w:rPr>
          <w:lang w:val="sr-Cyrl-RS" w:eastAsia="en-US"/>
        </w:rPr>
        <w:t>а</w:t>
      </w:r>
      <w:r w:rsidRPr="0052271C">
        <w:rPr>
          <w:lang w:val="sr-Cyrl-RS" w:eastAsia="en-US"/>
        </w:rPr>
        <w:t xml:space="preserve">утономна покрајина или </w:t>
      </w:r>
      <w:r w:rsidR="00D96BE4" w:rsidRPr="0052271C">
        <w:rPr>
          <w:lang w:val="sr-Cyrl-RS" w:eastAsia="en-US"/>
        </w:rPr>
        <w:t>јединица локалне самоуправе</w:t>
      </w:r>
      <w:r w:rsidR="00361370" w:rsidRPr="0052271C">
        <w:rPr>
          <w:lang w:val="sr-Cyrl-RS" w:eastAsia="en-US"/>
        </w:rPr>
        <w:t xml:space="preserve">. </w:t>
      </w:r>
      <w:r w:rsidRPr="0052271C">
        <w:rPr>
          <w:lang w:val="sr-Cyrl-RS" w:eastAsia="en-US"/>
        </w:rPr>
        <w:t xml:space="preserve">Структура корпоративног управљања је </w:t>
      </w:r>
      <w:r w:rsidR="00614D0F" w:rsidRPr="0052271C">
        <w:rPr>
          <w:lang w:val="sr-Cyrl-RS" w:eastAsia="en-US"/>
        </w:rPr>
        <w:t xml:space="preserve">уређена </w:t>
      </w:r>
      <w:r w:rsidRPr="0052271C">
        <w:rPr>
          <w:lang w:val="sr-Cyrl-RS" w:eastAsia="en-US"/>
        </w:rPr>
        <w:t>Законом о јавним предузећима</w:t>
      </w:r>
      <w:r w:rsidR="00876998" w:rsidRPr="0052271C">
        <w:rPr>
          <w:lang w:val="sr-Cyrl-RS" w:eastAsia="en-US"/>
        </w:rPr>
        <w:t>, а о</w:t>
      </w:r>
      <w:r w:rsidR="009B40BE" w:rsidRPr="0052271C">
        <w:rPr>
          <w:lang w:val="sr-Cyrl-RS" w:eastAsia="en-US"/>
        </w:rPr>
        <w:t xml:space="preserve">рган управљања је </w:t>
      </w:r>
      <w:r w:rsidR="00C64A3E" w:rsidRPr="0052271C">
        <w:rPr>
          <w:lang w:val="sr-Cyrl-RS" w:eastAsia="en-US"/>
        </w:rPr>
        <w:t>надзорни одбор.</w:t>
      </w:r>
    </w:p>
    <w:p w14:paraId="197E420E" w14:textId="19513702" w:rsidR="00361370" w:rsidRPr="0052271C" w:rsidRDefault="00876998" w:rsidP="00361370">
      <w:pPr>
        <w:spacing w:line="276" w:lineRule="auto"/>
        <w:ind w:right="-40" w:firstLine="567"/>
        <w:jc w:val="both"/>
        <w:rPr>
          <w:lang w:val="sr-Cyrl-RS" w:eastAsia="en-US"/>
        </w:rPr>
      </w:pPr>
      <w:r w:rsidRPr="0052271C">
        <w:rPr>
          <w:lang w:val="sr-Cyrl-RS" w:eastAsia="en-US"/>
        </w:rPr>
        <w:t xml:space="preserve">Јавно предузеће је </w:t>
      </w:r>
      <w:r w:rsidR="00800974" w:rsidRPr="0052271C">
        <w:rPr>
          <w:lang w:val="sr-Cyrl-RS" w:eastAsia="en-US"/>
        </w:rPr>
        <w:t>специфича</w:t>
      </w:r>
      <w:r w:rsidR="00C64A3E" w:rsidRPr="0052271C">
        <w:rPr>
          <w:lang w:val="sr-Cyrl-RS" w:eastAsia="en-US"/>
        </w:rPr>
        <w:t>н корпоративни облик који нема с</w:t>
      </w:r>
      <w:r w:rsidR="00800974" w:rsidRPr="0052271C">
        <w:rPr>
          <w:lang w:val="sr-Cyrl-RS" w:eastAsia="en-US"/>
        </w:rPr>
        <w:t>купштину</w:t>
      </w:r>
      <w:r w:rsidRPr="0052271C">
        <w:rPr>
          <w:lang w:val="sr-Cyrl-RS" w:eastAsia="en-US"/>
        </w:rPr>
        <w:t>.</w:t>
      </w:r>
      <w:r w:rsidR="00361370" w:rsidRPr="0052271C">
        <w:rPr>
          <w:lang w:val="sr-Cyrl-RS" w:eastAsia="en-US"/>
        </w:rPr>
        <w:t xml:space="preserve"> </w:t>
      </w:r>
      <w:r w:rsidR="00800974" w:rsidRPr="0052271C">
        <w:rPr>
          <w:lang w:val="sr-Cyrl-RS" w:eastAsia="en-US"/>
        </w:rPr>
        <w:t xml:space="preserve">Најважније стратешке одлуке доноси </w:t>
      </w:r>
      <w:r w:rsidRPr="0052271C">
        <w:rPr>
          <w:lang w:val="sr-Cyrl-RS" w:eastAsia="en-US"/>
        </w:rPr>
        <w:t>надзорни одбор</w:t>
      </w:r>
      <w:r w:rsidR="00800974" w:rsidRPr="0052271C">
        <w:rPr>
          <w:lang w:val="sr-Cyrl-RS" w:eastAsia="en-US"/>
        </w:rPr>
        <w:t xml:space="preserve">, </w:t>
      </w:r>
      <w:r w:rsidRPr="0052271C">
        <w:rPr>
          <w:lang w:val="sr-Cyrl-RS" w:eastAsia="en-US"/>
        </w:rPr>
        <w:t>као</w:t>
      </w:r>
      <w:r w:rsidR="00800974" w:rsidRPr="0052271C">
        <w:rPr>
          <w:lang w:val="sr-Cyrl-RS" w:eastAsia="en-US"/>
        </w:rPr>
        <w:t xml:space="preserve"> орган управљања. Међутим, у погледу одређеног броја најважнијих ствари о којима одлучује </w:t>
      </w:r>
      <w:r w:rsidRPr="0052271C">
        <w:rPr>
          <w:lang w:val="sr-Cyrl-RS" w:eastAsia="en-US"/>
        </w:rPr>
        <w:t>надзорни одбор</w:t>
      </w:r>
      <w:r w:rsidR="00800974" w:rsidRPr="0052271C">
        <w:rPr>
          <w:lang w:val="sr-Cyrl-RS" w:eastAsia="en-US"/>
        </w:rPr>
        <w:t xml:space="preserve"> сагласност Владе је неопходна.</w:t>
      </w:r>
      <w:r w:rsidRPr="0052271C">
        <w:rPr>
          <w:lang w:val="sr-Cyrl-RS" w:eastAsia="en-US"/>
        </w:rPr>
        <w:t xml:space="preserve"> Надзорни одбор</w:t>
      </w:r>
      <w:r w:rsidR="00800974" w:rsidRPr="0052271C">
        <w:rPr>
          <w:lang w:val="sr-Cyrl-RS" w:eastAsia="en-US"/>
        </w:rPr>
        <w:t xml:space="preserve"> се</w:t>
      </w:r>
      <w:r w:rsidRPr="0052271C">
        <w:rPr>
          <w:lang w:val="sr-Cyrl-RS" w:eastAsia="en-US"/>
        </w:rPr>
        <w:t xml:space="preserve"> састоји</w:t>
      </w:r>
      <w:r w:rsidR="00800974" w:rsidRPr="0052271C">
        <w:rPr>
          <w:lang w:val="sr-Cyrl-RS" w:eastAsia="en-US"/>
        </w:rPr>
        <w:t xml:space="preserve"> од пет чланова које бира Влада</w:t>
      </w:r>
      <w:r w:rsidRPr="0052271C">
        <w:rPr>
          <w:lang w:val="sr-Cyrl-RS" w:eastAsia="en-US"/>
        </w:rPr>
        <w:t xml:space="preserve">. </w:t>
      </w:r>
      <w:r w:rsidR="00361370" w:rsidRPr="0052271C">
        <w:rPr>
          <w:lang w:val="sr-Cyrl-RS" w:eastAsia="en-US"/>
        </w:rPr>
        <w:t xml:space="preserve"> </w:t>
      </w:r>
      <w:r w:rsidR="00800974" w:rsidRPr="0052271C">
        <w:rPr>
          <w:lang w:val="sr-Cyrl-RS" w:eastAsia="en-US"/>
        </w:rPr>
        <w:t xml:space="preserve">Директора бира Влада </w:t>
      </w:r>
      <w:r w:rsidR="00361370" w:rsidRPr="0052271C">
        <w:rPr>
          <w:lang w:val="sr-Cyrl-RS" w:eastAsia="en-US"/>
        </w:rPr>
        <w:t>након спроведеног јавног конкурса</w:t>
      </w:r>
      <w:r w:rsidR="00800974" w:rsidRPr="0052271C">
        <w:rPr>
          <w:lang w:val="sr-Cyrl-RS" w:eastAsia="en-US"/>
        </w:rPr>
        <w:t xml:space="preserve">. </w:t>
      </w:r>
    </w:p>
    <w:p w14:paraId="55AFF79D" w14:textId="1BB8CE5B" w:rsidR="00800974" w:rsidRPr="0052271C" w:rsidRDefault="00800974" w:rsidP="00361370">
      <w:pPr>
        <w:spacing w:line="276" w:lineRule="auto"/>
        <w:ind w:right="-40" w:firstLine="567"/>
        <w:jc w:val="both"/>
        <w:rPr>
          <w:lang w:val="sr-Cyrl-RS" w:eastAsia="en-US"/>
        </w:rPr>
      </w:pPr>
      <w:r w:rsidRPr="0052271C">
        <w:rPr>
          <w:lang w:val="sr-Cyrl-RS" w:eastAsia="en-US"/>
        </w:rPr>
        <w:t>Закон о привредним друштвима</w:t>
      </w:r>
      <w:r w:rsidR="00876998" w:rsidRPr="0052271C">
        <w:rPr>
          <w:lang w:val="sr-Cyrl-RS" w:eastAsia="en-US"/>
        </w:rPr>
        <w:t xml:space="preserve"> </w:t>
      </w:r>
      <w:r w:rsidRPr="0052271C">
        <w:rPr>
          <w:lang w:val="sr-Cyrl-RS" w:eastAsia="en-US"/>
        </w:rPr>
        <w:t>садржи правила корпоративног управљања за привредна друштва</w:t>
      </w:r>
      <w:r w:rsidR="0095761F" w:rsidRPr="0052271C">
        <w:rPr>
          <w:lang w:val="sr-Cyrl-RS" w:eastAsia="en-US"/>
        </w:rPr>
        <w:t xml:space="preserve"> и примењује се </w:t>
      </w:r>
      <w:r w:rsidR="00876998" w:rsidRPr="0052271C">
        <w:rPr>
          <w:lang w:val="sr-Cyrl-RS" w:eastAsia="en-US"/>
        </w:rPr>
        <w:t xml:space="preserve">на сва питања која нису посебно уређена </w:t>
      </w:r>
      <w:r w:rsidR="0095761F" w:rsidRPr="0052271C">
        <w:rPr>
          <w:lang w:val="sr-Cyrl-RS" w:eastAsia="en-US"/>
        </w:rPr>
        <w:t>Законом о јавним предузећима</w:t>
      </w:r>
      <w:r w:rsidRPr="0052271C">
        <w:rPr>
          <w:lang w:val="sr-Cyrl-RS" w:eastAsia="en-US"/>
        </w:rPr>
        <w:t xml:space="preserve">. </w:t>
      </w:r>
    </w:p>
    <w:p w14:paraId="396FC2DC" w14:textId="05D11C22" w:rsidR="00657C6E" w:rsidRPr="0052271C" w:rsidRDefault="0095761F" w:rsidP="00657C6E">
      <w:pPr>
        <w:spacing w:line="276" w:lineRule="auto"/>
        <w:ind w:firstLine="567"/>
        <w:jc w:val="both"/>
        <w:rPr>
          <w:lang w:val="sr-Cyrl-RS" w:eastAsia="en-US"/>
        </w:rPr>
      </w:pPr>
      <w:r w:rsidRPr="0052271C">
        <w:rPr>
          <w:lang w:val="sr-Cyrl-RS" w:eastAsia="en-US"/>
        </w:rPr>
        <w:t>Имајући у виду изнето, ј</w:t>
      </w:r>
      <w:r w:rsidR="00C52235" w:rsidRPr="0052271C">
        <w:rPr>
          <w:lang w:val="sr-Cyrl-RS" w:eastAsia="en-US"/>
        </w:rPr>
        <w:t>авно предузеће има посебну структуру корпоративног управљања</w:t>
      </w:r>
      <w:r w:rsidR="00361370" w:rsidRPr="0052271C">
        <w:rPr>
          <w:lang w:val="sr-Cyrl-RS" w:eastAsia="en-US"/>
        </w:rPr>
        <w:t>, док за остале</w:t>
      </w:r>
      <w:r w:rsidR="00613849" w:rsidRPr="0052271C">
        <w:rPr>
          <w:lang w:val="sr-Cyrl-RS" w:eastAsia="en-US"/>
        </w:rPr>
        <w:t xml:space="preserve"> </w:t>
      </w:r>
      <w:r w:rsidR="00C52235" w:rsidRPr="0052271C">
        <w:rPr>
          <w:lang w:val="sr-Cyrl-RS" w:eastAsia="en-US"/>
        </w:rPr>
        <w:t xml:space="preserve"> </w:t>
      </w:r>
      <w:r w:rsidR="00DD1EC0" w:rsidRPr="0052271C">
        <w:rPr>
          <w:lang w:val="sr-Cyrl-RS" w:eastAsia="en-US"/>
        </w:rPr>
        <w:t xml:space="preserve">ПСРС на које се не примењује </w:t>
      </w:r>
      <w:r w:rsidR="00C52235" w:rsidRPr="0052271C">
        <w:rPr>
          <w:lang w:val="sr-Cyrl-RS" w:eastAsia="en-US"/>
        </w:rPr>
        <w:t>Закон</w:t>
      </w:r>
      <w:r w:rsidR="00DD1EC0" w:rsidRPr="0052271C">
        <w:rPr>
          <w:lang w:val="sr-Cyrl-RS" w:eastAsia="en-US"/>
        </w:rPr>
        <w:t xml:space="preserve"> </w:t>
      </w:r>
      <w:r w:rsidR="00C52235" w:rsidRPr="0052271C">
        <w:rPr>
          <w:lang w:val="sr-Cyrl-RS" w:eastAsia="en-US"/>
        </w:rPr>
        <w:t>о јавним предузећима не постоје посеб</w:t>
      </w:r>
      <w:r w:rsidR="00613849" w:rsidRPr="0052271C">
        <w:rPr>
          <w:lang w:val="sr-Cyrl-RS" w:eastAsia="en-US"/>
        </w:rPr>
        <w:t>ни услови за кандидате за надзорни одбор</w:t>
      </w:r>
      <w:r w:rsidR="00614D0F" w:rsidRPr="0052271C">
        <w:rPr>
          <w:lang w:val="sr-Cyrl-RS" w:eastAsia="en-US"/>
        </w:rPr>
        <w:t>,</w:t>
      </w:r>
      <w:r w:rsidR="00C52235" w:rsidRPr="0052271C">
        <w:rPr>
          <w:lang w:val="sr-Cyrl-RS" w:eastAsia="en-US"/>
        </w:rPr>
        <w:t xml:space="preserve"> а за њихово бирање и разрешење надлежна је скупштина.</w:t>
      </w:r>
    </w:p>
    <w:p w14:paraId="656110CF" w14:textId="626EBF11" w:rsidR="00D8537E" w:rsidRPr="0052271C" w:rsidRDefault="006C237A" w:rsidP="003A7FEE">
      <w:pPr>
        <w:spacing w:line="276" w:lineRule="auto"/>
        <w:ind w:firstLine="567"/>
        <w:jc w:val="both"/>
        <w:rPr>
          <w:lang w:val="sr-Cyrl-RS" w:eastAsia="en-US"/>
        </w:rPr>
      </w:pPr>
      <w:r w:rsidRPr="0052271C">
        <w:rPr>
          <w:lang w:val="sr-Cyrl-RS" w:eastAsia="en-US"/>
        </w:rPr>
        <w:t xml:space="preserve">Анализа правног оквира показује да правила </w:t>
      </w:r>
      <w:r w:rsidR="0095761F" w:rsidRPr="0052271C">
        <w:rPr>
          <w:lang w:val="sr-Cyrl-RS" w:eastAsia="en-US"/>
        </w:rPr>
        <w:t>корп</w:t>
      </w:r>
      <w:r w:rsidRPr="0052271C">
        <w:rPr>
          <w:lang w:val="sr-Cyrl-RS" w:eastAsia="en-US"/>
        </w:rPr>
        <w:t>о</w:t>
      </w:r>
      <w:r w:rsidR="0095761F" w:rsidRPr="0052271C">
        <w:rPr>
          <w:lang w:val="sr-Cyrl-RS" w:eastAsia="en-US"/>
        </w:rPr>
        <w:t xml:space="preserve">ративног управљања у вези </w:t>
      </w:r>
      <w:r w:rsidR="00614D0F" w:rsidRPr="0052271C">
        <w:rPr>
          <w:lang w:val="sr-Cyrl-RS" w:eastAsia="en-US"/>
        </w:rPr>
        <w:t xml:space="preserve">са </w:t>
      </w:r>
      <w:r w:rsidR="0095761F" w:rsidRPr="0052271C">
        <w:rPr>
          <w:lang w:val="sr-Cyrl-RS" w:eastAsia="en-US"/>
        </w:rPr>
        <w:t>састав</w:t>
      </w:r>
      <w:r w:rsidR="00614D0F" w:rsidRPr="0052271C">
        <w:rPr>
          <w:lang w:val="sr-Cyrl-RS" w:eastAsia="en-US"/>
        </w:rPr>
        <w:t>ом</w:t>
      </w:r>
      <w:r w:rsidR="0095761F" w:rsidRPr="0052271C">
        <w:rPr>
          <w:lang w:val="sr-Cyrl-RS" w:eastAsia="en-US"/>
        </w:rPr>
        <w:t>, избор</w:t>
      </w:r>
      <w:r w:rsidR="00614D0F" w:rsidRPr="0052271C">
        <w:rPr>
          <w:lang w:val="sr-Cyrl-RS" w:eastAsia="en-US"/>
        </w:rPr>
        <w:t>ом</w:t>
      </w:r>
      <w:r w:rsidR="0095761F" w:rsidRPr="0052271C">
        <w:rPr>
          <w:lang w:val="sr-Cyrl-RS" w:eastAsia="en-US"/>
        </w:rPr>
        <w:t>/разрешењ</w:t>
      </w:r>
      <w:r w:rsidR="00614D0F" w:rsidRPr="0052271C">
        <w:rPr>
          <w:lang w:val="sr-Cyrl-RS" w:eastAsia="en-US"/>
        </w:rPr>
        <w:t>ем</w:t>
      </w:r>
      <w:r w:rsidR="0095761F" w:rsidRPr="0052271C">
        <w:rPr>
          <w:lang w:val="sr-Cyrl-RS" w:eastAsia="en-US"/>
        </w:rPr>
        <w:t xml:space="preserve"> и овлашћењ</w:t>
      </w:r>
      <w:r w:rsidR="00614D0F" w:rsidRPr="0052271C">
        <w:rPr>
          <w:lang w:val="sr-Cyrl-RS" w:eastAsia="en-US"/>
        </w:rPr>
        <w:t>има</w:t>
      </w:r>
      <w:r w:rsidR="0095761F" w:rsidRPr="0052271C">
        <w:rPr>
          <w:lang w:val="sr-Cyrl-RS" w:eastAsia="en-US"/>
        </w:rPr>
        <w:t xml:space="preserve"> органа управљања</w:t>
      </w:r>
      <w:r w:rsidRPr="0052271C">
        <w:rPr>
          <w:lang w:val="sr-Cyrl-RS" w:eastAsia="en-US"/>
        </w:rPr>
        <w:t xml:space="preserve"> нису уједначена и разликуј</w:t>
      </w:r>
      <w:r w:rsidR="00613849" w:rsidRPr="0052271C">
        <w:rPr>
          <w:lang w:val="sr-Cyrl-RS" w:eastAsia="en-US"/>
        </w:rPr>
        <w:t xml:space="preserve">у се у случајевима када се на ПСРС </w:t>
      </w:r>
      <w:r w:rsidRPr="0052271C">
        <w:rPr>
          <w:lang w:val="sr-Cyrl-RS" w:eastAsia="en-US"/>
        </w:rPr>
        <w:t xml:space="preserve">у потпуности </w:t>
      </w:r>
      <w:r w:rsidR="00613849" w:rsidRPr="0052271C">
        <w:rPr>
          <w:lang w:val="sr-Cyrl-RS" w:eastAsia="en-US"/>
        </w:rPr>
        <w:t>примењује</w:t>
      </w:r>
      <w:r w:rsidRPr="0052271C">
        <w:rPr>
          <w:lang w:val="sr-Cyrl-RS" w:eastAsia="en-US"/>
        </w:rPr>
        <w:t xml:space="preserve"> Закон о јавним предузећима (тј. када је у питању јавно предузеће а не остал</w:t>
      </w:r>
      <w:r w:rsidR="007D70EE" w:rsidRPr="0052271C">
        <w:rPr>
          <w:lang w:val="sr-Cyrl-RS" w:eastAsia="en-US"/>
        </w:rPr>
        <w:t>е</w:t>
      </w:r>
      <w:r w:rsidRPr="0052271C">
        <w:rPr>
          <w:lang w:val="sr-Cyrl-RS" w:eastAsia="en-US"/>
        </w:rPr>
        <w:t xml:space="preserve"> </w:t>
      </w:r>
      <w:r w:rsidR="00613849" w:rsidRPr="0052271C">
        <w:rPr>
          <w:lang w:val="sr-Cyrl-RS" w:eastAsia="en-US"/>
        </w:rPr>
        <w:t>ПСРС</w:t>
      </w:r>
      <w:r w:rsidRPr="0052271C">
        <w:rPr>
          <w:lang w:val="sr-Cyrl-RS" w:eastAsia="en-US"/>
        </w:rPr>
        <w:t>), или само делимично подлеже примени Закон</w:t>
      </w:r>
      <w:r w:rsidR="00614D0F" w:rsidRPr="0052271C">
        <w:rPr>
          <w:lang w:val="sr-Cyrl-RS" w:eastAsia="en-US"/>
        </w:rPr>
        <w:t>а</w:t>
      </w:r>
      <w:r w:rsidRPr="0052271C">
        <w:rPr>
          <w:lang w:val="sr-Cyrl-RS" w:eastAsia="en-US"/>
        </w:rPr>
        <w:t xml:space="preserve"> о јавним предузећима (тј. када је у питању друштво капитала које обавља делатност од општег интереса), или уопште није </w:t>
      </w:r>
      <w:r w:rsidR="00614D0F" w:rsidRPr="0052271C">
        <w:rPr>
          <w:lang w:val="sr-Cyrl-RS" w:eastAsia="en-US"/>
        </w:rPr>
        <w:t xml:space="preserve">уређено </w:t>
      </w:r>
      <w:r w:rsidRPr="0052271C">
        <w:rPr>
          <w:lang w:val="sr-Cyrl-RS" w:eastAsia="en-US"/>
        </w:rPr>
        <w:t>тим законом (остал</w:t>
      </w:r>
      <w:r w:rsidR="007D70EE" w:rsidRPr="0052271C">
        <w:rPr>
          <w:lang w:val="sr-Cyrl-RS" w:eastAsia="en-US"/>
        </w:rPr>
        <w:t>и</w:t>
      </w:r>
      <w:r w:rsidRPr="0052271C">
        <w:rPr>
          <w:lang w:val="sr-Cyrl-RS" w:eastAsia="en-US"/>
        </w:rPr>
        <w:t xml:space="preserve"> </w:t>
      </w:r>
      <w:r w:rsidR="0095761F" w:rsidRPr="0052271C">
        <w:rPr>
          <w:lang w:val="sr-Cyrl-RS" w:eastAsia="en-US"/>
        </w:rPr>
        <w:t>ПСРС</w:t>
      </w:r>
      <w:r w:rsidRPr="0052271C">
        <w:rPr>
          <w:lang w:val="sr-Cyrl-RS" w:eastAsia="en-US"/>
        </w:rPr>
        <w:t xml:space="preserve">). </w:t>
      </w:r>
      <w:r w:rsidR="0095761F" w:rsidRPr="0052271C">
        <w:rPr>
          <w:lang w:val="sr-Cyrl-RS" w:eastAsia="en-US"/>
        </w:rPr>
        <w:t>Идентификовано је да</w:t>
      </w:r>
      <w:r w:rsidRPr="0052271C">
        <w:rPr>
          <w:lang w:val="sr-Cyrl-RS" w:eastAsia="en-US"/>
        </w:rPr>
        <w:t xml:space="preserve"> тренутни правни оквир није ефикасан у потребној ме</w:t>
      </w:r>
      <w:r w:rsidR="0095761F" w:rsidRPr="0052271C">
        <w:rPr>
          <w:lang w:val="sr-Cyrl-RS" w:eastAsia="en-US"/>
        </w:rPr>
        <w:t>ри и да не постоји уједначен поступак избора органа управљања у ПСРС.</w:t>
      </w:r>
    </w:p>
    <w:p w14:paraId="4D61F8A6" w14:textId="59672771" w:rsidR="0095761F" w:rsidRPr="0052271C" w:rsidRDefault="0095761F" w:rsidP="003A7FEE">
      <w:pPr>
        <w:spacing w:line="276" w:lineRule="auto"/>
        <w:ind w:firstLine="567"/>
        <w:jc w:val="both"/>
        <w:rPr>
          <w:lang w:val="sr-Cyrl-RS" w:eastAsia="en-US"/>
        </w:rPr>
      </w:pPr>
      <w:r w:rsidRPr="0052271C">
        <w:rPr>
          <w:lang w:val="sr-Cyrl-RS" w:eastAsia="en-US"/>
        </w:rPr>
        <w:t xml:space="preserve"> </w:t>
      </w:r>
    </w:p>
    <w:p w14:paraId="258F839B" w14:textId="77777777" w:rsidR="00B34AE6" w:rsidRPr="0052271C" w:rsidRDefault="00B34AE6" w:rsidP="00173371">
      <w:pPr>
        <w:spacing w:line="276" w:lineRule="auto"/>
        <w:jc w:val="both"/>
        <w:outlineLvl w:val="2"/>
        <w:rPr>
          <w:lang w:val="sr-Cyrl-RS" w:eastAsia="en-US"/>
        </w:rPr>
      </w:pPr>
      <w:bookmarkStart w:id="38" w:name="_Toc63452454"/>
      <w:bookmarkStart w:id="39" w:name="_Toc63587089"/>
    </w:p>
    <w:p w14:paraId="64AA5A34" w14:textId="77777777" w:rsidR="00C44C5D" w:rsidRPr="0052271C" w:rsidRDefault="00C44C5D" w:rsidP="00173371">
      <w:pPr>
        <w:spacing w:line="276" w:lineRule="auto"/>
        <w:jc w:val="both"/>
        <w:outlineLvl w:val="2"/>
        <w:rPr>
          <w:lang w:val="sr-Cyrl-RS" w:eastAsia="en-US"/>
        </w:rPr>
      </w:pPr>
    </w:p>
    <w:p w14:paraId="76537047" w14:textId="77777777" w:rsidR="00C44C5D" w:rsidRPr="0052271C" w:rsidRDefault="00C44C5D" w:rsidP="00173371">
      <w:pPr>
        <w:spacing w:line="276" w:lineRule="auto"/>
        <w:jc w:val="both"/>
        <w:outlineLvl w:val="2"/>
        <w:rPr>
          <w:lang w:val="sr-Cyrl-RS" w:eastAsia="en-US"/>
        </w:rPr>
      </w:pPr>
    </w:p>
    <w:p w14:paraId="0DB88B4E" w14:textId="77777777" w:rsidR="00B34AE6" w:rsidRPr="0052271C" w:rsidRDefault="00B34AE6" w:rsidP="003A7FEE">
      <w:pPr>
        <w:spacing w:line="276" w:lineRule="auto"/>
        <w:ind w:firstLine="567"/>
        <w:jc w:val="both"/>
        <w:outlineLvl w:val="2"/>
        <w:rPr>
          <w:lang w:val="sr-Cyrl-RS" w:eastAsia="en-US"/>
        </w:rPr>
      </w:pPr>
    </w:p>
    <w:p w14:paraId="1767A7E7" w14:textId="4B1A786A" w:rsidR="00C52235" w:rsidRPr="0052271C" w:rsidRDefault="00C52235" w:rsidP="003A7FEE">
      <w:pPr>
        <w:spacing w:line="276" w:lineRule="auto"/>
        <w:ind w:firstLine="567"/>
        <w:jc w:val="both"/>
        <w:outlineLvl w:val="2"/>
        <w:rPr>
          <w:lang w:val="sr-Cyrl-RS" w:eastAsia="en-US"/>
        </w:rPr>
      </w:pPr>
      <w:r w:rsidRPr="0052271C">
        <w:rPr>
          <w:lang w:val="sr-Cyrl-RS" w:eastAsia="en-US"/>
        </w:rPr>
        <w:lastRenderedPageBreak/>
        <w:t>Комисија за ревизију и друге комисије надзорног одбора</w:t>
      </w:r>
      <w:r w:rsidRPr="0052271C">
        <w:rPr>
          <w:bCs/>
          <w:lang w:val="sr-Cyrl-RS" w:eastAsia="en-US"/>
        </w:rPr>
        <w:t>/</w:t>
      </w:r>
      <w:r w:rsidRPr="0052271C">
        <w:rPr>
          <w:lang w:val="sr-Cyrl-RS" w:eastAsia="en-US"/>
        </w:rPr>
        <w:t>одбора директора</w:t>
      </w:r>
      <w:bookmarkEnd w:id="38"/>
      <w:bookmarkEnd w:id="39"/>
    </w:p>
    <w:p w14:paraId="7A55050B" w14:textId="77777777" w:rsidR="00D8537E" w:rsidRPr="0052271C" w:rsidRDefault="00D8537E" w:rsidP="003A7FEE">
      <w:pPr>
        <w:spacing w:line="276" w:lineRule="auto"/>
        <w:ind w:firstLine="567"/>
        <w:jc w:val="both"/>
        <w:outlineLvl w:val="2"/>
        <w:rPr>
          <w:lang w:val="sr-Cyrl-RS" w:eastAsia="en-US"/>
        </w:rPr>
      </w:pPr>
    </w:p>
    <w:p w14:paraId="7EA0F45F" w14:textId="6E2CFF09" w:rsidR="00C52235" w:rsidRPr="0052271C" w:rsidRDefault="00B067E8" w:rsidP="003A7FEE">
      <w:pPr>
        <w:spacing w:line="276" w:lineRule="auto"/>
        <w:ind w:firstLine="567"/>
        <w:jc w:val="both"/>
        <w:rPr>
          <w:lang w:val="sr-Cyrl-RS" w:eastAsia="en-US"/>
        </w:rPr>
      </w:pPr>
      <w:r w:rsidRPr="0052271C">
        <w:rPr>
          <w:lang w:val="sr-Cyrl-RS" w:eastAsia="en-US"/>
        </w:rPr>
        <w:t>У складу са</w:t>
      </w:r>
      <w:r w:rsidR="00C52235" w:rsidRPr="0052271C">
        <w:rPr>
          <w:lang w:val="sr-Cyrl-RS" w:eastAsia="en-US"/>
        </w:rPr>
        <w:t xml:space="preserve"> Закон</w:t>
      </w:r>
      <w:r w:rsidRPr="0052271C">
        <w:rPr>
          <w:lang w:val="sr-Cyrl-RS" w:eastAsia="en-US"/>
        </w:rPr>
        <w:t>ом</w:t>
      </w:r>
      <w:r w:rsidR="00C52235" w:rsidRPr="0052271C">
        <w:rPr>
          <w:lang w:val="sr-Cyrl-RS" w:eastAsia="en-US"/>
        </w:rPr>
        <w:t xml:space="preserve"> о јавни</w:t>
      </w:r>
      <w:r w:rsidR="00946AC5" w:rsidRPr="0052271C">
        <w:rPr>
          <w:lang w:val="sr-Cyrl-RS" w:eastAsia="en-US"/>
        </w:rPr>
        <w:t>м предузећима, јавна предузећа имају комисију за ревизију.</w:t>
      </w:r>
      <w:r w:rsidR="00C52235" w:rsidRPr="0052271C">
        <w:rPr>
          <w:lang w:val="sr-Cyrl-RS" w:eastAsia="en-US"/>
        </w:rPr>
        <w:t xml:space="preserve"> </w:t>
      </w:r>
      <w:r w:rsidR="00946AC5" w:rsidRPr="0052271C">
        <w:rPr>
          <w:lang w:val="sr-Cyrl-RS" w:eastAsia="en-US"/>
        </w:rPr>
        <w:t xml:space="preserve">Друштва капитала на које се примењује </w:t>
      </w:r>
      <w:r w:rsidR="00C52235" w:rsidRPr="0052271C">
        <w:rPr>
          <w:lang w:val="sr-Cyrl-RS" w:eastAsia="en-US"/>
        </w:rPr>
        <w:t>Закон о ја</w:t>
      </w:r>
      <w:r w:rsidR="00946AC5" w:rsidRPr="0052271C">
        <w:rPr>
          <w:lang w:val="sr-Cyrl-RS" w:eastAsia="en-US"/>
        </w:rPr>
        <w:t xml:space="preserve">вним предузећима немају ту обавезу, док </w:t>
      </w:r>
      <w:r w:rsidRPr="0052271C">
        <w:rPr>
          <w:lang w:val="sr-Cyrl-RS" w:eastAsia="en-US"/>
        </w:rPr>
        <w:t xml:space="preserve">у складу са </w:t>
      </w:r>
      <w:r w:rsidR="00946AC5" w:rsidRPr="0052271C">
        <w:rPr>
          <w:lang w:val="sr-Cyrl-RS" w:eastAsia="en-US"/>
        </w:rPr>
        <w:t>Законом о привредним друштвима ту обавезу имају јавна акционарска</w:t>
      </w:r>
      <w:r w:rsidR="00C52235" w:rsidRPr="0052271C">
        <w:rPr>
          <w:lang w:val="sr-Cyrl-RS" w:eastAsia="en-US"/>
        </w:rPr>
        <w:t xml:space="preserve"> друштва. Правила о броју чланова, саставу и независности чланова значајно се разликују између Закона о јавним предузећима и Закона о привредним друштвима. Закон о привредним друштвима </w:t>
      </w:r>
      <w:r w:rsidR="009B40BE" w:rsidRPr="0052271C">
        <w:rPr>
          <w:lang w:val="sr-Cyrl-RS" w:eastAsia="en-US"/>
        </w:rPr>
        <w:t>утврђује</w:t>
      </w:r>
      <w:r w:rsidR="00C52235" w:rsidRPr="0052271C">
        <w:rPr>
          <w:lang w:val="sr-Cyrl-RS" w:eastAsia="en-US"/>
        </w:rPr>
        <w:t xml:space="preserve"> да привредна друштва могу имати и друге комисије одбора</w:t>
      </w:r>
      <w:r w:rsidR="00C64A3E" w:rsidRPr="0052271C">
        <w:rPr>
          <w:lang w:val="sr-Cyrl-RS" w:eastAsia="en-US"/>
        </w:rPr>
        <w:t xml:space="preserve"> директора</w:t>
      </w:r>
      <w:r w:rsidR="00C52235" w:rsidRPr="0052271C">
        <w:rPr>
          <w:lang w:val="sr-Cyrl-RS" w:eastAsia="en-US"/>
        </w:rPr>
        <w:t xml:space="preserve">, као што су комисија за именовање или комисија за накнаде. Поред тога, састав комисија за ревизију је упитан и разликује се </w:t>
      </w:r>
      <w:r w:rsidRPr="0052271C">
        <w:rPr>
          <w:lang w:val="sr-Cyrl-RS" w:eastAsia="en-US"/>
        </w:rPr>
        <w:t>у  зависности од правне форме</w:t>
      </w:r>
      <w:r w:rsidR="00C52235" w:rsidRPr="0052271C">
        <w:rPr>
          <w:lang w:val="sr-Cyrl-RS" w:eastAsia="en-US"/>
        </w:rPr>
        <w:t xml:space="preserve"> друштва, а у неким случајевима чланове може предложити извршни одбор</w:t>
      </w:r>
      <w:r w:rsidR="00CC6D14" w:rsidRPr="0052271C">
        <w:rPr>
          <w:lang w:val="sr-Cyrl-RS" w:eastAsia="en-US"/>
        </w:rPr>
        <w:t xml:space="preserve"> директора</w:t>
      </w:r>
      <w:r w:rsidR="00C52235" w:rsidRPr="0052271C">
        <w:rPr>
          <w:vertAlign w:val="superscript"/>
          <w:lang w:val="sr-Cyrl-RS" w:eastAsia="en-US"/>
        </w:rPr>
        <w:footnoteReference w:id="25"/>
      </w:r>
      <w:r w:rsidR="00C52235" w:rsidRPr="0052271C">
        <w:rPr>
          <w:lang w:val="sr-Cyrl-RS" w:eastAsia="en-US"/>
        </w:rPr>
        <w:t xml:space="preserve">. Овако састављене комисије за ревизију имају ограничене могућности да надзиру функционисање интерних контрола и управљања ризицима. </w:t>
      </w:r>
    </w:p>
    <w:p w14:paraId="75F76304" w14:textId="77777777" w:rsidR="003A7FEE" w:rsidRPr="0052271C" w:rsidRDefault="003A7FEE" w:rsidP="003A7FEE">
      <w:pPr>
        <w:spacing w:line="276" w:lineRule="auto"/>
        <w:ind w:firstLine="567"/>
        <w:jc w:val="both"/>
        <w:rPr>
          <w:lang w:val="sr-Cyrl-RS" w:eastAsia="en-US"/>
        </w:rPr>
      </w:pPr>
    </w:p>
    <w:p w14:paraId="4D7E06F3" w14:textId="748FE81A" w:rsidR="00C52235" w:rsidRPr="0052271C" w:rsidRDefault="00C52235" w:rsidP="003A7FEE">
      <w:pPr>
        <w:spacing w:line="276" w:lineRule="auto"/>
        <w:ind w:firstLine="567"/>
        <w:jc w:val="both"/>
        <w:outlineLvl w:val="2"/>
        <w:rPr>
          <w:lang w:val="sr-Cyrl-RS" w:eastAsia="en-US"/>
        </w:rPr>
      </w:pPr>
      <w:bookmarkStart w:id="40" w:name="_Toc63452455"/>
      <w:bookmarkStart w:id="41" w:name="_Toc63587090"/>
      <w:r w:rsidRPr="0052271C">
        <w:rPr>
          <w:bCs/>
          <w:lang w:val="sr-Cyrl-RS" w:eastAsia="en-US"/>
        </w:rPr>
        <w:t>Директор и извршно руководство</w:t>
      </w:r>
      <w:bookmarkEnd w:id="40"/>
      <w:bookmarkEnd w:id="41"/>
      <w:r w:rsidRPr="0052271C">
        <w:rPr>
          <w:lang w:val="sr-Cyrl-RS" w:eastAsia="en-US"/>
        </w:rPr>
        <w:t xml:space="preserve"> </w:t>
      </w:r>
    </w:p>
    <w:p w14:paraId="4FC810E0" w14:textId="77777777" w:rsidR="003A7FEE" w:rsidRPr="0052271C" w:rsidRDefault="003A7FEE" w:rsidP="003A7FEE">
      <w:pPr>
        <w:spacing w:line="276" w:lineRule="auto"/>
        <w:ind w:firstLine="567"/>
        <w:jc w:val="both"/>
        <w:outlineLvl w:val="2"/>
        <w:rPr>
          <w:lang w:val="sr-Cyrl-RS" w:eastAsia="en-US"/>
        </w:rPr>
      </w:pPr>
    </w:p>
    <w:p w14:paraId="4023287C" w14:textId="67205E21" w:rsidR="009B40BE" w:rsidRPr="0052271C" w:rsidRDefault="00C52235" w:rsidP="003A7FEE">
      <w:pPr>
        <w:spacing w:line="276" w:lineRule="auto"/>
        <w:ind w:firstLine="567"/>
        <w:jc w:val="both"/>
        <w:rPr>
          <w:lang w:val="sr-Cyrl-RS" w:eastAsia="en-US"/>
        </w:rPr>
      </w:pPr>
      <w:r w:rsidRPr="0052271C">
        <w:rPr>
          <w:lang w:val="sr-Cyrl-RS" w:eastAsia="en-US"/>
        </w:rPr>
        <w:t>У јавним предузећима и</w:t>
      </w:r>
      <w:r w:rsidR="009B40BE" w:rsidRPr="0052271C">
        <w:rPr>
          <w:lang w:val="sr-Cyrl-RS" w:eastAsia="en-US"/>
        </w:rPr>
        <w:t xml:space="preserve"> </w:t>
      </w:r>
      <w:r w:rsidR="00A15FDD" w:rsidRPr="0052271C">
        <w:rPr>
          <w:lang w:val="sr-Cyrl-RS" w:eastAsia="en-US"/>
        </w:rPr>
        <w:t>ПСРС</w:t>
      </w:r>
      <w:r w:rsidR="009B40BE" w:rsidRPr="0052271C">
        <w:rPr>
          <w:lang w:val="sr-Cyrl-RS" w:eastAsia="en-US"/>
        </w:rPr>
        <w:t xml:space="preserve"> на које се примењује</w:t>
      </w:r>
      <w:r w:rsidRPr="0052271C">
        <w:rPr>
          <w:lang w:val="sr-Cyrl-RS" w:eastAsia="en-US"/>
        </w:rPr>
        <w:t xml:space="preserve"> Зак</w:t>
      </w:r>
      <w:r w:rsidR="009B40BE" w:rsidRPr="0052271C">
        <w:rPr>
          <w:lang w:val="sr-Cyrl-RS" w:eastAsia="en-US"/>
        </w:rPr>
        <w:t>о</w:t>
      </w:r>
      <w:r w:rsidRPr="0052271C">
        <w:rPr>
          <w:lang w:val="sr-Cyrl-RS" w:eastAsia="en-US"/>
        </w:rPr>
        <w:t xml:space="preserve">н о јавним предузећима, директор се именује након спроведеног поступка јавног конкурса, и то од стране Владе (у случају јавних предузећа), или </w:t>
      </w:r>
      <w:r w:rsidR="009B40BE" w:rsidRPr="0052271C">
        <w:rPr>
          <w:lang w:val="sr-Cyrl-RS" w:eastAsia="en-US"/>
        </w:rPr>
        <w:t xml:space="preserve">у одређеним случајима </w:t>
      </w:r>
      <w:r w:rsidRPr="0052271C">
        <w:rPr>
          <w:lang w:val="sr-Cyrl-RS" w:eastAsia="en-US"/>
        </w:rPr>
        <w:t>уз сагласност Владе (у случају зависних друштава чији је једини власник јавно предузеће или друштво капитала чији је једини власник Република Србија). Закон</w:t>
      </w:r>
      <w:r w:rsidR="009B40BE" w:rsidRPr="0052271C">
        <w:rPr>
          <w:lang w:val="sr-Cyrl-RS" w:eastAsia="en-US"/>
        </w:rPr>
        <w:t xml:space="preserve">ом </w:t>
      </w:r>
      <w:r w:rsidRPr="0052271C">
        <w:rPr>
          <w:lang w:val="sr-Cyrl-RS" w:eastAsia="en-US"/>
        </w:rPr>
        <w:t xml:space="preserve">о јавним предузећима </w:t>
      </w:r>
      <w:r w:rsidR="009B40BE" w:rsidRPr="0052271C">
        <w:rPr>
          <w:lang w:val="sr-Cyrl-RS" w:eastAsia="en-US"/>
        </w:rPr>
        <w:t>су јасно дефинисани услови</w:t>
      </w:r>
      <w:r w:rsidRPr="0052271C">
        <w:rPr>
          <w:lang w:val="sr-Cyrl-RS" w:eastAsia="en-US"/>
        </w:rPr>
        <w:t xml:space="preserve"> за кандидате за директора</w:t>
      </w:r>
      <w:r w:rsidR="009B40BE" w:rsidRPr="0052271C">
        <w:rPr>
          <w:lang w:val="sr-Cyrl-RS" w:eastAsia="en-US"/>
        </w:rPr>
        <w:t>, као и разлози</w:t>
      </w:r>
      <w:r w:rsidRPr="0052271C">
        <w:rPr>
          <w:lang w:val="sr-Cyrl-RS" w:eastAsia="en-US"/>
        </w:rPr>
        <w:t xml:space="preserve"> за разрешење. </w:t>
      </w:r>
    </w:p>
    <w:p w14:paraId="76DD6BD2" w14:textId="7A074981" w:rsidR="00C52235" w:rsidRPr="0052271C" w:rsidRDefault="00C52235" w:rsidP="003A7FEE">
      <w:pPr>
        <w:spacing w:line="276" w:lineRule="auto"/>
        <w:ind w:firstLine="567"/>
        <w:jc w:val="both"/>
        <w:rPr>
          <w:lang w:val="sr-Cyrl-RS" w:eastAsia="en-US"/>
        </w:rPr>
      </w:pPr>
      <w:r w:rsidRPr="0052271C">
        <w:rPr>
          <w:lang w:val="sr-Cyrl-RS" w:eastAsia="en-US"/>
        </w:rPr>
        <w:t>Такође</w:t>
      </w:r>
      <w:r w:rsidR="00C44C5D" w:rsidRPr="0052271C">
        <w:rPr>
          <w:lang w:val="sr-Cyrl-RS" w:eastAsia="en-US"/>
        </w:rPr>
        <w:t>,</w:t>
      </w:r>
      <w:r w:rsidRPr="0052271C">
        <w:rPr>
          <w:lang w:val="sr-Cyrl-RS" w:eastAsia="en-US"/>
        </w:rPr>
        <w:t xml:space="preserve"> предвиђа </w:t>
      </w:r>
      <w:r w:rsidR="009B40BE" w:rsidRPr="0052271C">
        <w:rPr>
          <w:lang w:val="sr-Cyrl-RS" w:eastAsia="en-US"/>
        </w:rPr>
        <w:t>се могућност именовања в</w:t>
      </w:r>
      <w:r w:rsidRPr="0052271C">
        <w:rPr>
          <w:lang w:val="sr-Cyrl-RS" w:eastAsia="en-US"/>
        </w:rPr>
        <w:t>ршиоц</w:t>
      </w:r>
      <w:r w:rsidR="009B40BE" w:rsidRPr="0052271C">
        <w:rPr>
          <w:lang w:val="sr-Cyrl-RS" w:eastAsia="en-US"/>
        </w:rPr>
        <w:t>а дужности директора</w:t>
      </w:r>
      <w:r w:rsidRPr="0052271C">
        <w:rPr>
          <w:lang w:val="sr-Cyrl-RS" w:eastAsia="en-US"/>
        </w:rPr>
        <w:t xml:space="preserve">, </w:t>
      </w:r>
      <w:r w:rsidR="009B40BE" w:rsidRPr="0052271C">
        <w:rPr>
          <w:noProof/>
          <w:lang w:val="sr-Cyrl-RS"/>
        </w:rPr>
        <w:t>који</w:t>
      </w:r>
      <w:r w:rsidR="009B40BE" w:rsidRPr="0052271C">
        <w:rPr>
          <w:lang w:val="sr-Cyrl-RS"/>
        </w:rPr>
        <w:t xml:space="preserve"> мора испуњавати услове за именовање директора јавног предузећа. Период на који се именује вршилац дужности директора не може бити дужи од једне године. Исто лице не може бити два пута постављено за вршиоца дужности. У ПСРС</w:t>
      </w:r>
      <w:r w:rsidRPr="0052271C">
        <w:rPr>
          <w:lang w:val="sr-Cyrl-RS" w:eastAsia="en-US"/>
        </w:rPr>
        <w:t xml:space="preserve"> кој</w:t>
      </w:r>
      <w:r w:rsidR="007D70EE" w:rsidRPr="0052271C">
        <w:rPr>
          <w:lang w:val="sr-Cyrl-RS" w:eastAsia="en-US"/>
        </w:rPr>
        <w:t>и</w:t>
      </w:r>
      <w:r w:rsidRPr="0052271C">
        <w:rPr>
          <w:lang w:val="sr-Cyrl-RS" w:eastAsia="en-US"/>
        </w:rPr>
        <w:t xml:space="preserve"> нису обухваћен</w:t>
      </w:r>
      <w:r w:rsidR="007D70EE" w:rsidRPr="0052271C">
        <w:rPr>
          <w:lang w:val="sr-Cyrl-RS" w:eastAsia="en-US"/>
        </w:rPr>
        <w:t>и</w:t>
      </w:r>
      <w:r w:rsidRPr="0052271C">
        <w:rPr>
          <w:lang w:val="sr-Cyrl-RS" w:eastAsia="en-US"/>
        </w:rPr>
        <w:t xml:space="preserve"> Законом о јавним предузећима примењују се </w:t>
      </w:r>
      <w:r w:rsidR="003A7FEE" w:rsidRPr="0052271C">
        <w:rPr>
          <w:lang w:val="sr-Cyrl-RS" w:eastAsia="en-US"/>
        </w:rPr>
        <w:t xml:space="preserve">одредбе </w:t>
      </w:r>
      <w:r w:rsidRPr="0052271C">
        <w:rPr>
          <w:lang w:val="sr-Cyrl-RS" w:eastAsia="en-US"/>
        </w:rPr>
        <w:t>Закона о привредним друштвима, према којима директора бира скупштина (у једнодомном систему) или надзорни одбор (у дводомном систему)</w:t>
      </w:r>
      <w:r w:rsidR="00DC2CAE" w:rsidRPr="0052271C">
        <w:rPr>
          <w:lang w:val="sr-Cyrl-RS" w:eastAsia="en-US"/>
        </w:rPr>
        <w:t>.</w:t>
      </w:r>
    </w:p>
    <w:p w14:paraId="5F99D3E5" w14:textId="77777777" w:rsidR="003A7FEE" w:rsidRPr="0052271C" w:rsidRDefault="003A7FEE" w:rsidP="003A7FEE">
      <w:pPr>
        <w:spacing w:line="276" w:lineRule="auto"/>
        <w:ind w:firstLine="567"/>
        <w:jc w:val="both"/>
        <w:rPr>
          <w:lang w:val="sr-Cyrl-RS" w:eastAsia="en-US"/>
        </w:rPr>
      </w:pPr>
    </w:p>
    <w:p w14:paraId="323A8DC4" w14:textId="02D248D6" w:rsidR="00C52235" w:rsidRPr="0052271C" w:rsidRDefault="0014317B" w:rsidP="003A7FEE">
      <w:pPr>
        <w:spacing w:line="276" w:lineRule="auto"/>
        <w:ind w:firstLine="567"/>
        <w:jc w:val="both"/>
        <w:outlineLvl w:val="2"/>
        <w:rPr>
          <w:lang w:val="sr-Cyrl-RS" w:eastAsia="en-US"/>
        </w:rPr>
      </w:pPr>
      <w:bookmarkStart w:id="42" w:name="_Toc63452456"/>
      <w:bookmarkStart w:id="43" w:name="_Toc63587091"/>
      <w:r w:rsidRPr="0052271C">
        <w:rPr>
          <w:lang w:val="sr-Cyrl-RS" w:eastAsia="en-US"/>
        </w:rPr>
        <w:t>Интерна</w:t>
      </w:r>
      <w:r w:rsidR="00C52235" w:rsidRPr="0052271C">
        <w:rPr>
          <w:lang w:val="sr-Cyrl-RS" w:eastAsia="en-US"/>
        </w:rPr>
        <w:t xml:space="preserve"> контроле и интерна ревизија</w:t>
      </w:r>
      <w:bookmarkEnd w:id="42"/>
      <w:bookmarkEnd w:id="43"/>
      <w:r w:rsidR="00C52235" w:rsidRPr="0052271C">
        <w:rPr>
          <w:lang w:val="sr-Cyrl-RS" w:eastAsia="en-US"/>
        </w:rPr>
        <w:t xml:space="preserve"> </w:t>
      </w:r>
    </w:p>
    <w:p w14:paraId="6C362B01" w14:textId="77777777" w:rsidR="003A7FEE" w:rsidRPr="0052271C" w:rsidRDefault="003A7FEE" w:rsidP="003A7FEE">
      <w:pPr>
        <w:spacing w:line="276" w:lineRule="auto"/>
        <w:ind w:firstLine="567"/>
        <w:jc w:val="both"/>
        <w:outlineLvl w:val="2"/>
        <w:rPr>
          <w:lang w:val="sr-Cyrl-RS" w:eastAsia="en-US"/>
        </w:rPr>
      </w:pPr>
    </w:p>
    <w:p w14:paraId="076A14C0" w14:textId="3C7D31AB" w:rsidR="00ED19A2" w:rsidRPr="0052271C" w:rsidRDefault="00867B22" w:rsidP="003A7FEE">
      <w:pPr>
        <w:spacing w:line="276" w:lineRule="auto"/>
        <w:ind w:firstLine="567"/>
        <w:jc w:val="both"/>
        <w:rPr>
          <w:lang w:val="sr-Cyrl-RS" w:eastAsia="en-US"/>
        </w:rPr>
      </w:pPr>
      <w:r w:rsidRPr="0052271C">
        <w:rPr>
          <w:lang w:val="sr-Cyrl-RS" w:eastAsia="en-US"/>
        </w:rPr>
        <w:t xml:space="preserve">Организовање </w:t>
      </w:r>
      <w:r w:rsidR="00C52235" w:rsidRPr="0052271C">
        <w:rPr>
          <w:lang w:val="sr-Cyrl-RS" w:eastAsia="en-US"/>
        </w:rPr>
        <w:t>унутрашње</w:t>
      </w:r>
      <w:r w:rsidRPr="0052271C">
        <w:rPr>
          <w:lang w:val="sr-Cyrl-RS" w:eastAsia="en-US"/>
        </w:rPr>
        <w:t>г надзора</w:t>
      </w:r>
      <w:r w:rsidR="00C52235" w:rsidRPr="0052271C">
        <w:rPr>
          <w:lang w:val="sr-Cyrl-RS" w:eastAsia="en-US"/>
        </w:rPr>
        <w:t xml:space="preserve"> пословања </w:t>
      </w:r>
      <w:r w:rsidR="00ED19A2" w:rsidRPr="0052271C">
        <w:rPr>
          <w:lang w:val="sr-Cyrl-RS" w:eastAsia="en-US"/>
        </w:rPr>
        <w:t xml:space="preserve">није </w:t>
      </w:r>
      <w:r w:rsidR="003A7FEE" w:rsidRPr="0052271C">
        <w:rPr>
          <w:lang w:val="sr-Cyrl-RS" w:eastAsia="en-US"/>
        </w:rPr>
        <w:t xml:space="preserve">уређено </w:t>
      </w:r>
      <w:r w:rsidR="00C52235" w:rsidRPr="0052271C">
        <w:rPr>
          <w:lang w:val="sr-Cyrl-RS" w:eastAsia="en-US"/>
        </w:rPr>
        <w:t>Закон</w:t>
      </w:r>
      <w:r w:rsidR="00ED19A2" w:rsidRPr="0052271C">
        <w:rPr>
          <w:lang w:val="sr-Cyrl-RS" w:eastAsia="en-US"/>
        </w:rPr>
        <w:t>ом о јавним предузећима. Међутим</w:t>
      </w:r>
      <w:r w:rsidR="003A7FEE" w:rsidRPr="0052271C">
        <w:rPr>
          <w:lang w:val="sr-Cyrl-RS" w:eastAsia="en-US"/>
        </w:rPr>
        <w:t>,</w:t>
      </w:r>
      <w:r w:rsidR="00ED19A2" w:rsidRPr="0052271C">
        <w:rPr>
          <w:lang w:val="sr-Cyrl-RS" w:eastAsia="en-US"/>
        </w:rPr>
        <w:t xml:space="preserve"> св</w:t>
      </w:r>
      <w:r w:rsidR="007D70EE" w:rsidRPr="0052271C">
        <w:rPr>
          <w:lang w:val="sr-Cyrl-RS" w:eastAsia="en-US"/>
        </w:rPr>
        <w:t>и</w:t>
      </w:r>
      <w:r w:rsidR="00ED19A2" w:rsidRPr="0052271C">
        <w:rPr>
          <w:lang w:val="sr-Cyrl-RS" w:eastAsia="en-US"/>
        </w:rPr>
        <w:t xml:space="preserve"> ПСРС могу </w:t>
      </w:r>
      <w:r w:rsidRPr="0052271C">
        <w:rPr>
          <w:lang w:val="sr-Cyrl-RS" w:eastAsia="en-US"/>
        </w:rPr>
        <w:t>уредити начин спровођења и организацију рада унутрашњег надзора пословања</w:t>
      </w:r>
      <w:r w:rsidR="00ED19A2" w:rsidRPr="0052271C">
        <w:rPr>
          <w:lang w:val="sr-Cyrl-RS" w:eastAsia="en-US"/>
        </w:rPr>
        <w:t xml:space="preserve"> према општем правном оквиру предвиђен</w:t>
      </w:r>
      <w:r w:rsidR="003A7FEE" w:rsidRPr="0052271C">
        <w:rPr>
          <w:lang w:val="sr-Cyrl-RS" w:eastAsia="en-US"/>
        </w:rPr>
        <w:t>о</w:t>
      </w:r>
      <w:r w:rsidR="00C52235" w:rsidRPr="0052271C">
        <w:rPr>
          <w:lang w:val="sr-Cyrl-RS" w:eastAsia="en-US"/>
        </w:rPr>
        <w:t xml:space="preserve">м </w:t>
      </w:r>
      <w:r w:rsidRPr="0052271C">
        <w:rPr>
          <w:lang w:val="sr-Cyrl-RS" w:eastAsia="en-US"/>
        </w:rPr>
        <w:t>Законом о привредним друштвима, што</w:t>
      </w:r>
      <w:r w:rsidR="00C52235" w:rsidRPr="0052271C">
        <w:rPr>
          <w:lang w:val="sr-Cyrl-RS" w:eastAsia="en-US"/>
        </w:rPr>
        <w:t xml:space="preserve"> укључује елементе као што су</w:t>
      </w:r>
      <w:r w:rsidRPr="0052271C">
        <w:rPr>
          <w:lang w:val="sr-Cyrl-RS"/>
        </w:rPr>
        <w:t xml:space="preserve"> контрола усклађености пословања друштва са законом, другим прописима и актима друштва,</w:t>
      </w:r>
      <w:r w:rsidR="00ED19A2" w:rsidRPr="0052271C">
        <w:rPr>
          <w:lang w:val="sr-Cyrl-RS" w:eastAsia="en-US"/>
        </w:rPr>
        <w:t xml:space="preserve"> </w:t>
      </w:r>
      <w:r w:rsidRPr="0052271C">
        <w:rPr>
          <w:lang w:val="sr-Cyrl-RS"/>
        </w:rPr>
        <w:t xml:space="preserve">надзор над спровођењем рачуноводствених политика и финансијским извештавањем, провера спровођења политика управљања ризицима </w:t>
      </w:r>
      <w:r w:rsidRPr="0052271C">
        <w:rPr>
          <w:lang w:val="sr-Cyrl-RS" w:eastAsia="en-US"/>
        </w:rPr>
        <w:t xml:space="preserve"> итд.</w:t>
      </w:r>
      <w:r w:rsidR="00C52235" w:rsidRPr="0052271C">
        <w:rPr>
          <w:lang w:val="sr-Cyrl-RS" w:eastAsia="en-US"/>
        </w:rPr>
        <w:t xml:space="preserve"> </w:t>
      </w:r>
    </w:p>
    <w:p w14:paraId="557C3494" w14:textId="64B11860" w:rsidR="00D6240B" w:rsidRPr="0052271C" w:rsidRDefault="00C52235" w:rsidP="00560C6F">
      <w:pPr>
        <w:spacing w:line="276" w:lineRule="auto"/>
        <w:ind w:firstLine="567"/>
        <w:jc w:val="both"/>
        <w:rPr>
          <w:lang w:val="sr-Cyrl-RS"/>
        </w:rPr>
      </w:pPr>
      <w:r w:rsidRPr="0052271C">
        <w:rPr>
          <w:lang w:val="sr-Cyrl-RS" w:eastAsia="en-US"/>
        </w:rPr>
        <w:t>Поред тога, Закон</w:t>
      </w:r>
      <w:r w:rsidR="00945922" w:rsidRPr="0052271C">
        <w:rPr>
          <w:lang w:val="sr-Cyrl-RS" w:eastAsia="en-US"/>
        </w:rPr>
        <w:t>ом</w:t>
      </w:r>
      <w:r w:rsidRPr="0052271C">
        <w:rPr>
          <w:lang w:val="sr-Cyrl-RS" w:eastAsia="en-US"/>
        </w:rPr>
        <w:t xml:space="preserve"> о буџетском систему</w:t>
      </w:r>
      <w:r w:rsidR="003A7FEE" w:rsidRPr="0052271C">
        <w:rPr>
          <w:lang w:val="sr-Cyrl-RS" w:eastAsia="en-US"/>
        </w:rPr>
        <w:t xml:space="preserve"> </w:t>
      </w:r>
      <w:r w:rsidR="003A7FEE" w:rsidRPr="0052271C">
        <w:rPr>
          <w:lang w:val="sr-Cyrl-RS"/>
        </w:rPr>
        <w:t xml:space="preserve">(„Службени гласник РСˮ, бр. </w:t>
      </w:r>
      <w:r w:rsidR="004F2C44" w:rsidRPr="0052271C">
        <w:rPr>
          <w:lang w:val="sr-Cyrl-RS"/>
        </w:rPr>
        <w:t>54/09, 73/10, 101/10, 101/11, 93/12, 62/13, 63/13 - исправка, 108/13, 142/14, 68/15 - др. закон, 103/15, 99/16, 113/17, 95/18, 31/19, 72/19 и 149/20</w:t>
      </w:r>
      <w:r w:rsidR="003A7FEE" w:rsidRPr="0052271C">
        <w:rPr>
          <w:iCs/>
          <w:lang w:val="sr-Cyrl-RS"/>
        </w:rPr>
        <w:t>)</w:t>
      </w:r>
      <w:r w:rsidR="003A7FEE" w:rsidRPr="0052271C">
        <w:rPr>
          <w:lang w:val="sr-Cyrl-RS" w:eastAsia="en-US"/>
        </w:rPr>
        <w:t xml:space="preserve"> </w:t>
      </w:r>
      <w:r w:rsidRPr="0052271C">
        <w:rPr>
          <w:lang w:val="sr-Cyrl-RS" w:eastAsia="en-US"/>
        </w:rPr>
        <w:t xml:space="preserve">који се примењује на </w:t>
      </w:r>
      <w:r w:rsidR="00945922" w:rsidRPr="0052271C">
        <w:rPr>
          <w:lang w:val="sr-Cyrl-RS" w:eastAsia="en-US"/>
        </w:rPr>
        <w:t>ПСРС</w:t>
      </w:r>
      <w:r w:rsidRPr="0052271C">
        <w:rPr>
          <w:lang w:val="sr-Cyrl-RS" w:eastAsia="en-US"/>
        </w:rPr>
        <w:t xml:space="preserve"> </w:t>
      </w:r>
      <w:r w:rsidR="00B54B01" w:rsidRPr="0052271C">
        <w:rPr>
          <w:lang w:val="sr-Cyrl-RS" w:eastAsia="en-US"/>
        </w:rPr>
        <w:t xml:space="preserve">који су </w:t>
      </w:r>
      <w:r w:rsidRPr="0052271C">
        <w:rPr>
          <w:lang w:val="sr-Cyrl-RS" w:eastAsia="en-US"/>
        </w:rPr>
        <w:t xml:space="preserve"> </w:t>
      </w:r>
      <w:r w:rsidRPr="0052271C">
        <w:rPr>
          <w:lang w:val="sr-Cyrl-RS" w:eastAsia="en-US"/>
        </w:rPr>
        <w:lastRenderedPageBreak/>
        <w:t>кори</w:t>
      </w:r>
      <w:r w:rsidR="00B54B01" w:rsidRPr="0052271C">
        <w:rPr>
          <w:lang w:val="sr-Cyrl-RS" w:eastAsia="en-US"/>
        </w:rPr>
        <w:t>сници</w:t>
      </w:r>
      <w:r w:rsidR="00945922" w:rsidRPr="0052271C">
        <w:rPr>
          <w:lang w:val="sr-Cyrl-RS" w:eastAsia="en-US"/>
        </w:rPr>
        <w:t xml:space="preserve"> јавних средстава, дефинисан је</w:t>
      </w:r>
      <w:r w:rsidRPr="0052271C">
        <w:rPr>
          <w:lang w:val="sr-Cyrl-RS" w:eastAsia="en-US"/>
        </w:rPr>
        <w:t xml:space="preserve"> појам интерне финансијске контроле у јавном сектору, која обухвата систем финансијског управљања и кон</w:t>
      </w:r>
      <w:r w:rsidR="00D6240B" w:rsidRPr="0052271C">
        <w:rPr>
          <w:lang w:val="sr-Cyrl-RS" w:eastAsia="en-US"/>
        </w:rPr>
        <w:t>троле и систем интерне ревизије, као</w:t>
      </w:r>
      <w:r w:rsidRPr="0052271C">
        <w:rPr>
          <w:lang w:val="sr-Cyrl-RS" w:eastAsia="en-US"/>
        </w:rPr>
        <w:t xml:space="preserve"> и усклађивање ова два система под Министарством финансија (Централна јединица за хармонизацију).</w:t>
      </w:r>
      <w:r w:rsidRPr="0052271C">
        <w:rPr>
          <w:vertAlign w:val="superscript"/>
          <w:lang w:val="sr-Cyrl-RS" w:eastAsia="en-US"/>
        </w:rPr>
        <w:footnoteReference w:id="26"/>
      </w:r>
      <w:r w:rsidRPr="0052271C">
        <w:rPr>
          <w:lang w:val="sr-Cyrl-RS" w:eastAsia="en-US"/>
        </w:rPr>
        <w:t xml:space="preserve"> Руководилац корисника јавних средстава (што </w:t>
      </w:r>
      <w:r w:rsidR="00D6240B" w:rsidRPr="0052271C">
        <w:rPr>
          <w:lang w:val="sr-Cyrl-RS" w:eastAsia="en-US"/>
        </w:rPr>
        <w:t xml:space="preserve">је </w:t>
      </w:r>
      <w:r w:rsidRPr="0052271C">
        <w:rPr>
          <w:lang w:val="sr-Cyrl-RS" w:eastAsia="en-US"/>
        </w:rPr>
        <w:t>у контексту јавних предузећа директор) одговоран је за успостављање одговарајућег система финансијског управљања и контроле и система интерне ревизије.</w:t>
      </w:r>
      <w:r w:rsidRPr="0052271C">
        <w:rPr>
          <w:vertAlign w:val="superscript"/>
          <w:lang w:val="sr-Cyrl-RS" w:eastAsia="en-US"/>
        </w:rPr>
        <w:footnoteReference w:id="27"/>
      </w:r>
      <w:r w:rsidRPr="0052271C">
        <w:rPr>
          <w:lang w:val="sr-Cyrl-RS" w:eastAsia="en-US"/>
        </w:rPr>
        <w:t xml:space="preserve"> Министар финансија прописује заједничке критеријуме и стандарде за успостављање ових система. Функција интерне ревизије</w:t>
      </w:r>
      <w:r w:rsidR="0014317B" w:rsidRPr="0052271C">
        <w:rPr>
          <w:lang w:val="sr-Cyrl-RS" w:eastAsia="en-US"/>
        </w:rPr>
        <w:t xml:space="preserve"> је да</w:t>
      </w:r>
      <w:r w:rsidRPr="0052271C">
        <w:rPr>
          <w:lang w:val="sr-Cyrl-RS" w:eastAsia="en-US"/>
        </w:rPr>
        <w:t xml:space="preserve"> извештава руководиоца корисника јавних средстава (тј. директора), тј. њему одговара. Руководилац корисника јавних средстава на годишњем нивоу извештава Централну јединицу за хармонизацију Министарства финансија о систему финансијског управљања и контроле и систему интерне ревизије.</w:t>
      </w:r>
      <w:r w:rsidRPr="0052271C">
        <w:rPr>
          <w:vertAlign w:val="superscript"/>
          <w:lang w:val="sr-Cyrl-RS" w:eastAsia="en-US"/>
        </w:rPr>
        <w:footnoteReference w:id="28"/>
      </w:r>
      <w:r w:rsidRPr="0052271C">
        <w:rPr>
          <w:lang w:val="sr-Cyrl-RS" w:eastAsia="en-US"/>
        </w:rPr>
        <w:t xml:space="preserve"> </w:t>
      </w:r>
    </w:p>
    <w:p w14:paraId="6BFEA062" w14:textId="460DA9B7" w:rsidR="00D6240B" w:rsidRPr="0052271C" w:rsidRDefault="00D6240B" w:rsidP="00560C6F">
      <w:pPr>
        <w:spacing w:line="276" w:lineRule="auto"/>
        <w:ind w:firstLine="567"/>
        <w:jc w:val="both"/>
        <w:rPr>
          <w:lang w:val="sr-Cyrl-RS" w:eastAsia="en-US"/>
        </w:rPr>
      </w:pPr>
      <w:r w:rsidRPr="0052271C">
        <w:rPr>
          <w:lang w:val="sr-Cyrl-RS" w:eastAsia="en-US"/>
        </w:rPr>
        <w:t>И</w:t>
      </w:r>
      <w:r w:rsidR="00C52235" w:rsidRPr="0052271C">
        <w:rPr>
          <w:lang w:val="sr-Cyrl-RS" w:eastAsia="en-US"/>
        </w:rPr>
        <w:t xml:space="preserve">нтерна ревизија </w:t>
      </w:r>
      <w:r w:rsidRPr="0052271C">
        <w:rPr>
          <w:lang w:val="sr-Cyrl-RS" w:eastAsia="en-US"/>
        </w:rPr>
        <w:t>подноси извештаје и одговорна је директору, док у неким случајевима извештава о својим активностима надзорни одбор или скупштину. У пракси често нема довољно запослених.</w:t>
      </w:r>
    </w:p>
    <w:p w14:paraId="0B5D54E6" w14:textId="2C780A21" w:rsidR="00C52235" w:rsidRPr="0052271C" w:rsidRDefault="00BE451B" w:rsidP="00560C6F">
      <w:pPr>
        <w:spacing w:line="276" w:lineRule="auto"/>
        <w:ind w:firstLine="567"/>
        <w:jc w:val="both"/>
        <w:rPr>
          <w:lang w:val="sr-Cyrl-RS" w:eastAsia="en-US"/>
        </w:rPr>
      </w:pPr>
      <w:r w:rsidRPr="0052271C">
        <w:rPr>
          <w:lang w:val="sr-Cyrl-RS" w:eastAsia="en-US"/>
        </w:rPr>
        <w:t>Наведено стање утиче</w:t>
      </w:r>
      <w:r w:rsidR="00D6240B" w:rsidRPr="0052271C">
        <w:rPr>
          <w:lang w:val="sr-Cyrl-RS" w:eastAsia="en-US"/>
        </w:rPr>
        <w:t xml:space="preserve"> на област ревизије и стога се намеће питање</w:t>
      </w:r>
      <w:r w:rsidR="00C52235" w:rsidRPr="0052271C">
        <w:rPr>
          <w:lang w:val="sr-Cyrl-RS" w:eastAsia="en-US"/>
        </w:rPr>
        <w:t xml:space="preserve"> о стварном степену</w:t>
      </w:r>
      <w:r w:rsidR="00D6240B" w:rsidRPr="0052271C">
        <w:rPr>
          <w:lang w:val="sr-Cyrl-RS" w:eastAsia="en-US"/>
        </w:rPr>
        <w:t xml:space="preserve"> независности интерне ревизије</w:t>
      </w:r>
      <w:r w:rsidR="00B3054A" w:rsidRPr="0052271C">
        <w:rPr>
          <w:rStyle w:val="FootnoteReference"/>
          <w:lang w:val="sr-Cyrl-RS" w:eastAsia="en-US"/>
        </w:rPr>
        <w:footnoteReference w:id="29"/>
      </w:r>
      <w:r w:rsidR="00D6240B" w:rsidRPr="0052271C">
        <w:rPr>
          <w:lang w:val="sr-Cyrl-RS" w:eastAsia="en-US"/>
        </w:rPr>
        <w:t xml:space="preserve">, а такође идентификовано је да </w:t>
      </w:r>
      <w:r w:rsidR="00C52235" w:rsidRPr="0052271C">
        <w:rPr>
          <w:lang w:val="sr-Cyrl-RS" w:eastAsia="en-US"/>
        </w:rPr>
        <w:t xml:space="preserve">недостаје функција управљања ризицима или било какав централизовани преглед ризика релевантних за </w:t>
      </w:r>
      <w:r w:rsidR="00D6240B" w:rsidRPr="0052271C">
        <w:rPr>
          <w:lang w:val="sr-Cyrl-RS" w:eastAsia="en-US"/>
        </w:rPr>
        <w:t>ПСРС</w:t>
      </w:r>
      <w:r w:rsidR="00C52235" w:rsidRPr="0052271C">
        <w:rPr>
          <w:lang w:val="sr-Cyrl-RS" w:eastAsia="en-US"/>
        </w:rPr>
        <w:t xml:space="preserve">. </w:t>
      </w:r>
    </w:p>
    <w:p w14:paraId="0ECBEF94" w14:textId="77777777" w:rsidR="003A7FEE" w:rsidRPr="0052271C" w:rsidRDefault="003A7FEE" w:rsidP="00560C6F">
      <w:pPr>
        <w:spacing w:line="276" w:lineRule="auto"/>
        <w:ind w:firstLine="567"/>
        <w:jc w:val="both"/>
        <w:rPr>
          <w:lang w:val="sr-Cyrl-RS" w:eastAsia="en-US"/>
        </w:rPr>
      </w:pPr>
    </w:p>
    <w:p w14:paraId="7A5A330D" w14:textId="00BD4D34" w:rsidR="003C6F65" w:rsidRPr="0052271C" w:rsidRDefault="00C52235" w:rsidP="00560C6F">
      <w:pPr>
        <w:spacing w:line="276" w:lineRule="auto"/>
        <w:ind w:firstLine="567"/>
        <w:jc w:val="both"/>
        <w:outlineLvl w:val="2"/>
        <w:rPr>
          <w:lang w:val="sr-Cyrl-RS" w:eastAsia="en-US"/>
        </w:rPr>
      </w:pPr>
      <w:bookmarkStart w:id="44" w:name="_Toc63452457"/>
      <w:bookmarkStart w:id="45" w:name="_Toc63587092"/>
      <w:r w:rsidRPr="0052271C">
        <w:rPr>
          <w:lang w:val="sr-Cyrl-RS" w:eastAsia="en-US"/>
        </w:rPr>
        <w:t>Екстерна ревизија финансијских извештаја</w:t>
      </w:r>
      <w:bookmarkEnd w:id="44"/>
      <w:bookmarkEnd w:id="45"/>
      <w:r w:rsidR="00922FBA" w:rsidRPr="0052271C">
        <w:rPr>
          <w:lang w:val="sr-Cyrl-RS" w:eastAsia="en-US"/>
        </w:rPr>
        <w:t xml:space="preserve"> </w:t>
      </w:r>
    </w:p>
    <w:p w14:paraId="79477CC2" w14:textId="77777777" w:rsidR="003A7FEE" w:rsidRPr="0052271C" w:rsidRDefault="003A7FEE" w:rsidP="003A7FEE">
      <w:pPr>
        <w:spacing w:line="276" w:lineRule="auto"/>
        <w:ind w:firstLine="567"/>
        <w:jc w:val="both"/>
        <w:outlineLvl w:val="2"/>
        <w:rPr>
          <w:sz w:val="12"/>
          <w:szCs w:val="12"/>
          <w:lang w:val="sr-Cyrl-RS" w:eastAsia="en-US"/>
        </w:rPr>
      </w:pPr>
    </w:p>
    <w:p w14:paraId="10342EF1" w14:textId="0C90D7B6" w:rsidR="00C52235" w:rsidRPr="0052271C" w:rsidRDefault="00C52235" w:rsidP="001E6A04">
      <w:pPr>
        <w:spacing w:line="276" w:lineRule="auto"/>
        <w:ind w:firstLine="567"/>
        <w:jc w:val="both"/>
        <w:rPr>
          <w:lang w:val="sr-Cyrl-RS"/>
        </w:rPr>
      </w:pPr>
      <w:r w:rsidRPr="0052271C">
        <w:rPr>
          <w:lang w:val="sr-Cyrl-RS" w:eastAsia="en-US"/>
        </w:rPr>
        <w:t xml:space="preserve">Јавна предузећа и </w:t>
      </w:r>
      <w:r w:rsidR="00A15FDD" w:rsidRPr="0052271C">
        <w:rPr>
          <w:lang w:val="sr-Cyrl-RS" w:eastAsia="en-US"/>
        </w:rPr>
        <w:t>остал</w:t>
      </w:r>
      <w:r w:rsidR="007D70EE" w:rsidRPr="0052271C">
        <w:rPr>
          <w:lang w:val="sr-Cyrl-RS" w:eastAsia="en-US"/>
        </w:rPr>
        <w:t>и</w:t>
      </w:r>
      <w:r w:rsidR="00A15FDD" w:rsidRPr="0052271C">
        <w:rPr>
          <w:lang w:val="sr-Cyrl-RS" w:eastAsia="en-US"/>
        </w:rPr>
        <w:t xml:space="preserve"> ПСРС</w:t>
      </w:r>
      <w:r w:rsidR="008B131E" w:rsidRPr="0052271C">
        <w:rPr>
          <w:lang w:val="sr-Cyrl-RS" w:eastAsia="en-US"/>
        </w:rPr>
        <w:t xml:space="preserve"> на које се примењује</w:t>
      </w:r>
      <w:r w:rsidRPr="0052271C">
        <w:rPr>
          <w:lang w:val="sr-Cyrl-RS" w:eastAsia="en-US"/>
        </w:rPr>
        <w:t xml:space="preserve"> Закон о јавним предузећима </w:t>
      </w:r>
      <w:r w:rsidR="003C6F65" w:rsidRPr="0052271C">
        <w:rPr>
          <w:lang w:val="sr-Cyrl-RS" w:eastAsia="en-US"/>
        </w:rPr>
        <w:t>морају имати извршену ревизију финансијских извештаја од стране овлашћеног ревизора</w:t>
      </w:r>
      <w:r w:rsidRPr="0052271C">
        <w:rPr>
          <w:lang w:val="sr-Cyrl-RS" w:eastAsia="en-US"/>
        </w:rPr>
        <w:t xml:space="preserve"> (без обзира на правила Закона о ревизији</w:t>
      </w:r>
      <w:r w:rsidR="001E6A04" w:rsidRPr="0052271C">
        <w:rPr>
          <w:lang w:val="sr-Cyrl-RS" w:eastAsia="en-US"/>
        </w:rPr>
        <w:t xml:space="preserve"> (</w:t>
      </w:r>
      <w:r w:rsidR="001E6A04" w:rsidRPr="0052271C">
        <w:rPr>
          <w:lang w:val="sr-Cyrl-RS"/>
        </w:rPr>
        <w:t>„Службени гласник РСˮ, број 73/19)</w:t>
      </w:r>
      <w:r w:rsidR="001E6A04" w:rsidRPr="0052271C">
        <w:rPr>
          <w:lang w:val="sr-Cyrl-RS" w:eastAsia="en-US"/>
        </w:rPr>
        <w:t xml:space="preserve"> </w:t>
      </w:r>
      <w:r w:rsidR="003C6F65" w:rsidRPr="0052271C">
        <w:rPr>
          <w:lang w:val="sr-Cyrl-RS" w:eastAsia="en-US"/>
        </w:rPr>
        <w:t>којим је одређено ко</w:t>
      </w:r>
      <w:r w:rsidR="00A15FDD" w:rsidRPr="0052271C">
        <w:rPr>
          <w:lang w:val="sr-Cyrl-RS" w:eastAsia="en-US"/>
        </w:rPr>
        <w:t xml:space="preserve"> је</w:t>
      </w:r>
      <w:r w:rsidRPr="0052271C">
        <w:rPr>
          <w:lang w:val="sr-Cyrl-RS" w:eastAsia="en-US"/>
        </w:rPr>
        <w:t xml:space="preserve"> предмет</w:t>
      </w:r>
      <w:r w:rsidR="003C6F65" w:rsidRPr="0052271C">
        <w:rPr>
          <w:lang w:val="sr-Cyrl-RS" w:eastAsia="en-US"/>
        </w:rPr>
        <w:t xml:space="preserve"> обавезне екстерне ревизије финансијских </w:t>
      </w:r>
      <w:r w:rsidRPr="0052271C">
        <w:rPr>
          <w:lang w:val="sr-Cyrl-RS" w:eastAsia="en-US"/>
        </w:rPr>
        <w:t>извештаја). Према Закону о јавним предузећима, ревизорски извештај о годишњим финансијским извештајима јавних предузећа подноси се Влади (у случају кад</w:t>
      </w:r>
      <w:r w:rsidR="003C6F65" w:rsidRPr="0052271C">
        <w:rPr>
          <w:lang w:val="sr-Cyrl-RS" w:eastAsia="en-US"/>
        </w:rPr>
        <w:t>а је Република Србија оснивач) ради информисања, док за остал</w:t>
      </w:r>
      <w:r w:rsidR="007D70EE" w:rsidRPr="0052271C">
        <w:rPr>
          <w:lang w:val="sr-Cyrl-RS" w:eastAsia="en-US"/>
        </w:rPr>
        <w:t>е</w:t>
      </w:r>
      <w:r w:rsidR="003C6F65" w:rsidRPr="0052271C">
        <w:rPr>
          <w:lang w:val="sr-Cyrl-RS" w:eastAsia="en-US"/>
        </w:rPr>
        <w:t xml:space="preserve"> ПСРС кој</w:t>
      </w:r>
      <w:r w:rsidR="007D70EE" w:rsidRPr="0052271C">
        <w:rPr>
          <w:lang w:val="sr-Cyrl-RS" w:eastAsia="en-US"/>
        </w:rPr>
        <w:t>и</w:t>
      </w:r>
      <w:r w:rsidR="003C6F65" w:rsidRPr="0052271C">
        <w:rPr>
          <w:lang w:val="sr-Cyrl-RS" w:eastAsia="en-US"/>
        </w:rPr>
        <w:t xml:space="preserve"> нису</w:t>
      </w:r>
      <w:r w:rsidRPr="0052271C">
        <w:rPr>
          <w:lang w:val="sr-Cyrl-RS" w:eastAsia="en-US"/>
        </w:rPr>
        <w:t xml:space="preserve"> обухваћен</w:t>
      </w:r>
      <w:r w:rsidR="007D70EE" w:rsidRPr="0052271C">
        <w:rPr>
          <w:lang w:val="sr-Cyrl-RS" w:eastAsia="en-US"/>
        </w:rPr>
        <w:t>и</w:t>
      </w:r>
      <w:r w:rsidRPr="0052271C">
        <w:rPr>
          <w:lang w:val="sr-Cyrl-RS" w:eastAsia="en-US"/>
        </w:rPr>
        <w:t xml:space="preserve"> Законом о јавним предузећима не постоји таква обавеза. Проблем у овој области представља недовољан </w:t>
      </w:r>
      <w:r w:rsidR="003C6F65" w:rsidRPr="0052271C">
        <w:rPr>
          <w:lang w:val="sr-Cyrl-RS" w:eastAsia="en-US"/>
        </w:rPr>
        <w:t>и неуједначен правни</w:t>
      </w:r>
      <w:r w:rsidRPr="0052271C">
        <w:rPr>
          <w:lang w:val="sr-Cyrl-RS" w:eastAsia="en-US"/>
        </w:rPr>
        <w:t xml:space="preserve"> оквир, </w:t>
      </w:r>
      <w:r w:rsidR="003C6F65" w:rsidRPr="0052271C">
        <w:rPr>
          <w:lang w:val="sr-Cyrl-RS" w:eastAsia="en-US"/>
        </w:rPr>
        <w:t>који</w:t>
      </w:r>
      <w:r w:rsidR="00B67A5B" w:rsidRPr="0052271C">
        <w:rPr>
          <w:lang w:val="sr-Cyrl-RS" w:eastAsia="en-US"/>
        </w:rPr>
        <w:t>м није одређена</w:t>
      </w:r>
      <w:r w:rsidR="003C6F65" w:rsidRPr="0052271C">
        <w:rPr>
          <w:lang w:val="sr-Cyrl-RS" w:eastAsia="en-US"/>
        </w:rPr>
        <w:t xml:space="preserve"> обавез</w:t>
      </w:r>
      <w:r w:rsidR="00B67A5B" w:rsidRPr="0052271C">
        <w:rPr>
          <w:lang w:val="sr-Cyrl-RS" w:eastAsia="en-US"/>
        </w:rPr>
        <w:t>а</w:t>
      </w:r>
      <w:r w:rsidR="003C6F65" w:rsidRPr="0052271C">
        <w:rPr>
          <w:lang w:val="sr-Cyrl-RS" w:eastAsia="en-US"/>
        </w:rPr>
        <w:t xml:space="preserve"> екстерне</w:t>
      </w:r>
      <w:r w:rsidRPr="0052271C">
        <w:rPr>
          <w:lang w:val="sr-Cyrl-RS" w:eastAsia="en-US"/>
        </w:rPr>
        <w:t xml:space="preserve"> ревизије финансијских извештаја</w:t>
      </w:r>
      <w:r w:rsidR="003C6F65" w:rsidRPr="0052271C">
        <w:rPr>
          <w:lang w:val="sr-Cyrl-RS" w:eastAsia="en-US"/>
        </w:rPr>
        <w:t xml:space="preserve"> за св</w:t>
      </w:r>
      <w:r w:rsidR="007D70EE" w:rsidRPr="0052271C">
        <w:rPr>
          <w:lang w:val="sr-Cyrl-RS" w:eastAsia="en-US"/>
        </w:rPr>
        <w:t>е</w:t>
      </w:r>
      <w:r w:rsidR="003C6F65" w:rsidRPr="0052271C">
        <w:rPr>
          <w:lang w:val="sr-Cyrl-RS" w:eastAsia="en-US"/>
        </w:rPr>
        <w:t xml:space="preserve"> ПСРС</w:t>
      </w:r>
      <w:r w:rsidRPr="0052271C">
        <w:rPr>
          <w:lang w:val="sr-Cyrl-RS" w:eastAsia="en-US"/>
        </w:rPr>
        <w:t>.</w:t>
      </w:r>
    </w:p>
    <w:p w14:paraId="2F8BD320" w14:textId="77777777" w:rsidR="003A7FEE" w:rsidRPr="0052271C" w:rsidRDefault="003A7FEE" w:rsidP="003A7FEE">
      <w:pPr>
        <w:spacing w:line="276" w:lineRule="auto"/>
        <w:ind w:firstLine="567"/>
        <w:jc w:val="both"/>
        <w:rPr>
          <w:lang w:val="sr-Cyrl-RS" w:eastAsia="en-US"/>
        </w:rPr>
      </w:pPr>
    </w:p>
    <w:p w14:paraId="4DB7D274" w14:textId="4BD17D9A" w:rsidR="00C52235" w:rsidRPr="0052271C" w:rsidRDefault="00657C6E" w:rsidP="003A7FEE">
      <w:pPr>
        <w:spacing w:line="276" w:lineRule="auto"/>
        <w:ind w:firstLine="567"/>
        <w:jc w:val="both"/>
        <w:outlineLvl w:val="2"/>
        <w:rPr>
          <w:lang w:val="sr-Cyrl-RS" w:eastAsia="en-US"/>
        </w:rPr>
      </w:pPr>
      <w:bookmarkStart w:id="46" w:name="_Toc63452458"/>
      <w:bookmarkStart w:id="47" w:name="_Toc63587093"/>
      <w:r w:rsidRPr="0052271C">
        <w:rPr>
          <w:lang w:val="sr-Cyrl-RS" w:eastAsia="en-US"/>
        </w:rPr>
        <w:t>Јавност</w:t>
      </w:r>
      <w:r w:rsidR="0052147A" w:rsidRPr="0052271C">
        <w:rPr>
          <w:lang w:val="sr-Cyrl-RS" w:eastAsia="en-US"/>
        </w:rPr>
        <w:t xml:space="preserve"> </w:t>
      </w:r>
      <w:r w:rsidR="00C52235" w:rsidRPr="0052271C">
        <w:rPr>
          <w:lang w:val="sr-Cyrl-RS" w:eastAsia="en-US"/>
        </w:rPr>
        <w:t>у раду и транспарентност</w:t>
      </w:r>
      <w:bookmarkEnd w:id="46"/>
      <w:bookmarkEnd w:id="47"/>
      <w:r w:rsidR="00C52235" w:rsidRPr="0052271C">
        <w:rPr>
          <w:lang w:val="sr-Cyrl-RS" w:eastAsia="en-US"/>
        </w:rPr>
        <w:t xml:space="preserve"> </w:t>
      </w:r>
    </w:p>
    <w:p w14:paraId="3ECC4DDE" w14:textId="77777777" w:rsidR="003A7FEE" w:rsidRPr="0052271C" w:rsidRDefault="003A7FEE" w:rsidP="003A7FEE">
      <w:pPr>
        <w:spacing w:line="276" w:lineRule="auto"/>
        <w:ind w:firstLine="567"/>
        <w:jc w:val="both"/>
        <w:outlineLvl w:val="2"/>
        <w:rPr>
          <w:sz w:val="12"/>
          <w:szCs w:val="12"/>
          <w:lang w:val="sr-Cyrl-RS" w:eastAsia="en-US"/>
        </w:rPr>
      </w:pPr>
    </w:p>
    <w:p w14:paraId="5E8C2E17" w14:textId="024041B3" w:rsidR="00792780" w:rsidRPr="0052271C" w:rsidRDefault="00C52235" w:rsidP="00E84649">
      <w:pPr>
        <w:spacing w:line="276" w:lineRule="auto"/>
        <w:ind w:firstLine="567"/>
        <w:jc w:val="both"/>
        <w:rPr>
          <w:lang w:val="sr-Cyrl-RS"/>
        </w:rPr>
      </w:pPr>
      <w:r w:rsidRPr="0052271C">
        <w:rPr>
          <w:lang w:val="sr-Cyrl-RS" w:eastAsia="en-US"/>
        </w:rPr>
        <w:t>Закон</w:t>
      </w:r>
      <w:r w:rsidR="00CB5034" w:rsidRPr="0052271C">
        <w:rPr>
          <w:lang w:val="sr-Cyrl-RS" w:eastAsia="en-US"/>
        </w:rPr>
        <w:t>ом о јавним предузећима прописана је</w:t>
      </w:r>
      <w:r w:rsidRPr="0052271C">
        <w:rPr>
          <w:lang w:val="sr-Cyrl-RS" w:eastAsia="en-US"/>
        </w:rPr>
        <w:t xml:space="preserve"> обавез</w:t>
      </w:r>
      <w:r w:rsidR="00CB5034" w:rsidRPr="0052271C">
        <w:rPr>
          <w:lang w:val="sr-Cyrl-RS" w:eastAsia="en-US"/>
        </w:rPr>
        <w:t>а</w:t>
      </w:r>
      <w:r w:rsidRPr="0052271C">
        <w:rPr>
          <w:lang w:val="sr-Cyrl-RS" w:eastAsia="en-US"/>
        </w:rPr>
        <w:t xml:space="preserve"> </w:t>
      </w:r>
      <w:r w:rsidR="005F21EF" w:rsidRPr="0052271C">
        <w:rPr>
          <w:lang w:val="sr-Cyrl-RS" w:eastAsia="en-US"/>
        </w:rPr>
        <w:t xml:space="preserve">јавних предузећа и друштава капитала на које се тај закон примењује да </w:t>
      </w:r>
      <w:r w:rsidR="00792780" w:rsidRPr="0052271C">
        <w:rPr>
          <w:lang w:val="sr-Cyrl-RS" w:eastAsia="en-US"/>
        </w:rPr>
        <w:t>објављ</w:t>
      </w:r>
      <w:r w:rsidR="005F21EF" w:rsidRPr="0052271C">
        <w:rPr>
          <w:lang w:val="sr-Cyrl-RS" w:eastAsia="en-US"/>
        </w:rPr>
        <w:t>ују</w:t>
      </w:r>
      <w:r w:rsidR="00792780" w:rsidRPr="0052271C">
        <w:rPr>
          <w:lang w:val="sr-Cyrl-RS" w:eastAsia="en-US"/>
        </w:rPr>
        <w:t xml:space="preserve"> информациј</w:t>
      </w:r>
      <w:r w:rsidR="005F21EF" w:rsidRPr="0052271C">
        <w:rPr>
          <w:lang w:val="sr-Cyrl-RS" w:eastAsia="en-US"/>
        </w:rPr>
        <w:t>е</w:t>
      </w:r>
      <w:r w:rsidR="00792780" w:rsidRPr="0052271C">
        <w:rPr>
          <w:lang w:val="sr-Cyrl-RS" w:eastAsia="en-US"/>
        </w:rPr>
        <w:t xml:space="preserve"> и одређен</w:t>
      </w:r>
      <w:r w:rsidR="005F21EF" w:rsidRPr="0052271C">
        <w:rPr>
          <w:lang w:val="sr-Cyrl-RS" w:eastAsia="en-US"/>
        </w:rPr>
        <w:t>е</w:t>
      </w:r>
      <w:r w:rsidR="00792780" w:rsidRPr="0052271C">
        <w:rPr>
          <w:lang w:val="sr-Cyrl-RS" w:eastAsia="en-US"/>
        </w:rPr>
        <w:t xml:space="preserve"> докумен</w:t>
      </w:r>
      <w:r w:rsidR="005F21EF" w:rsidRPr="0052271C">
        <w:rPr>
          <w:lang w:val="sr-Cyrl-RS" w:eastAsia="en-US"/>
        </w:rPr>
        <w:t>те</w:t>
      </w:r>
      <w:r w:rsidR="00792780" w:rsidRPr="0052271C">
        <w:rPr>
          <w:lang w:val="sr-Cyrl-RS" w:eastAsia="en-US"/>
        </w:rPr>
        <w:t xml:space="preserve"> на</w:t>
      </w:r>
      <w:r w:rsidR="005F21EF" w:rsidRPr="0052271C">
        <w:rPr>
          <w:lang w:val="sr-Cyrl-RS" w:eastAsia="en-US"/>
        </w:rPr>
        <w:t xml:space="preserve"> својим</w:t>
      </w:r>
      <w:r w:rsidR="00792780" w:rsidRPr="0052271C">
        <w:rPr>
          <w:lang w:val="sr-Cyrl-RS" w:eastAsia="en-US"/>
        </w:rPr>
        <w:t xml:space="preserve"> интернет страницама</w:t>
      </w:r>
      <w:r w:rsidR="005F21EF" w:rsidRPr="0052271C">
        <w:rPr>
          <w:lang w:val="sr-Cyrl-RS" w:eastAsia="en-US"/>
        </w:rPr>
        <w:t>,</w:t>
      </w:r>
      <w:r w:rsidR="00792780" w:rsidRPr="0052271C">
        <w:rPr>
          <w:lang w:val="sr-Cyrl-RS" w:eastAsia="en-US"/>
        </w:rPr>
        <w:t xml:space="preserve"> док д</w:t>
      </w:r>
      <w:r w:rsidRPr="0052271C">
        <w:rPr>
          <w:lang w:val="sr-Cyrl-RS" w:eastAsia="en-US"/>
        </w:rPr>
        <w:t>руг</w:t>
      </w:r>
      <w:r w:rsidR="007D70EE" w:rsidRPr="0052271C">
        <w:rPr>
          <w:lang w:val="sr-Cyrl-RS" w:eastAsia="en-US"/>
        </w:rPr>
        <w:t>и</w:t>
      </w:r>
      <w:r w:rsidRPr="0052271C">
        <w:rPr>
          <w:lang w:val="sr-Cyrl-RS" w:eastAsia="en-US"/>
        </w:rPr>
        <w:t xml:space="preserve"> </w:t>
      </w:r>
      <w:r w:rsidR="00173A96" w:rsidRPr="0052271C">
        <w:rPr>
          <w:lang w:val="sr-Cyrl-RS" w:eastAsia="en-US"/>
        </w:rPr>
        <w:t>ПСРС</w:t>
      </w:r>
      <w:r w:rsidRPr="0052271C">
        <w:rPr>
          <w:lang w:val="sr-Cyrl-RS" w:eastAsia="en-US"/>
        </w:rPr>
        <w:t xml:space="preserve"> кој</w:t>
      </w:r>
      <w:r w:rsidR="007D70EE" w:rsidRPr="0052271C">
        <w:rPr>
          <w:lang w:val="sr-Cyrl-RS" w:eastAsia="en-US"/>
        </w:rPr>
        <w:t>и</w:t>
      </w:r>
      <w:r w:rsidRPr="0052271C">
        <w:rPr>
          <w:lang w:val="sr-Cyrl-RS" w:eastAsia="en-US"/>
        </w:rPr>
        <w:t xml:space="preserve"> нису обухваћен</w:t>
      </w:r>
      <w:r w:rsidR="007D70EE" w:rsidRPr="0052271C">
        <w:rPr>
          <w:lang w:val="sr-Cyrl-RS" w:eastAsia="en-US"/>
        </w:rPr>
        <w:t>и</w:t>
      </w:r>
      <w:r w:rsidRPr="0052271C">
        <w:rPr>
          <w:lang w:val="sr-Cyrl-RS" w:eastAsia="en-US"/>
        </w:rPr>
        <w:t xml:space="preserve"> </w:t>
      </w:r>
      <w:r w:rsidR="005F21EF" w:rsidRPr="0052271C">
        <w:rPr>
          <w:lang w:val="sr-Cyrl-RS" w:eastAsia="en-US"/>
        </w:rPr>
        <w:t xml:space="preserve">тим законом </w:t>
      </w:r>
      <w:r w:rsidRPr="0052271C">
        <w:rPr>
          <w:lang w:val="sr-Cyrl-RS" w:eastAsia="en-US"/>
        </w:rPr>
        <w:t>следе само општа правила о финансијском извештавању и извештавању уопште. Према Закону о рачуноводству</w:t>
      </w:r>
      <w:r w:rsidR="00E84649" w:rsidRPr="0052271C">
        <w:rPr>
          <w:lang w:val="sr-Cyrl-RS" w:eastAsia="en-US"/>
        </w:rPr>
        <w:t xml:space="preserve"> („Службени гласник РСˮ, број 73/19),</w:t>
      </w:r>
      <w:r w:rsidRPr="0052271C">
        <w:rPr>
          <w:lang w:val="sr-Cyrl-RS" w:eastAsia="en-US"/>
        </w:rPr>
        <w:t xml:space="preserve"> објављују се годишњи финансијски извештаји, годишњи извештај о пословању итд. </w:t>
      </w:r>
      <w:r w:rsidR="00792780" w:rsidRPr="0052271C">
        <w:rPr>
          <w:lang w:val="sr-Cyrl-RS" w:eastAsia="en-US"/>
        </w:rPr>
        <w:lastRenderedPageBreak/>
        <w:t>Поред тога, за</w:t>
      </w:r>
      <w:r w:rsidRPr="0052271C">
        <w:rPr>
          <w:lang w:val="sr-Cyrl-RS" w:eastAsia="en-US"/>
        </w:rPr>
        <w:t xml:space="preserve"> </w:t>
      </w:r>
      <w:r w:rsidR="00AE31E3" w:rsidRPr="0052271C">
        <w:rPr>
          <w:lang w:val="sr-Cyrl-RS" w:eastAsia="en-US"/>
        </w:rPr>
        <w:t>ПСРС</w:t>
      </w:r>
      <w:r w:rsidRPr="0052271C">
        <w:rPr>
          <w:lang w:val="sr-Cyrl-RS" w:eastAsia="en-US"/>
        </w:rPr>
        <w:t xml:space="preserve"> кој</w:t>
      </w:r>
      <w:r w:rsidR="007D70EE" w:rsidRPr="0052271C">
        <w:rPr>
          <w:lang w:val="sr-Cyrl-RS" w:eastAsia="en-US"/>
        </w:rPr>
        <w:t>и</w:t>
      </w:r>
      <w:r w:rsidRPr="0052271C">
        <w:rPr>
          <w:lang w:val="sr-Cyrl-RS" w:eastAsia="en-US"/>
        </w:rPr>
        <w:t xml:space="preserve"> се сматрају јавним друштвима у смислу Закона о тржишту капитала</w:t>
      </w:r>
      <w:r w:rsidR="00E84649" w:rsidRPr="0052271C">
        <w:rPr>
          <w:lang w:val="sr-Cyrl-RS"/>
        </w:rPr>
        <w:t xml:space="preserve">  („Службени гласник РСˮ, бр. 31/11, 112/15, 108/16, 9/20 и 153/20)</w:t>
      </w:r>
      <w:r w:rsidR="00285127" w:rsidRPr="0052271C">
        <w:rPr>
          <w:lang w:val="sr-Cyrl-RS"/>
        </w:rPr>
        <w:t>,</w:t>
      </w:r>
      <w:r w:rsidR="00E84649" w:rsidRPr="0052271C">
        <w:rPr>
          <w:lang w:val="sr-Cyrl-RS" w:eastAsia="en-US"/>
        </w:rPr>
        <w:t xml:space="preserve"> </w:t>
      </w:r>
      <w:r w:rsidRPr="0052271C">
        <w:rPr>
          <w:lang w:val="sr-Cyrl-RS" w:eastAsia="en-US"/>
        </w:rPr>
        <w:t xml:space="preserve">потребно је </w:t>
      </w:r>
      <w:r w:rsidR="00E82EAA" w:rsidRPr="0052271C">
        <w:rPr>
          <w:lang w:val="sr-Cyrl-RS" w:eastAsia="en-US"/>
        </w:rPr>
        <w:t xml:space="preserve">да </w:t>
      </w:r>
      <w:r w:rsidR="00DA4034" w:rsidRPr="0052271C">
        <w:rPr>
          <w:lang w:val="sr-Cyrl-RS" w:eastAsia="en-US"/>
        </w:rPr>
        <w:t>додатно доставе извештаје</w:t>
      </w:r>
      <w:r w:rsidRPr="0052271C">
        <w:rPr>
          <w:lang w:val="sr-Cyrl-RS" w:eastAsia="en-US"/>
        </w:rPr>
        <w:t xml:space="preserve"> </w:t>
      </w:r>
      <w:r w:rsidR="00E82EAA" w:rsidRPr="0052271C">
        <w:rPr>
          <w:lang w:val="sr-Cyrl-RS" w:eastAsia="en-US"/>
        </w:rPr>
        <w:t xml:space="preserve">и </w:t>
      </w:r>
      <w:r w:rsidRPr="0052271C">
        <w:rPr>
          <w:lang w:val="sr-Cyrl-RS" w:eastAsia="en-US"/>
        </w:rPr>
        <w:t>Ко</w:t>
      </w:r>
      <w:r w:rsidR="00E82EAA" w:rsidRPr="0052271C">
        <w:rPr>
          <w:lang w:val="sr-Cyrl-RS" w:eastAsia="en-US"/>
        </w:rPr>
        <w:t>мисији за хартије од вредности а зависно од случаја и</w:t>
      </w:r>
      <w:r w:rsidRPr="0052271C">
        <w:rPr>
          <w:lang w:val="sr-Cyrl-RS" w:eastAsia="en-US"/>
        </w:rPr>
        <w:t xml:space="preserve"> регулисаном тржишту. </w:t>
      </w:r>
    </w:p>
    <w:p w14:paraId="1208335B" w14:textId="0F031A5A" w:rsidR="004C69C3" w:rsidRPr="0052271C" w:rsidRDefault="00792780" w:rsidP="003A7FEE">
      <w:pPr>
        <w:spacing w:line="276" w:lineRule="auto"/>
        <w:ind w:firstLine="567"/>
        <w:jc w:val="both"/>
        <w:rPr>
          <w:lang w:val="sr-Cyrl-RS" w:eastAsia="en-US"/>
        </w:rPr>
      </w:pPr>
      <w:r w:rsidRPr="0052271C">
        <w:rPr>
          <w:lang w:val="sr-Cyrl-RS" w:eastAsia="en-US"/>
        </w:rPr>
        <w:t xml:space="preserve">Уочено је да </w:t>
      </w:r>
      <w:r w:rsidR="00285127" w:rsidRPr="0052271C">
        <w:rPr>
          <w:lang w:val="sr-Cyrl-RS" w:eastAsia="en-US"/>
        </w:rPr>
        <w:t>важећи прописи</w:t>
      </w:r>
      <w:r w:rsidR="00C52235" w:rsidRPr="0052271C">
        <w:rPr>
          <w:lang w:val="sr-Cyrl-RS" w:eastAsia="en-US"/>
        </w:rPr>
        <w:t xml:space="preserve"> </w:t>
      </w:r>
      <w:r w:rsidRPr="0052271C">
        <w:rPr>
          <w:lang w:val="sr-Cyrl-RS" w:eastAsia="en-US"/>
        </w:rPr>
        <w:t xml:space="preserve">у овој области </w:t>
      </w:r>
      <w:r w:rsidR="00C52235" w:rsidRPr="0052271C">
        <w:rPr>
          <w:lang w:val="sr-Cyrl-RS" w:eastAsia="en-US"/>
        </w:rPr>
        <w:t>не пружа</w:t>
      </w:r>
      <w:r w:rsidR="00285127" w:rsidRPr="0052271C">
        <w:rPr>
          <w:lang w:val="sr-Cyrl-RS" w:eastAsia="en-US"/>
        </w:rPr>
        <w:t>ју</w:t>
      </w:r>
      <w:r w:rsidR="00C52235" w:rsidRPr="0052271C">
        <w:rPr>
          <w:lang w:val="sr-Cyrl-RS" w:eastAsia="en-US"/>
        </w:rPr>
        <w:t xml:space="preserve"> оквир за јединствену политику обелодањивања </w:t>
      </w:r>
      <w:r w:rsidRPr="0052271C">
        <w:rPr>
          <w:lang w:val="sr-Cyrl-RS" w:eastAsia="en-US"/>
        </w:rPr>
        <w:t xml:space="preserve">и транспарентности </w:t>
      </w:r>
      <w:r w:rsidR="00C52235" w:rsidRPr="0052271C">
        <w:rPr>
          <w:lang w:val="sr-Cyrl-RS" w:eastAsia="en-US"/>
        </w:rPr>
        <w:t>за св</w:t>
      </w:r>
      <w:r w:rsidR="007D70EE" w:rsidRPr="0052271C">
        <w:rPr>
          <w:lang w:val="sr-Cyrl-RS" w:eastAsia="en-US"/>
        </w:rPr>
        <w:t>е</w:t>
      </w:r>
      <w:r w:rsidR="00C52235" w:rsidRPr="0052271C">
        <w:rPr>
          <w:lang w:val="sr-Cyrl-RS" w:eastAsia="en-US"/>
        </w:rPr>
        <w:t xml:space="preserve"> </w:t>
      </w:r>
      <w:r w:rsidR="00AE31E3" w:rsidRPr="0052271C">
        <w:rPr>
          <w:lang w:val="sr-Cyrl-RS" w:eastAsia="en-US"/>
        </w:rPr>
        <w:t>ПСРС</w:t>
      </w:r>
      <w:r w:rsidR="00C52235" w:rsidRPr="0052271C">
        <w:rPr>
          <w:lang w:val="sr-Cyrl-RS" w:eastAsia="en-US"/>
        </w:rPr>
        <w:t xml:space="preserve">. </w:t>
      </w:r>
    </w:p>
    <w:p w14:paraId="3E1E079F" w14:textId="77777777" w:rsidR="005D5655" w:rsidRPr="0052271C" w:rsidRDefault="005D5655" w:rsidP="003A7FEE">
      <w:pPr>
        <w:spacing w:line="276" w:lineRule="auto"/>
        <w:ind w:firstLine="567"/>
        <w:jc w:val="both"/>
        <w:rPr>
          <w:lang w:val="sr-Cyrl-RS" w:eastAsia="en-US"/>
        </w:rPr>
      </w:pPr>
    </w:p>
    <w:p w14:paraId="68536D5B" w14:textId="21A8A7A1" w:rsidR="00C52235" w:rsidRPr="0052271C" w:rsidRDefault="00C52235" w:rsidP="003A7FEE">
      <w:pPr>
        <w:spacing w:line="276" w:lineRule="auto"/>
        <w:ind w:firstLine="567"/>
        <w:jc w:val="both"/>
        <w:outlineLvl w:val="2"/>
        <w:rPr>
          <w:lang w:val="sr-Cyrl-RS" w:eastAsia="en-US"/>
        </w:rPr>
      </w:pPr>
      <w:bookmarkStart w:id="48" w:name="_Toc63452459"/>
      <w:bookmarkStart w:id="49" w:name="_Toc63587094"/>
      <w:r w:rsidRPr="0052271C">
        <w:rPr>
          <w:lang w:val="sr-Cyrl-RS" w:eastAsia="en-US"/>
        </w:rPr>
        <w:t>Стратешка питања људских ресурса: подстицаји и усклађивање</w:t>
      </w:r>
      <w:bookmarkEnd w:id="48"/>
      <w:bookmarkEnd w:id="49"/>
      <w:r w:rsidRPr="0052271C">
        <w:rPr>
          <w:lang w:val="sr-Cyrl-RS" w:eastAsia="en-US"/>
        </w:rPr>
        <w:t xml:space="preserve"> </w:t>
      </w:r>
    </w:p>
    <w:p w14:paraId="5E339717" w14:textId="77777777" w:rsidR="003A7FEE" w:rsidRPr="0052271C" w:rsidRDefault="003A7FEE" w:rsidP="003A7FEE">
      <w:pPr>
        <w:spacing w:line="276" w:lineRule="auto"/>
        <w:ind w:firstLine="567"/>
        <w:jc w:val="both"/>
        <w:outlineLvl w:val="2"/>
        <w:rPr>
          <w:lang w:val="sr-Cyrl-RS" w:eastAsia="en-US"/>
        </w:rPr>
      </w:pPr>
    </w:p>
    <w:p w14:paraId="6B4122A4" w14:textId="257983C2" w:rsidR="00411270" w:rsidRPr="0052271C" w:rsidRDefault="00C52235" w:rsidP="003A7FEE">
      <w:pPr>
        <w:spacing w:line="276" w:lineRule="auto"/>
        <w:ind w:firstLine="567"/>
        <w:jc w:val="both"/>
        <w:rPr>
          <w:bCs/>
          <w:lang w:val="sr-Cyrl-RS" w:eastAsia="en-US"/>
        </w:rPr>
      </w:pPr>
      <w:r w:rsidRPr="0052271C">
        <w:rPr>
          <w:bCs/>
          <w:lang w:val="sr-Cyrl-RS" w:eastAsia="en-US"/>
        </w:rPr>
        <w:t>Чланови надзорног одбора у јавним предузећима имају право на накнаду</w:t>
      </w:r>
      <w:r w:rsidR="007A6D50" w:rsidRPr="0052271C">
        <w:rPr>
          <w:bCs/>
          <w:lang w:val="sr-Cyrl-RS" w:eastAsia="en-US"/>
        </w:rPr>
        <w:t>,</w:t>
      </w:r>
      <w:r w:rsidRPr="0052271C">
        <w:rPr>
          <w:bCs/>
          <w:lang w:val="sr-Cyrl-RS" w:eastAsia="en-US"/>
        </w:rPr>
        <w:t xml:space="preserve"> чија је висина ограничена одлуком Владе.</w:t>
      </w:r>
      <w:r w:rsidRPr="0052271C">
        <w:rPr>
          <w:bCs/>
          <w:vertAlign w:val="superscript"/>
          <w:lang w:val="sr-Cyrl-RS" w:eastAsia="en-US"/>
        </w:rPr>
        <w:footnoteReference w:id="30"/>
      </w:r>
      <w:r w:rsidRPr="0052271C">
        <w:rPr>
          <w:bCs/>
          <w:lang w:val="sr-Cyrl-RS" w:eastAsia="en-US"/>
        </w:rPr>
        <w:t xml:space="preserve"> Директори и извршни директори у јавним предузећима имају право на зараду и</w:t>
      </w:r>
      <w:r w:rsidR="00411270" w:rsidRPr="0052271C">
        <w:rPr>
          <w:bCs/>
          <w:lang w:val="sr-Cyrl-RS" w:eastAsia="en-US"/>
        </w:rPr>
        <w:t xml:space="preserve"> могу имати право на стимулацију</w:t>
      </w:r>
      <w:r w:rsidRPr="0052271C">
        <w:rPr>
          <w:bCs/>
          <w:lang w:val="sr-Cyrl-RS" w:eastAsia="en-US"/>
        </w:rPr>
        <w:t xml:space="preserve"> (бонусе), </w:t>
      </w:r>
      <w:r w:rsidR="00411270" w:rsidRPr="0052271C">
        <w:rPr>
          <w:bCs/>
          <w:lang w:val="sr-Cyrl-RS" w:eastAsia="en-US"/>
        </w:rPr>
        <w:t>а акт о</w:t>
      </w:r>
      <w:r w:rsidR="00411270" w:rsidRPr="0052271C">
        <w:rPr>
          <w:lang w:val="sr-Cyrl-RS" w:eastAsia="en-US"/>
        </w:rPr>
        <w:t xml:space="preserve"> исплати стимулације доноси надзорни одбор, уз сагласност Владе</w:t>
      </w:r>
      <w:r w:rsidRPr="0052271C">
        <w:rPr>
          <w:bCs/>
          <w:lang w:val="sr-Cyrl-RS" w:eastAsia="en-US"/>
        </w:rPr>
        <w:t xml:space="preserve">. </w:t>
      </w:r>
      <w:r w:rsidR="00411270" w:rsidRPr="0052271C">
        <w:rPr>
          <w:lang w:val="sr-Cyrl-RS" w:eastAsia="en-US"/>
        </w:rPr>
        <w:t>Акт о исплати стимулације извршног директора доноси се на предлог директора</w:t>
      </w:r>
      <w:r w:rsidR="00411270" w:rsidRPr="0052271C">
        <w:rPr>
          <w:bCs/>
          <w:lang w:val="sr-Cyrl-RS" w:eastAsia="en-US"/>
        </w:rPr>
        <w:t xml:space="preserve">. </w:t>
      </w:r>
      <w:r w:rsidRPr="0052271C">
        <w:rPr>
          <w:bCs/>
          <w:lang w:val="sr-Cyrl-RS" w:eastAsia="en-US"/>
        </w:rPr>
        <w:t xml:space="preserve">Влада није донела акт о условима и критеријумима за утврђивање висине стимулације за директоре у јавним предузећима. </w:t>
      </w:r>
    </w:p>
    <w:p w14:paraId="63971A04" w14:textId="64263AAD" w:rsidR="00D23B49" w:rsidRPr="0052271C" w:rsidRDefault="00C52235" w:rsidP="00411270">
      <w:pPr>
        <w:spacing w:after="240" w:line="276" w:lineRule="auto"/>
        <w:ind w:firstLine="567"/>
        <w:jc w:val="both"/>
        <w:rPr>
          <w:bCs/>
          <w:lang w:val="sr-Cyrl-RS" w:eastAsia="en-US"/>
        </w:rPr>
      </w:pPr>
      <w:r w:rsidRPr="0052271C">
        <w:rPr>
          <w:bCs/>
          <w:lang w:val="sr-Cyrl-RS" w:eastAsia="en-US"/>
        </w:rPr>
        <w:t xml:space="preserve">За </w:t>
      </w:r>
      <w:r w:rsidR="00AE31E3" w:rsidRPr="0052271C">
        <w:rPr>
          <w:bCs/>
          <w:lang w:val="sr-Cyrl-RS" w:eastAsia="en-US"/>
        </w:rPr>
        <w:t>ПСРС</w:t>
      </w:r>
      <w:r w:rsidRPr="0052271C">
        <w:rPr>
          <w:bCs/>
          <w:lang w:val="sr-Cyrl-RS" w:eastAsia="en-US"/>
        </w:rPr>
        <w:t xml:space="preserve"> кој</w:t>
      </w:r>
      <w:r w:rsidR="007D70EE" w:rsidRPr="0052271C">
        <w:rPr>
          <w:bCs/>
          <w:lang w:val="sr-Cyrl-RS" w:eastAsia="en-US"/>
        </w:rPr>
        <w:t>и</w:t>
      </w:r>
      <w:r w:rsidRPr="0052271C">
        <w:rPr>
          <w:bCs/>
          <w:lang w:val="sr-Cyrl-RS" w:eastAsia="en-US"/>
        </w:rPr>
        <w:t xml:space="preserve"> нису обухваћен</w:t>
      </w:r>
      <w:r w:rsidR="007D70EE" w:rsidRPr="0052271C">
        <w:rPr>
          <w:bCs/>
          <w:lang w:val="sr-Cyrl-RS" w:eastAsia="en-US"/>
        </w:rPr>
        <w:t>и</w:t>
      </w:r>
      <w:r w:rsidRPr="0052271C">
        <w:rPr>
          <w:bCs/>
          <w:lang w:val="sr-Cyrl-RS" w:eastAsia="en-US"/>
        </w:rPr>
        <w:t xml:space="preserve"> Законом о јавним предузећима не постоје ограничења у погледу износа зарада и бонуса, осим општих који се примењују на ограничења висине зарада у целом јавном сектору. У пракси је примећено да у неким </w:t>
      </w:r>
      <w:r w:rsidR="00AE31E3" w:rsidRPr="0052271C">
        <w:rPr>
          <w:bCs/>
          <w:lang w:val="sr-Cyrl-RS" w:eastAsia="en-US"/>
        </w:rPr>
        <w:t>ПСРС</w:t>
      </w:r>
      <w:r w:rsidRPr="0052271C">
        <w:rPr>
          <w:bCs/>
          <w:lang w:val="sr-Cyrl-RS" w:eastAsia="en-US"/>
        </w:rPr>
        <w:t xml:space="preserve"> чланови надзорног одбора уопште не примају накнаду.</w:t>
      </w:r>
      <w:r w:rsidR="00F93ED4" w:rsidRPr="0052271C">
        <w:rPr>
          <w:bCs/>
          <w:lang w:val="sr-Cyrl-RS" w:eastAsia="en-US"/>
        </w:rPr>
        <w:t xml:space="preserve"> </w:t>
      </w:r>
      <w:r w:rsidRPr="0052271C">
        <w:rPr>
          <w:bCs/>
          <w:lang w:val="sr-Cyrl-RS" w:eastAsia="en-US"/>
        </w:rPr>
        <w:t>Поред тога, накнаде члановима о</w:t>
      </w:r>
      <w:r w:rsidR="003314C1" w:rsidRPr="0052271C">
        <w:rPr>
          <w:bCs/>
          <w:lang w:val="sr-Cyrl-RS" w:eastAsia="en-US"/>
        </w:rPr>
        <w:t>ргана управљања</w:t>
      </w:r>
      <w:r w:rsidRPr="0052271C">
        <w:rPr>
          <w:bCs/>
          <w:lang w:val="sr-Cyrl-RS" w:eastAsia="en-US"/>
        </w:rPr>
        <w:t xml:space="preserve"> и зараде директора и кључних руководилаца нису повезане са учинком (постизање одређених кључних показатеља учинка). </w:t>
      </w:r>
    </w:p>
    <w:p w14:paraId="76C65E98" w14:textId="63ED463C" w:rsidR="00657C6E" w:rsidRPr="0052271C" w:rsidRDefault="00D23B49" w:rsidP="00D23B49">
      <w:pPr>
        <w:spacing w:after="160" w:line="259" w:lineRule="auto"/>
        <w:rPr>
          <w:bCs/>
          <w:lang w:val="sr-Cyrl-RS" w:eastAsia="en-US"/>
        </w:rPr>
      </w:pPr>
      <w:r w:rsidRPr="0052271C">
        <w:rPr>
          <w:bCs/>
          <w:lang w:val="sr-Cyrl-RS" w:eastAsia="en-US"/>
        </w:rPr>
        <w:br w:type="page"/>
      </w:r>
    </w:p>
    <w:p w14:paraId="3327D346" w14:textId="6EE4535F" w:rsidR="00657C6E" w:rsidRPr="0052271C" w:rsidRDefault="0017793E" w:rsidP="00E66320">
      <w:pPr>
        <w:pStyle w:val="Heading1"/>
        <w:numPr>
          <w:ilvl w:val="0"/>
          <w:numId w:val="26"/>
        </w:numPr>
        <w:tabs>
          <w:tab w:val="left" w:pos="567"/>
        </w:tabs>
        <w:spacing w:line="276" w:lineRule="auto"/>
        <w:ind w:left="0" w:firstLine="0"/>
        <w:jc w:val="center"/>
        <w:rPr>
          <w:rFonts w:ascii="Times New Roman" w:hAnsi="Times New Roman"/>
          <w:b w:val="0"/>
          <w:sz w:val="24"/>
          <w:szCs w:val="24"/>
          <w:lang w:val="sr-Cyrl-RS"/>
        </w:rPr>
      </w:pPr>
      <w:r w:rsidRPr="0052271C">
        <w:rPr>
          <w:rFonts w:ascii="Times New Roman" w:hAnsi="Times New Roman"/>
          <w:b w:val="0"/>
          <w:sz w:val="24"/>
          <w:szCs w:val="24"/>
          <w:lang w:val="sr-Cyrl-RS"/>
        </w:rPr>
        <w:lastRenderedPageBreak/>
        <w:t>ОПШТИ И ПОСЕБНИ ЦИЉЕВИ</w:t>
      </w:r>
    </w:p>
    <w:p w14:paraId="485F4AC3" w14:textId="77777777" w:rsidR="0017793E" w:rsidRPr="0052271C" w:rsidRDefault="0017793E" w:rsidP="0017793E">
      <w:pPr>
        <w:rPr>
          <w:lang w:val="sr-Cyrl-RS"/>
        </w:rPr>
      </w:pPr>
    </w:p>
    <w:p w14:paraId="551DE706" w14:textId="77777777" w:rsidR="005D5655" w:rsidRPr="0052271C" w:rsidRDefault="005D5655" w:rsidP="005D5655">
      <w:pPr>
        <w:rPr>
          <w:lang w:val="sr-Cyrl-RS"/>
        </w:rPr>
      </w:pPr>
    </w:p>
    <w:p w14:paraId="59F00ADB" w14:textId="17F43532" w:rsidR="001F32A0" w:rsidRPr="0052271C" w:rsidRDefault="005D5655" w:rsidP="001F32A0">
      <w:pPr>
        <w:tabs>
          <w:tab w:val="num" w:pos="573"/>
        </w:tabs>
        <w:spacing w:after="160" w:line="259" w:lineRule="auto"/>
        <w:jc w:val="center"/>
        <w:rPr>
          <w:rFonts w:eastAsiaTheme="minorHAnsi"/>
          <w:b/>
          <w:bCs/>
          <w:sz w:val="28"/>
          <w:szCs w:val="28"/>
          <w:lang w:val="sr-Cyrl-RS" w:eastAsia="en-US"/>
        </w:rPr>
      </w:pPr>
      <w:bookmarkStart w:id="50" w:name="_Hlk59201229"/>
      <w:r w:rsidRPr="0052271C">
        <w:rPr>
          <w:rFonts w:eastAsiaTheme="minorHAnsi"/>
          <w:b/>
          <w:bCs/>
          <w:noProof/>
          <w:sz w:val="28"/>
          <w:szCs w:val="28"/>
          <w:lang w:val="en-US" w:eastAsia="en-US"/>
        </w:rPr>
        <w:drawing>
          <wp:inline distT="0" distB="0" distL="0" distR="0" wp14:anchorId="54521A68" wp14:editId="2201FB7C">
            <wp:extent cx="5481716" cy="2876550"/>
            <wp:effectExtent l="0" t="0" r="508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85196" cy="2878376"/>
                    </a:xfrm>
                    <a:prstGeom prst="rect">
                      <a:avLst/>
                    </a:prstGeom>
                    <a:noFill/>
                  </pic:spPr>
                </pic:pic>
              </a:graphicData>
            </a:graphic>
          </wp:inline>
        </w:drawing>
      </w:r>
    </w:p>
    <w:p w14:paraId="68DD4993" w14:textId="77777777" w:rsidR="001F32A0" w:rsidRPr="0052271C" w:rsidRDefault="001F32A0" w:rsidP="001F32A0">
      <w:pPr>
        <w:tabs>
          <w:tab w:val="num" w:pos="573"/>
        </w:tabs>
        <w:spacing w:after="160" w:line="259" w:lineRule="auto"/>
        <w:jc w:val="both"/>
        <w:rPr>
          <w:rFonts w:eastAsiaTheme="minorHAnsi"/>
          <w:b/>
          <w:bCs/>
          <w:sz w:val="28"/>
          <w:szCs w:val="28"/>
          <w:lang w:val="sr-Cyrl-RS" w:eastAsia="en-US"/>
        </w:rPr>
      </w:pPr>
    </w:p>
    <w:p w14:paraId="0C5C7A53" w14:textId="498EFBAC" w:rsidR="001F32A0" w:rsidRPr="0052271C" w:rsidRDefault="001F32A0" w:rsidP="007A09D5">
      <w:pPr>
        <w:spacing w:line="276" w:lineRule="auto"/>
        <w:ind w:firstLine="720"/>
        <w:contextualSpacing/>
        <w:jc w:val="both"/>
        <w:rPr>
          <w:lang w:val="sr-Cyrl-RS" w:eastAsia="en-US"/>
        </w:rPr>
      </w:pPr>
      <w:r w:rsidRPr="0052271C">
        <w:rPr>
          <w:b/>
          <w:lang w:val="sr-Cyrl-RS" w:eastAsia="en-US"/>
        </w:rPr>
        <w:t>Општи циљ</w:t>
      </w:r>
      <w:r w:rsidRPr="0052271C">
        <w:rPr>
          <w:lang w:val="sr-Cyrl-RS" w:eastAsia="en-US"/>
        </w:rPr>
        <w:t xml:space="preserve"> је одрживо и ефикасно управљање ПСРС, што одражава посвећеност Владе реформи ПСРС и повећању користи </w:t>
      </w:r>
      <w:r w:rsidR="002B3941" w:rsidRPr="0052271C">
        <w:rPr>
          <w:lang w:val="sr-Cyrl-RS" w:eastAsia="en-US"/>
        </w:rPr>
        <w:t xml:space="preserve">за грађане </w:t>
      </w:r>
      <w:r w:rsidRPr="0052271C">
        <w:rPr>
          <w:lang w:val="sr-Cyrl-RS" w:eastAsia="en-US"/>
        </w:rPr>
        <w:t xml:space="preserve">од државног власништва. Постизање општег циља подржавају </w:t>
      </w:r>
      <w:r w:rsidR="00C246F7" w:rsidRPr="0052271C">
        <w:rPr>
          <w:lang w:val="sr-Cyrl-RS" w:eastAsia="en-US"/>
        </w:rPr>
        <w:t>два</w:t>
      </w:r>
      <w:r w:rsidRPr="0052271C">
        <w:rPr>
          <w:lang w:val="sr-Cyrl-RS" w:eastAsia="en-US"/>
        </w:rPr>
        <w:t xml:space="preserve"> посебна циља, а сваки од њих повезан је са мерама које би требало да доведу до постизања тих циљева.</w:t>
      </w:r>
    </w:p>
    <w:p w14:paraId="52CD8789" w14:textId="77777777" w:rsidR="001F32A0" w:rsidRPr="0052271C" w:rsidRDefault="001F32A0" w:rsidP="004C69C3">
      <w:pPr>
        <w:spacing w:after="160" w:line="276" w:lineRule="auto"/>
        <w:ind w:left="360"/>
        <w:contextualSpacing/>
        <w:jc w:val="both"/>
        <w:rPr>
          <w:color w:val="FF0000"/>
          <w:lang w:val="sr-Cyrl-RS" w:eastAsia="en-US"/>
        </w:rPr>
      </w:pPr>
    </w:p>
    <w:p w14:paraId="31D57441" w14:textId="0D59C9B5" w:rsidR="001F32A0" w:rsidRPr="0052271C" w:rsidRDefault="001F32A0" w:rsidP="00E66320">
      <w:pPr>
        <w:tabs>
          <w:tab w:val="left" w:pos="851"/>
        </w:tabs>
        <w:spacing w:after="160" w:line="276" w:lineRule="auto"/>
        <w:ind w:firstLine="567"/>
        <w:contextualSpacing/>
        <w:jc w:val="both"/>
        <w:rPr>
          <w:lang w:val="sr-Cyrl-RS" w:eastAsia="en-US"/>
        </w:rPr>
      </w:pPr>
      <w:r w:rsidRPr="0052271C">
        <w:rPr>
          <w:b/>
          <w:lang w:val="sr-Cyrl-RS" w:eastAsia="en-US"/>
        </w:rPr>
        <w:t>Први посебни</w:t>
      </w:r>
      <w:r w:rsidR="00C246F7" w:rsidRPr="0052271C">
        <w:rPr>
          <w:b/>
          <w:lang w:val="sr-Cyrl-RS" w:eastAsia="en-US"/>
        </w:rPr>
        <w:t xml:space="preserve"> циљ – </w:t>
      </w:r>
      <w:r w:rsidR="00A940AB" w:rsidRPr="0052271C">
        <w:rPr>
          <w:lang w:val="sr-Cyrl-RS" w:eastAsia="en-US"/>
        </w:rPr>
        <w:t>Развој јединственог оквира власништва и управљања за св</w:t>
      </w:r>
      <w:r w:rsidR="007D70EE" w:rsidRPr="0052271C">
        <w:rPr>
          <w:lang w:val="sr-Cyrl-RS" w:eastAsia="en-US"/>
        </w:rPr>
        <w:t>е</w:t>
      </w:r>
      <w:r w:rsidR="00A940AB" w:rsidRPr="0052271C">
        <w:rPr>
          <w:lang w:val="sr-Cyrl-RS" w:eastAsia="en-US"/>
        </w:rPr>
        <w:t xml:space="preserve"> ПСРС омогућиће централизацију одговорности и надлежности државе у погледу власништва. Успоставиће се независно и ефикасно вршење власничке функције, јединствени систем механизама за постављање циљева, мерење и праћење учинка и извештавање чиме ће се обезбедити свеобухватни надзор над свим ПСРС и усклађивање</w:t>
      </w:r>
      <w:r w:rsidR="00A940AB" w:rsidRPr="0052271C">
        <w:rPr>
          <w:b/>
          <w:bCs/>
          <w:lang w:val="sr-Cyrl-RS" w:eastAsia="en-US"/>
        </w:rPr>
        <w:t xml:space="preserve"> </w:t>
      </w:r>
      <w:r w:rsidR="00A940AB" w:rsidRPr="0052271C">
        <w:rPr>
          <w:lang w:val="sr-Cyrl-RS" w:eastAsia="en-US"/>
        </w:rPr>
        <w:t>стратегија и циљева сваког ПСРС са општим циљевима државног власништва.</w:t>
      </w:r>
    </w:p>
    <w:p w14:paraId="64D9A127" w14:textId="77777777" w:rsidR="001F32A0" w:rsidRPr="0052271C" w:rsidRDefault="001F32A0" w:rsidP="004C69C3">
      <w:pPr>
        <w:tabs>
          <w:tab w:val="left" w:pos="851"/>
        </w:tabs>
        <w:spacing w:after="160" w:line="276" w:lineRule="auto"/>
        <w:ind w:firstLine="567"/>
        <w:contextualSpacing/>
        <w:jc w:val="both"/>
        <w:rPr>
          <w:color w:val="FF0000"/>
          <w:lang w:val="sr-Cyrl-RS" w:eastAsia="en-US"/>
        </w:rPr>
      </w:pPr>
      <w:r w:rsidRPr="0052271C">
        <w:rPr>
          <w:lang w:val="sr-Cyrl-RS" w:eastAsia="en-US"/>
        </w:rPr>
        <w:t xml:space="preserve"> </w:t>
      </w:r>
    </w:p>
    <w:p w14:paraId="0C083036" w14:textId="6536336B" w:rsidR="00D23B49" w:rsidRPr="0052271C" w:rsidRDefault="001F32A0" w:rsidP="00E66320">
      <w:pPr>
        <w:tabs>
          <w:tab w:val="left" w:pos="851"/>
        </w:tabs>
        <w:spacing w:after="160" w:line="276" w:lineRule="auto"/>
        <w:ind w:firstLine="567"/>
        <w:contextualSpacing/>
        <w:jc w:val="both"/>
        <w:rPr>
          <w:b/>
          <w:lang w:val="sr-Cyrl-RS" w:eastAsia="en-US"/>
        </w:rPr>
      </w:pPr>
      <w:r w:rsidRPr="0052271C">
        <w:rPr>
          <w:b/>
          <w:lang w:val="sr-Cyrl-RS" w:eastAsia="en-US"/>
        </w:rPr>
        <w:t xml:space="preserve">Други посебни циљ </w:t>
      </w:r>
      <w:r w:rsidR="005E322A" w:rsidRPr="0052271C">
        <w:rPr>
          <w:b/>
          <w:lang w:val="sr-Cyrl-RS" w:eastAsia="en-US"/>
        </w:rPr>
        <w:t>–</w:t>
      </w:r>
      <w:r w:rsidRPr="0052271C">
        <w:rPr>
          <w:b/>
          <w:lang w:val="sr-Cyrl-RS" w:eastAsia="en-US"/>
        </w:rPr>
        <w:t xml:space="preserve"> </w:t>
      </w:r>
      <w:r w:rsidRPr="0052271C">
        <w:rPr>
          <w:lang w:val="sr-Cyrl-RS" w:eastAsia="en-US"/>
        </w:rPr>
        <w:t xml:space="preserve">успостављање, развој и унапређење корпоративног управљања у ПСРС, укључујући успостављање одговарајућих механизама за избор чланова одбора, довешће до тога да управљачка тела и руководство имају одговарајуће вештине и стручност и довољан ниво независности, што им омогућава да извршавају своје задатке. Правилан оквир корпоративног управљања дефинише одговорност и </w:t>
      </w:r>
      <w:r w:rsidR="00BD079C" w:rsidRPr="0052271C">
        <w:rPr>
          <w:lang w:val="sr-Cyrl-RS" w:eastAsia="en-US"/>
        </w:rPr>
        <w:t xml:space="preserve"> евентуалне санкције </w:t>
      </w:r>
      <w:r w:rsidRPr="0052271C">
        <w:rPr>
          <w:lang w:val="sr-Cyrl-RS" w:eastAsia="en-US"/>
        </w:rPr>
        <w:t>за резултате пословања ПСРС и успоставља функцију управљања ризицима и контролно окружење.</w:t>
      </w:r>
      <w:r w:rsidRPr="0052271C">
        <w:rPr>
          <w:b/>
          <w:lang w:val="sr-Cyrl-RS" w:eastAsia="en-US"/>
        </w:rPr>
        <w:t xml:space="preserve"> </w:t>
      </w:r>
    </w:p>
    <w:p w14:paraId="136C2AD2" w14:textId="3C0AF582" w:rsidR="00DA0363" w:rsidRPr="0052271C" w:rsidRDefault="00D23B49" w:rsidP="00D23B49">
      <w:pPr>
        <w:spacing w:after="160" w:line="259" w:lineRule="auto"/>
        <w:rPr>
          <w:b/>
          <w:lang w:val="sr-Cyrl-RS" w:eastAsia="en-US"/>
        </w:rPr>
      </w:pPr>
      <w:r w:rsidRPr="0052271C">
        <w:rPr>
          <w:b/>
          <w:lang w:val="sr-Cyrl-RS" w:eastAsia="en-US"/>
        </w:rPr>
        <w:br w:type="page"/>
      </w:r>
    </w:p>
    <w:p w14:paraId="027AB9E3" w14:textId="2C559B53" w:rsidR="001F32A0" w:rsidRPr="0052271C" w:rsidRDefault="000C3ED6" w:rsidP="00E66320">
      <w:pPr>
        <w:pStyle w:val="Heading1"/>
        <w:numPr>
          <w:ilvl w:val="0"/>
          <w:numId w:val="26"/>
        </w:numPr>
        <w:tabs>
          <w:tab w:val="left" w:pos="426"/>
        </w:tabs>
        <w:spacing w:line="276" w:lineRule="auto"/>
        <w:ind w:left="0" w:firstLine="0"/>
        <w:jc w:val="center"/>
        <w:rPr>
          <w:rFonts w:ascii="Times New Roman" w:hAnsi="Times New Roman"/>
          <w:b w:val="0"/>
          <w:sz w:val="28"/>
          <w:szCs w:val="28"/>
          <w:lang w:val="sr-Cyrl-RS"/>
        </w:rPr>
      </w:pPr>
      <w:bookmarkStart w:id="51" w:name="_Toc63452461"/>
      <w:bookmarkStart w:id="52" w:name="_Toc63587096"/>
      <w:r w:rsidRPr="0052271C">
        <w:rPr>
          <w:rFonts w:ascii="Times New Roman" w:hAnsi="Times New Roman"/>
          <w:b w:val="0"/>
          <w:sz w:val="28"/>
          <w:szCs w:val="28"/>
          <w:lang w:val="sr-Cyrl-RS"/>
        </w:rPr>
        <w:lastRenderedPageBreak/>
        <w:t>МЕРЕ ЗА ПОСТИЗАЊЕ ОПШТИХ И ПОСЕБНИХ ЦИЉЕВА</w:t>
      </w:r>
      <w:bookmarkEnd w:id="51"/>
      <w:bookmarkEnd w:id="52"/>
    </w:p>
    <w:p w14:paraId="6B347C11" w14:textId="77777777" w:rsidR="000C3ED6" w:rsidRPr="0052271C" w:rsidRDefault="000C3ED6" w:rsidP="000C3ED6">
      <w:pPr>
        <w:rPr>
          <w:lang w:val="sr-Cyrl-RS"/>
        </w:rPr>
      </w:pPr>
    </w:p>
    <w:p w14:paraId="3939F33C" w14:textId="489BDE86" w:rsidR="001F32A0" w:rsidRPr="0052271C" w:rsidRDefault="001F32A0" w:rsidP="00BF3052">
      <w:pPr>
        <w:pStyle w:val="ListParagraph"/>
        <w:keepNext/>
        <w:numPr>
          <w:ilvl w:val="0"/>
          <w:numId w:val="35"/>
        </w:numPr>
        <w:spacing w:before="240" w:after="60" w:line="276" w:lineRule="auto"/>
        <w:jc w:val="center"/>
        <w:outlineLvl w:val="1"/>
        <w:rPr>
          <w:rFonts w:ascii="Times New Roman" w:hAnsi="Times New Roman"/>
          <w:iCs/>
          <w:kern w:val="32"/>
          <w:sz w:val="24"/>
          <w:lang w:val="sr-Cyrl-RS"/>
        </w:rPr>
      </w:pPr>
      <w:bookmarkStart w:id="53" w:name="_Toc63452462"/>
      <w:bookmarkStart w:id="54" w:name="_Toc63587097"/>
      <w:r w:rsidRPr="0052271C">
        <w:rPr>
          <w:rFonts w:ascii="Times New Roman" w:hAnsi="Times New Roman"/>
          <w:iCs/>
          <w:kern w:val="32"/>
          <w:sz w:val="24"/>
          <w:lang w:val="sr-Cyrl-RS"/>
        </w:rPr>
        <w:t xml:space="preserve">Мере за први </w:t>
      </w:r>
      <w:r w:rsidR="00F76CCB" w:rsidRPr="0052271C">
        <w:rPr>
          <w:rFonts w:ascii="Times New Roman" w:hAnsi="Times New Roman"/>
          <w:iCs/>
          <w:kern w:val="32"/>
          <w:sz w:val="24"/>
          <w:lang w:val="sr-Cyrl-RS"/>
        </w:rPr>
        <w:t>посеб</w:t>
      </w:r>
      <w:r w:rsidRPr="0052271C">
        <w:rPr>
          <w:rFonts w:ascii="Times New Roman" w:hAnsi="Times New Roman"/>
          <w:iCs/>
          <w:kern w:val="32"/>
          <w:sz w:val="24"/>
          <w:lang w:val="sr-Cyrl-RS"/>
        </w:rPr>
        <w:t>н</w:t>
      </w:r>
      <w:r w:rsidR="00F76CCB" w:rsidRPr="0052271C">
        <w:rPr>
          <w:rFonts w:ascii="Times New Roman" w:hAnsi="Times New Roman"/>
          <w:iCs/>
          <w:kern w:val="32"/>
          <w:sz w:val="24"/>
          <w:lang w:val="sr-Cyrl-RS"/>
        </w:rPr>
        <w:t>и</w:t>
      </w:r>
      <w:r w:rsidRPr="0052271C">
        <w:rPr>
          <w:rFonts w:ascii="Times New Roman" w:hAnsi="Times New Roman"/>
          <w:iCs/>
          <w:kern w:val="32"/>
          <w:sz w:val="24"/>
          <w:lang w:val="sr-Cyrl-RS"/>
        </w:rPr>
        <w:t xml:space="preserve"> циљ </w:t>
      </w:r>
      <w:r w:rsidR="00377CD5" w:rsidRPr="0052271C">
        <w:rPr>
          <w:rFonts w:ascii="Times New Roman" w:hAnsi="Times New Roman"/>
          <w:iCs/>
          <w:kern w:val="32"/>
          <w:sz w:val="24"/>
          <w:lang w:val="sr-Cyrl-RS"/>
        </w:rPr>
        <w:t xml:space="preserve">- </w:t>
      </w:r>
      <w:r w:rsidRPr="0052271C">
        <w:rPr>
          <w:rFonts w:ascii="Times New Roman" w:hAnsi="Times New Roman"/>
          <w:iCs/>
          <w:kern w:val="32"/>
          <w:sz w:val="24"/>
          <w:lang w:val="sr-Cyrl-RS"/>
        </w:rPr>
        <w:t>развој јединственог оквира власништва и управ</w:t>
      </w:r>
      <w:r w:rsidR="005641BD" w:rsidRPr="0052271C">
        <w:rPr>
          <w:rFonts w:ascii="Times New Roman" w:hAnsi="Times New Roman"/>
          <w:iCs/>
          <w:kern w:val="32"/>
          <w:sz w:val="24"/>
          <w:lang w:val="sr-Cyrl-RS"/>
        </w:rPr>
        <w:t>љ</w:t>
      </w:r>
      <w:r w:rsidRPr="0052271C">
        <w:rPr>
          <w:rFonts w:ascii="Times New Roman" w:hAnsi="Times New Roman"/>
          <w:iCs/>
          <w:kern w:val="32"/>
          <w:sz w:val="24"/>
          <w:lang w:val="sr-Cyrl-RS"/>
        </w:rPr>
        <w:t>ања за св</w:t>
      </w:r>
      <w:r w:rsidR="007D70EE" w:rsidRPr="0052271C">
        <w:rPr>
          <w:rFonts w:ascii="Times New Roman" w:hAnsi="Times New Roman"/>
          <w:iCs/>
          <w:kern w:val="32"/>
          <w:sz w:val="24"/>
          <w:lang w:val="sr-Cyrl-RS"/>
        </w:rPr>
        <w:t>е</w:t>
      </w:r>
      <w:r w:rsidRPr="0052271C">
        <w:rPr>
          <w:rFonts w:ascii="Times New Roman" w:hAnsi="Times New Roman"/>
          <w:iCs/>
          <w:kern w:val="32"/>
          <w:sz w:val="24"/>
          <w:lang w:val="sr-Cyrl-RS"/>
        </w:rPr>
        <w:t xml:space="preserve"> ПСРС</w:t>
      </w:r>
      <w:bookmarkEnd w:id="53"/>
      <w:bookmarkEnd w:id="54"/>
    </w:p>
    <w:p w14:paraId="208C880C" w14:textId="77777777" w:rsidR="00BF3052" w:rsidRPr="0052271C" w:rsidRDefault="00BF3052" w:rsidP="00BF3052">
      <w:pPr>
        <w:pStyle w:val="ListParagraph"/>
        <w:keepNext/>
        <w:spacing w:before="240" w:after="60" w:line="276" w:lineRule="auto"/>
        <w:outlineLvl w:val="1"/>
        <w:rPr>
          <w:rFonts w:ascii="Times New Roman" w:hAnsi="Times New Roman"/>
          <w:iCs/>
          <w:kern w:val="32"/>
          <w:sz w:val="24"/>
          <w:lang w:val="sr-Cyrl-RS"/>
        </w:rPr>
      </w:pPr>
    </w:p>
    <w:p w14:paraId="7F35205C" w14:textId="77777777" w:rsidR="001F32A0" w:rsidRPr="0052271C" w:rsidRDefault="001F32A0" w:rsidP="001F32A0">
      <w:pPr>
        <w:spacing w:line="276" w:lineRule="auto"/>
        <w:ind w:firstLine="573"/>
        <w:jc w:val="both"/>
        <w:rPr>
          <w:b/>
          <w:u w:val="single"/>
          <w:lang w:val="sr-Cyrl-RS"/>
        </w:rPr>
      </w:pPr>
    </w:p>
    <w:p w14:paraId="342758EB" w14:textId="1EB4963F" w:rsidR="001F32A0" w:rsidRPr="0052271C" w:rsidRDefault="001F32A0" w:rsidP="001F32A0">
      <w:pPr>
        <w:spacing w:line="276" w:lineRule="auto"/>
        <w:ind w:firstLine="573"/>
        <w:jc w:val="both"/>
        <w:rPr>
          <w:lang w:val="sr-Cyrl-RS"/>
        </w:rPr>
      </w:pPr>
      <w:r w:rsidRPr="0052271C">
        <w:rPr>
          <w:lang w:val="sr-Cyrl-RS"/>
        </w:rPr>
        <w:t>Мера 1: Уједначавање правног оквира за успостављање општих правила власништва и управљања за св</w:t>
      </w:r>
      <w:r w:rsidR="007D70EE" w:rsidRPr="0052271C">
        <w:rPr>
          <w:lang w:val="sr-Cyrl-RS"/>
        </w:rPr>
        <w:t>е</w:t>
      </w:r>
      <w:r w:rsidRPr="0052271C">
        <w:rPr>
          <w:lang w:val="sr-Cyrl-RS"/>
        </w:rPr>
        <w:t xml:space="preserve"> ПСРС</w:t>
      </w:r>
    </w:p>
    <w:p w14:paraId="648AEDA2" w14:textId="77777777" w:rsidR="001F32A0" w:rsidRPr="0052271C" w:rsidRDefault="001F32A0" w:rsidP="001F32A0">
      <w:pPr>
        <w:spacing w:line="276" w:lineRule="auto"/>
        <w:jc w:val="both"/>
        <w:rPr>
          <w:u w:val="single"/>
          <w:lang w:val="sr-Cyrl-RS"/>
        </w:rPr>
      </w:pPr>
    </w:p>
    <w:p w14:paraId="4168F862" w14:textId="1B257BE1" w:rsidR="003030A0" w:rsidRPr="0052271C" w:rsidRDefault="00F56C08" w:rsidP="003030A0">
      <w:pPr>
        <w:spacing w:line="276" w:lineRule="auto"/>
        <w:ind w:firstLine="573"/>
        <w:jc w:val="both"/>
        <w:rPr>
          <w:lang w:val="sr-Cyrl-RS"/>
        </w:rPr>
      </w:pPr>
      <w:r w:rsidRPr="0052271C">
        <w:rPr>
          <w:lang w:val="sr-Cyrl-RS"/>
        </w:rPr>
        <w:t>Примери добре међународне праксе показују да друштва у којима је држава власник</w:t>
      </w:r>
      <w:r w:rsidR="003030A0" w:rsidRPr="0052271C">
        <w:rPr>
          <w:lang w:val="sr-Cyrl-RS"/>
        </w:rPr>
        <w:t xml:space="preserve"> </w:t>
      </w:r>
      <w:r w:rsidRPr="0052271C">
        <w:rPr>
          <w:lang w:val="sr-Cyrl-RS"/>
        </w:rPr>
        <w:t xml:space="preserve">а </w:t>
      </w:r>
      <w:r w:rsidR="003030A0" w:rsidRPr="0052271C">
        <w:rPr>
          <w:lang w:val="sr-Cyrl-RS"/>
        </w:rPr>
        <w:t xml:space="preserve">која обављају комерцијалне делатности </w:t>
      </w:r>
      <w:r w:rsidR="00A36BB7" w:rsidRPr="0052271C">
        <w:rPr>
          <w:lang w:val="sr-Cyrl-RS"/>
        </w:rPr>
        <w:t>(</w:t>
      </w:r>
      <w:r w:rsidR="003030A0" w:rsidRPr="0052271C">
        <w:rPr>
          <w:lang w:val="sr-Cyrl-RS"/>
        </w:rPr>
        <w:t>у областима где постоји конкуренција</w:t>
      </w:r>
      <w:r w:rsidR="00A36BB7" w:rsidRPr="0052271C">
        <w:rPr>
          <w:lang w:val="sr-Cyrl-RS"/>
        </w:rPr>
        <w:t>)</w:t>
      </w:r>
      <w:r w:rsidR="003030A0" w:rsidRPr="0052271C">
        <w:rPr>
          <w:lang w:val="sr-Cyrl-RS"/>
        </w:rPr>
        <w:t xml:space="preserve"> треба да обављају те делатности под једнаким условима као привредна друштва у приватном власништву</w:t>
      </w:r>
      <w:r w:rsidR="0074498A" w:rsidRPr="0052271C">
        <w:rPr>
          <w:lang w:val="sr-Cyrl-RS"/>
        </w:rPr>
        <w:t xml:space="preserve">. На </w:t>
      </w:r>
      <w:r w:rsidR="003030A0" w:rsidRPr="0052271C">
        <w:rPr>
          <w:lang w:val="sr-Cyrl-RS"/>
        </w:rPr>
        <w:t>д</w:t>
      </w:r>
      <w:r w:rsidRPr="0052271C">
        <w:rPr>
          <w:lang w:val="sr-Cyrl-RS"/>
        </w:rPr>
        <w:t xml:space="preserve">руштва у приватном власништву, као и на друштва у власништву државе која </w:t>
      </w:r>
      <w:r w:rsidR="003030A0" w:rsidRPr="0052271C">
        <w:rPr>
          <w:lang w:val="sr-Cyrl-RS"/>
        </w:rPr>
        <w:t>послују у одређеном сектору</w:t>
      </w:r>
      <w:r w:rsidR="00377CD5" w:rsidRPr="0052271C">
        <w:rPr>
          <w:lang w:val="sr-Cyrl-RS"/>
        </w:rPr>
        <w:t>,</w:t>
      </w:r>
      <w:r w:rsidR="003030A0" w:rsidRPr="0052271C">
        <w:rPr>
          <w:lang w:val="sr-Cyrl-RS"/>
        </w:rPr>
        <w:t xml:space="preserve"> примењују</w:t>
      </w:r>
      <w:r w:rsidR="0074498A" w:rsidRPr="0052271C">
        <w:rPr>
          <w:lang w:val="sr-Cyrl-RS"/>
        </w:rPr>
        <w:t xml:space="preserve"> се одредбе</w:t>
      </w:r>
      <w:r w:rsidR="003030A0" w:rsidRPr="0052271C">
        <w:rPr>
          <w:lang w:val="sr-Cyrl-RS"/>
        </w:rPr>
        <w:t xml:space="preserve"> секторски</w:t>
      </w:r>
      <w:r w:rsidR="0074498A" w:rsidRPr="0052271C">
        <w:rPr>
          <w:lang w:val="sr-Cyrl-RS"/>
        </w:rPr>
        <w:t>х</w:t>
      </w:r>
      <w:r w:rsidR="003030A0" w:rsidRPr="0052271C">
        <w:rPr>
          <w:lang w:val="sr-Cyrl-RS"/>
        </w:rPr>
        <w:t xml:space="preserve"> пропис</w:t>
      </w:r>
      <w:r w:rsidR="0074498A" w:rsidRPr="0052271C">
        <w:rPr>
          <w:lang w:val="sr-Cyrl-RS"/>
        </w:rPr>
        <w:t>а</w:t>
      </w:r>
      <w:r w:rsidR="003030A0" w:rsidRPr="0052271C">
        <w:rPr>
          <w:lang w:val="sr-Cyrl-RS"/>
        </w:rPr>
        <w:t xml:space="preserve">. </w:t>
      </w:r>
      <w:r w:rsidR="003B63DE" w:rsidRPr="0052271C">
        <w:rPr>
          <w:lang w:val="sr-Cyrl-RS"/>
        </w:rPr>
        <w:t>С</w:t>
      </w:r>
      <w:r w:rsidR="000C4430" w:rsidRPr="0052271C">
        <w:rPr>
          <w:lang w:val="sr-Cyrl-RS"/>
        </w:rPr>
        <w:t xml:space="preserve">екторски прописи су </w:t>
      </w:r>
      <w:r w:rsidR="003B63DE" w:rsidRPr="0052271C">
        <w:rPr>
          <w:lang w:val="sr-Cyrl-RS"/>
        </w:rPr>
        <w:t xml:space="preserve">углавном </w:t>
      </w:r>
      <w:r w:rsidRPr="0052271C">
        <w:rPr>
          <w:lang w:val="sr-Cyrl-RS"/>
        </w:rPr>
        <w:t>у</w:t>
      </w:r>
      <w:r w:rsidR="003030A0" w:rsidRPr="0052271C">
        <w:rPr>
          <w:lang w:val="sr-Cyrl-RS"/>
        </w:rPr>
        <w:t xml:space="preserve"> </w:t>
      </w:r>
      <w:r w:rsidRPr="0052271C">
        <w:rPr>
          <w:lang w:val="sr-Cyrl-RS"/>
        </w:rPr>
        <w:t>надлежности</w:t>
      </w:r>
      <w:r w:rsidR="003030A0" w:rsidRPr="0052271C">
        <w:rPr>
          <w:lang w:val="sr-Cyrl-RS"/>
        </w:rPr>
        <w:t xml:space="preserve"> државног органа </w:t>
      </w:r>
      <w:r w:rsidR="00E03379" w:rsidRPr="0052271C">
        <w:rPr>
          <w:lang w:val="sr-Cyrl-RS"/>
        </w:rPr>
        <w:t xml:space="preserve">који </w:t>
      </w:r>
      <w:r w:rsidR="003030A0" w:rsidRPr="0052271C">
        <w:rPr>
          <w:lang w:val="sr-Cyrl-RS"/>
        </w:rPr>
        <w:t xml:space="preserve">не управља </w:t>
      </w:r>
      <w:r w:rsidR="00E03379" w:rsidRPr="0052271C">
        <w:rPr>
          <w:lang w:val="sr-Cyrl-RS"/>
        </w:rPr>
        <w:t>друштвима у државном власништву</w:t>
      </w:r>
      <w:r w:rsidR="003B63DE" w:rsidRPr="0052271C">
        <w:rPr>
          <w:lang w:val="sr-Cyrl-RS"/>
        </w:rPr>
        <w:t>, чиме се постиже</w:t>
      </w:r>
      <w:r w:rsidR="003030A0" w:rsidRPr="0052271C">
        <w:rPr>
          <w:lang w:val="sr-Cyrl-RS"/>
        </w:rPr>
        <w:t xml:space="preserve"> раздвајање улога државе као власника, креатора политике и регулатора. </w:t>
      </w:r>
    </w:p>
    <w:p w14:paraId="64720062" w14:textId="10F4A104" w:rsidR="0074498A" w:rsidRPr="0052271C" w:rsidRDefault="0074498A" w:rsidP="0074498A">
      <w:pPr>
        <w:spacing w:line="276" w:lineRule="auto"/>
        <w:ind w:firstLine="573"/>
        <w:jc w:val="both"/>
        <w:rPr>
          <w:lang w:val="sr-Cyrl-RS"/>
        </w:rPr>
      </w:pPr>
      <w:r w:rsidRPr="0052271C">
        <w:rPr>
          <w:lang w:val="sr-Cyrl-RS"/>
        </w:rPr>
        <w:t>Уједначавање правног оквира за успостављање општих правила о власништву и управљању ПСРС смањиће досадашњу дисперзију која може довести до нејасних циљева и подржаће раздвајање улога државе као власника, креатора политика и регулатора. Постојање јединственог референтног документа који јасно одређује улоге и одговорности акционара/чланова, одбора и руководства омогућава доследну примену политике власништва у свим ПСРС.</w:t>
      </w:r>
    </w:p>
    <w:p w14:paraId="4DE54F09" w14:textId="13D1DDCA" w:rsidR="001F32A0" w:rsidRPr="0052271C" w:rsidRDefault="001F32A0" w:rsidP="004E65F4">
      <w:pPr>
        <w:spacing w:line="276" w:lineRule="auto"/>
        <w:ind w:firstLine="573"/>
        <w:jc w:val="both"/>
        <w:rPr>
          <w:lang w:val="sr-Cyrl-RS"/>
        </w:rPr>
      </w:pPr>
      <w:r w:rsidRPr="0052271C">
        <w:rPr>
          <w:lang w:val="sr-Cyrl-RS"/>
        </w:rPr>
        <w:t xml:space="preserve">Министарство ће </w:t>
      </w:r>
      <w:r w:rsidR="00F56C08" w:rsidRPr="0052271C">
        <w:rPr>
          <w:lang w:val="sr-Cyrl-RS"/>
        </w:rPr>
        <w:t xml:space="preserve">пре свега </w:t>
      </w:r>
      <w:r w:rsidRPr="0052271C">
        <w:rPr>
          <w:lang w:val="sr-Cyrl-RS"/>
        </w:rPr>
        <w:t xml:space="preserve">радити на </w:t>
      </w:r>
      <w:r w:rsidR="004E65F4" w:rsidRPr="0052271C">
        <w:rPr>
          <w:lang w:val="sr-Cyrl-RS"/>
        </w:rPr>
        <w:t>уједн</w:t>
      </w:r>
      <w:r w:rsidRPr="0052271C">
        <w:rPr>
          <w:lang w:val="sr-Cyrl-RS"/>
        </w:rPr>
        <w:t>ачавању различитог приступа Закона о јавним предузећима и Закона о привредним друштвима</w:t>
      </w:r>
      <w:r w:rsidR="004E65F4" w:rsidRPr="0052271C">
        <w:rPr>
          <w:lang w:val="sr-Cyrl-RS"/>
        </w:rPr>
        <w:t>,</w:t>
      </w:r>
      <w:r w:rsidRPr="0052271C">
        <w:rPr>
          <w:lang w:val="sr-Cyrl-RS"/>
        </w:rPr>
        <w:t xml:space="preserve"> чиме ће се елиминисати неефика</w:t>
      </w:r>
      <w:r w:rsidR="004E65F4" w:rsidRPr="0052271C">
        <w:rPr>
          <w:lang w:val="sr-Cyrl-RS"/>
        </w:rPr>
        <w:t xml:space="preserve">сност тренутног правног оквира и </w:t>
      </w:r>
      <w:r w:rsidRPr="0052271C">
        <w:rPr>
          <w:lang w:val="sr-Cyrl-RS"/>
        </w:rPr>
        <w:t xml:space="preserve">поставити универзална правила која се односе на власништво и управљање у свим ПСРС. </w:t>
      </w:r>
    </w:p>
    <w:p w14:paraId="4B66513D" w14:textId="77777777" w:rsidR="00A20937" w:rsidRPr="0052271C" w:rsidRDefault="00A20937" w:rsidP="00A20937">
      <w:pPr>
        <w:spacing w:line="276" w:lineRule="auto"/>
        <w:ind w:firstLine="720"/>
        <w:jc w:val="both"/>
        <w:rPr>
          <w:lang w:val="sr-Cyrl-RS" w:eastAsia="en-US"/>
        </w:rPr>
      </w:pPr>
    </w:p>
    <w:p w14:paraId="728AF66D" w14:textId="77777777" w:rsidR="001F32A0" w:rsidRPr="0052271C" w:rsidRDefault="001F32A0" w:rsidP="001F32A0">
      <w:pPr>
        <w:spacing w:line="276" w:lineRule="auto"/>
        <w:ind w:firstLine="573"/>
        <w:jc w:val="both"/>
        <w:rPr>
          <w:lang w:val="sr-Cyrl-RS"/>
        </w:rPr>
      </w:pPr>
      <w:r w:rsidRPr="0052271C">
        <w:rPr>
          <w:lang w:val="sr-Cyrl-RS"/>
        </w:rPr>
        <w:t>Мера 2: Корпоративизација јавних предузећа – промена правне форме јавних предузећа у АД или ДОО</w:t>
      </w:r>
    </w:p>
    <w:p w14:paraId="581C95D4" w14:textId="77777777" w:rsidR="001F32A0" w:rsidRPr="0052271C" w:rsidRDefault="001F32A0" w:rsidP="001F32A0">
      <w:pPr>
        <w:spacing w:line="276" w:lineRule="auto"/>
        <w:ind w:firstLine="573"/>
        <w:jc w:val="both"/>
        <w:rPr>
          <w:u w:val="single"/>
          <w:lang w:val="sr-Cyrl-RS"/>
        </w:rPr>
      </w:pPr>
    </w:p>
    <w:p w14:paraId="5BACC4F3" w14:textId="20312322" w:rsidR="001F32A0" w:rsidRPr="0052271C" w:rsidRDefault="004E65F4" w:rsidP="001F32A0">
      <w:pPr>
        <w:spacing w:line="276" w:lineRule="auto"/>
        <w:ind w:firstLine="573"/>
        <w:jc w:val="both"/>
        <w:rPr>
          <w:lang w:val="sr-Cyrl-RS"/>
        </w:rPr>
      </w:pPr>
      <w:r w:rsidRPr="0052271C">
        <w:rPr>
          <w:lang w:val="sr-Cyrl-RS"/>
        </w:rPr>
        <w:t>Држава треба</w:t>
      </w:r>
      <w:r w:rsidR="001F32A0" w:rsidRPr="0052271C">
        <w:rPr>
          <w:lang w:val="sr-Cyrl-RS"/>
        </w:rPr>
        <w:t xml:space="preserve"> да поједностав</w:t>
      </w:r>
      <w:r w:rsidRPr="0052271C">
        <w:rPr>
          <w:lang w:val="sr-Cyrl-RS"/>
        </w:rPr>
        <w:t>и и стандардизује</w:t>
      </w:r>
      <w:r w:rsidR="001F32A0" w:rsidRPr="0052271C">
        <w:rPr>
          <w:lang w:val="sr-Cyrl-RS"/>
        </w:rPr>
        <w:t xml:space="preserve"> правне </w:t>
      </w:r>
      <w:r w:rsidR="00377CD5" w:rsidRPr="0052271C">
        <w:rPr>
          <w:lang w:val="sr-Cyrl-RS"/>
        </w:rPr>
        <w:t xml:space="preserve">форме </w:t>
      </w:r>
      <w:r w:rsidR="001F32A0" w:rsidRPr="0052271C">
        <w:rPr>
          <w:lang w:val="sr-Cyrl-RS"/>
        </w:rPr>
        <w:t xml:space="preserve">у којима </w:t>
      </w:r>
      <w:r w:rsidR="000565A8" w:rsidRPr="0052271C">
        <w:rPr>
          <w:lang w:val="sr-Cyrl-RS"/>
        </w:rPr>
        <w:t>друштва у којима је држава власник</w:t>
      </w:r>
      <w:r w:rsidR="001F32A0" w:rsidRPr="0052271C">
        <w:rPr>
          <w:lang w:val="sr-Cyrl-RS"/>
        </w:rPr>
        <w:t xml:space="preserve"> постоје и послују. Њихове оперативне праксе треба да прате општеприхваћена корпоративна правила</w:t>
      </w:r>
      <w:r w:rsidR="00377CD5" w:rsidRPr="0052271C">
        <w:rPr>
          <w:lang w:val="sr-Cyrl-RS"/>
        </w:rPr>
        <w:t>.</w:t>
      </w:r>
      <w:r w:rsidR="001F32A0" w:rsidRPr="0052271C">
        <w:rPr>
          <w:vertAlign w:val="superscript"/>
          <w:lang w:val="sr-Cyrl-RS"/>
        </w:rPr>
        <w:footnoteReference w:id="31"/>
      </w:r>
      <w:r w:rsidR="001F32A0" w:rsidRPr="0052271C">
        <w:rPr>
          <w:lang w:val="sr-Cyrl-RS"/>
        </w:rPr>
        <w:t xml:space="preserve">  </w:t>
      </w:r>
    </w:p>
    <w:p w14:paraId="3B717633" w14:textId="1DDD682F" w:rsidR="004E65F4" w:rsidRPr="0052271C" w:rsidRDefault="004E65F4" w:rsidP="003030A0">
      <w:pPr>
        <w:spacing w:line="276" w:lineRule="auto"/>
        <w:ind w:firstLine="573"/>
        <w:jc w:val="both"/>
        <w:rPr>
          <w:lang w:val="sr-Cyrl-RS" w:eastAsia="en-US"/>
        </w:rPr>
      </w:pPr>
      <w:r w:rsidRPr="0052271C">
        <w:rPr>
          <w:lang w:val="sr-Cyrl-RS"/>
        </w:rPr>
        <w:t xml:space="preserve">Сходно изнетом, </w:t>
      </w:r>
      <w:r w:rsidR="00377CD5" w:rsidRPr="0052271C">
        <w:rPr>
          <w:lang w:val="sr-Cyrl-RS"/>
        </w:rPr>
        <w:t>правне форме</w:t>
      </w:r>
      <w:r w:rsidR="001F32A0" w:rsidRPr="0052271C">
        <w:rPr>
          <w:lang w:val="sr-Cyrl-RS"/>
        </w:rPr>
        <w:t xml:space="preserve"> у којима послују ПСРС биће поједностављен</w:t>
      </w:r>
      <w:r w:rsidR="00377CD5" w:rsidRPr="0052271C">
        <w:rPr>
          <w:lang w:val="sr-Cyrl-RS"/>
        </w:rPr>
        <w:t>е</w:t>
      </w:r>
      <w:r w:rsidRPr="0052271C">
        <w:rPr>
          <w:lang w:val="sr-Cyrl-RS"/>
        </w:rPr>
        <w:t xml:space="preserve"> и стандардизован</w:t>
      </w:r>
      <w:r w:rsidR="00377CD5" w:rsidRPr="0052271C">
        <w:rPr>
          <w:lang w:val="sr-Cyrl-RS"/>
        </w:rPr>
        <w:t>е</w:t>
      </w:r>
      <w:r w:rsidRPr="0052271C">
        <w:rPr>
          <w:lang w:val="sr-Cyrl-RS"/>
        </w:rPr>
        <w:t xml:space="preserve"> тако да се успостави </w:t>
      </w:r>
      <w:r w:rsidR="001F32A0" w:rsidRPr="0052271C">
        <w:rPr>
          <w:lang w:val="sr-Cyrl-RS"/>
        </w:rPr>
        <w:t>јединствени оквир за вршење власништва држа</w:t>
      </w:r>
      <w:r w:rsidRPr="0052271C">
        <w:rPr>
          <w:lang w:val="sr-Cyrl-RS"/>
        </w:rPr>
        <w:t>ве, чиме ће се сва јавна предузећа трансформисати</w:t>
      </w:r>
      <w:r w:rsidR="003030A0" w:rsidRPr="0052271C">
        <w:rPr>
          <w:lang w:val="sr-Cyrl-RS"/>
        </w:rPr>
        <w:t xml:space="preserve"> у АД или ДОО</w:t>
      </w:r>
      <w:r w:rsidR="00377CD5" w:rsidRPr="0052271C">
        <w:rPr>
          <w:lang w:val="sr-Cyrl-RS"/>
        </w:rPr>
        <w:t>,</w:t>
      </w:r>
      <w:r w:rsidR="003030A0" w:rsidRPr="0052271C">
        <w:rPr>
          <w:lang w:val="sr-Cyrl-RS"/>
        </w:rPr>
        <w:t xml:space="preserve"> а</w:t>
      </w:r>
      <w:r w:rsidRPr="0052271C">
        <w:rPr>
          <w:lang w:val="sr-Cyrl-RS" w:eastAsia="en-US"/>
        </w:rPr>
        <w:t xml:space="preserve"> </w:t>
      </w:r>
      <w:r w:rsidR="00377CD5" w:rsidRPr="0052271C">
        <w:rPr>
          <w:lang w:val="sr-Cyrl-RS" w:eastAsia="en-US"/>
        </w:rPr>
        <w:t xml:space="preserve">на </w:t>
      </w:r>
      <w:r w:rsidRPr="0052271C">
        <w:rPr>
          <w:lang w:val="sr-Cyrl-RS" w:eastAsia="en-US"/>
        </w:rPr>
        <w:t xml:space="preserve">новоуспостављени систем управљања ће се у потпуности </w:t>
      </w:r>
      <w:r w:rsidR="00377CD5" w:rsidRPr="0052271C">
        <w:rPr>
          <w:lang w:val="sr-Cyrl-RS" w:eastAsia="en-US"/>
        </w:rPr>
        <w:t>примењивати</w:t>
      </w:r>
      <w:r w:rsidRPr="0052271C">
        <w:rPr>
          <w:lang w:val="sr-Cyrl-RS" w:eastAsia="en-US"/>
        </w:rPr>
        <w:t xml:space="preserve"> одредбе Закона о привредним друштвима.</w:t>
      </w:r>
    </w:p>
    <w:p w14:paraId="0AD0625D" w14:textId="4438B722" w:rsidR="004E65F4" w:rsidRPr="0052271C" w:rsidRDefault="004E65F4" w:rsidP="004E65F4">
      <w:pPr>
        <w:spacing w:line="276" w:lineRule="auto"/>
        <w:ind w:firstLine="567"/>
        <w:jc w:val="both"/>
        <w:rPr>
          <w:lang w:val="sr-Cyrl-RS" w:eastAsia="en-US"/>
        </w:rPr>
      </w:pPr>
      <w:r w:rsidRPr="0052271C">
        <w:rPr>
          <w:lang w:val="sr-Cyrl-RS" w:eastAsia="en-US"/>
        </w:rPr>
        <w:lastRenderedPageBreak/>
        <w:t>Промена правне форме је веома сложен процес на коме ће Министарство</w:t>
      </w:r>
      <w:r w:rsidR="009A117F" w:rsidRPr="0052271C">
        <w:rPr>
          <w:lang w:val="sr-Cyrl-RS" w:eastAsia="en-US"/>
        </w:rPr>
        <w:t xml:space="preserve"> </w:t>
      </w:r>
      <w:r w:rsidRPr="0052271C">
        <w:rPr>
          <w:lang w:val="sr-Cyrl-RS" w:eastAsia="en-US"/>
        </w:rPr>
        <w:t>радити са ресорним министарствима и над</w:t>
      </w:r>
      <w:r w:rsidR="00BA49F1" w:rsidRPr="0052271C">
        <w:rPr>
          <w:lang w:val="sr-Cyrl-RS" w:eastAsia="en-US"/>
        </w:rPr>
        <w:t>лежним институцијама</w:t>
      </w:r>
      <w:r w:rsidRPr="0052271C">
        <w:rPr>
          <w:lang w:val="sr-Cyrl-RS" w:eastAsia="en-US"/>
        </w:rPr>
        <w:t xml:space="preserve">. </w:t>
      </w:r>
    </w:p>
    <w:p w14:paraId="51468114" w14:textId="77777777" w:rsidR="001F32A0" w:rsidRPr="0052271C" w:rsidRDefault="001F32A0" w:rsidP="001F32A0">
      <w:pPr>
        <w:spacing w:line="276" w:lineRule="auto"/>
        <w:ind w:firstLine="573"/>
        <w:jc w:val="both"/>
        <w:rPr>
          <w:u w:val="single"/>
          <w:lang w:val="sr-Cyrl-RS"/>
        </w:rPr>
      </w:pPr>
    </w:p>
    <w:p w14:paraId="18D2B8A8" w14:textId="77777777" w:rsidR="001F32A0" w:rsidRPr="0052271C" w:rsidRDefault="001F32A0" w:rsidP="001F32A0">
      <w:pPr>
        <w:spacing w:line="276" w:lineRule="auto"/>
        <w:ind w:firstLine="573"/>
        <w:jc w:val="both"/>
        <w:rPr>
          <w:lang w:val="sr-Cyrl-RS"/>
        </w:rPr>
      </w:pPr>
      <w:r w:rsidRPr="0052271C">
        <w:rPr>
          <w:lang w:val="sr-Cyrl-RS"/>
        </w:rPr>
        <w:t>Мера 3: Успостављање централизоване одговорности и институционалне надлежности</w:t>
      </w:r>
    </w:p>
    <w:p w14:paraId="0C293A0C" w14:textId="1D198BAE" w:rsidR="0031388E" w:rsidRPr="0052271C" w:rsidRDefault="0031388E" w:rsidP="0031388E">
      <w:pPr>
        <w:spacing w:before="240" w:after="240" w:line="276" w:lineRule="auto"/>
        <w:ind w:firstLine="567"/>
        <w:jc w:val="both"/>
        <w:rPr>
          <w:lang w:val="sr-Cyrl-RS" w:eastAsia="en-US"/>
        </w:rPr>
      </w:pPr>
      <w:r w:rsidRPr="0052271C">
        <w:rPr>
          <w:lang w:val="sr-Cyrl-RS" w:eastAsia="en-US"/>
        </w:rPr>
        <w:t xml:space="preserve">Централизована одговорност: </w:t>
      </w:r>
      <w:r w:rsidR="00E158C5" w:rsidRPr="0052271C">
        <w:rPr>
          <w:lang w:val="sr-Cyrl-RS" w:eastAsia="en-US"/>
        </w:rPr>
        <w:t>Министарс</w:t>
      </w:r>
      <w:r w:rsidR="009A1CA7" w:rsidRPr="0052271C">
        <w:rPr>
          <w:lang w:val="sr-Cyrl-RS" w:eastAsia="en-US"/>
        </w:rPr>
        <w:t xml:space="preserve">тво </w:t>
      </w:r>
      <w:r w:rsidR="00B85ED8" w:rsidRPr="0052271C">
        <w:rPr>
          <w:lang w:val="sr-Cyrl-RS" w:eastAsia="en-US"/>
        </w:rPr>
        <w:t xml:space="preserve">ће </w:t>
      </w:r>
      <w:r w:rsidR="009A1CA7" w:rsidRPr="0052271C">
        <w:rPr>
          <w:lang w:val="sr-Cyrl-RS" w:eastAsia="en-US"/>
        </w:rPr>
        <w:t xml:space="preserve">као централизовани власнички ентитет </w:t>
      </w:r>
      <w:r w:rsidR="00B85ED8" w:rsidRPr="0052271C">
        <w:rPr>
          <w:lang w:val="sr-Cyrl-RS" w:eastAsia="en-US"/>
        </w:rPr>
        <w:t>вршити</w:t>
      </w:r>
      <w:r w:rsidR="00E158C5" w:rsidRPr="0052271C">
        <w:rPr>
          <w:lang w:val="sr-Cyrl-RS" w:eastAsia="en-US"/>
        </w:rPr>
        <w:t xml:space="preserve"> даље активности на успостављању јединствене политике државног власништва, укључујући и координацију осталих надлежних министарстава и органа, као и постављање јасних очекивања ПСРС</w:t>
      </w:r>
      <w:r w:rsidR="00E158C5" w:rsidRPr="0052271C">
        <w:rPr>
          <w:rStyle w:val="FootnoteReference"/>
          <w:lang w:val="sr-Cyrl-RS" w:eastAsia="en-US"/>
        </w:rPr>
        <w:footnoteReference w:id="32"/>
      </w:r>
      <w:r w:rsidR="00E158C5" w:rsidRPr="0052271C">
        <w:rPr>
          <w:lang w:val="sr-Cyrl-RS" w:eastAsia="en-US"/>
        </w:rPr>
        <w:t>.</w:t>
      </w:r>
    </w:p>
    <w:p w14:paraId="7DC2E477" w14:textId="0A322389" w:rsidR="006E2FAD" w:rsidRPr="0052271C" w:rsidRDefault="006E2FAD" w:rsidP="000A5A7B">
      <w:pPr>
        <w:spacing w:before="240" w:line="276" w:lineRule="auto"/>
        <w:ind w:firstLine="567"/>
        <w:jc w:val="both"/>
        <w:rPr>
          <w:lang w:val="sr-Cyrl-RS" w:eastAsia="en-US"/>
        </w:rPr>
      </w:pPr>
      <w:r w:rsidRPr="0052271C">
        <w:rPr>
          <w:rFonts w:eastAsiaTheme="minorHAnsi" w:cstheme="minorBidi"/>
          <w:szCs w:val="22"/>
          <w:lang w:val="sr-Cyrl-RS" w:eastAsia="en-US"/>
        </w:rPr>
        <w:t>Министарство преузима следеће одговорности према свим ПСРС</w:t>
      </w:r>
      <w:r w:rsidR="00C74FA9" w:rsidRPr="0052271C">
        <w:rPr>
          <w:rStyle w:val="FootnoteReference"/>
          <w:rFonts w:eastAsiaTheme="minorHAnsi" w:cstheme="minorBidi"/>
          <w:szCs w:val="22"/>
          <w:lang w:val="sr-Cyrl-RS" w:eastAsia="en-US"/>
        </w:rPr>
        <w:footnoteReference w:id="33"/>
      </w:r>
      <w:r w:rsidRPr="0052271C">
        <w:rPr>
          <w:rFonts w:eastAsiaTheme="minorHAnsi" w:cstheme="minorBidi"/>
          <w:szCs w:val="22"/>
          <w:lang w:val="sr-Cyrl-RS" w:eastAsia="en-US"/>
        </w:rPr>
        <w:t xml:space="preserve">:  </w:t>
      </w:r>
    </w:p>
    <w:p w14:paraId="38C3A935" w14:textId="51F283ED" w:rsidR="006E2FAD" w:rsidRPr="0052271C" w:rsidRDefault="00760EA8" w:rsidP="00EE0247">
      <w:pPr>
        <w:numPr>
          <w:ilvl w:val="0"/>
          <w:numId w:val="10"/>
        </w:numPr>
        <w:spacing w:after="160" w:line="276" w:lineRule="auto"/>
        <w:ind w:left="851" w:hanging="284"/>
        <w:contextualSpacing/>
        <w:jc w:val="both"/>
        <w:rPr>
          <w:lang w:val="sr-Cyrl-RS" w:eastAsia="en-US"/>
        </w:rPr>
      </w:pPr>
      <w:r w:rsidRPr="0052271C">
        <w:rPr>
          <w:lang w:val="sr-Cyrl-RS" w:eastAsia="en-US"/>
        </w:rPr>
        <w:t>и</w:t>
      </w:r>
      <w:r w:rsidR="006E2FAD" w:rsidRPr="0052271C">
        <w:rPr>
          <w:lang w:val="sr-Cyrl-RS" w:eastAsia="en-US"/>
        </w:rPr>
        <w:t xml:space="preserve">мплементацију разлога власништва; </w:t>
      </w:r>
    </w:p>
    <w:p w14:paraId="453F3962" w14:textId="5FBC056B" w:rsidR="006E2FAD" w:rsidRPr="0052271C" w:rsidRDefault="00760EA8" w:rsidP="00EE0247">
      <w:pPr>
        <w:numPr>
          <w:ilvl w:val="0"/>
          <w:numId w:val="10"/>
        </w:numPr>
        <w:spacing w:after="160" w:line="276" w:lineRule="auto"/>
        <w:ind w:left="851" w:hanging="284"/>
        <w:contextualSpacing/>
        <w:jc w:val="both"/>
        <w:rPr>
          <w:lang w:val="sr-Cyrl-RS" w:eastAsia="en-US"/>
        </w:rPr>
      </w:pPr>
      <w:r w:rsidRPr="0052271C">
        <w:rPr>
          <w:lang w:val="sr-Cyrl-RS" w:eastAsia="en-US"/>
        </w:rPr>
        <w:t>п</w:t>
      </w:r>
      <w:r w:rsidR="006E2FAD" w:rsidRPr="0052271C">
        <w:rPr>
          <w:lang w:val="sr-Cyrl-RS" w:eastAsia="en-US"/>
        </w:rPr>
        <w:t>ретходно одобравање стратешких планова</w:t>
      </w:r>
      <w:r w:rsidR="006E2FAD" w:rsidRPr="0052271C">
        <w:rPr>
          <w:rFonts w:eastAsiaTheme="minorHAnsi" w:cstheme="minorBidi"/>
          <w:szCs w:val="22"/>
          <w:lang w:val="sr-Cyrl-RS" w:eastAsia="en-US"/>
        </w:rPr>
        <w:t xml:space="preserve"> ПСРС</w:t>
      </w:r>
      <w:r w:rsidR="006E2FAD" w:rsidRPr="0052271C">
        <w:rPr>
          <w:lang w:val="sr-Cyrl-RS" w:eastAsia="en-US"/>
        </w:rPr>
        <w:t>;</w:t>
      </w:r>
    </w:p>
    <w:p w14:paraId="25894A5B" w14:textId="4B28D068" w:rsidR="006E2FAD" w:rsidRPr="0052271C" w:rsidRDefault="00760EA8" w:rsidP="00EE0247">
      <w:pPr>
        <w:numPr>
          <w:ilvl w:val="0"/>
          <w:numId w:val="10"/>
        </w:numPr>
        <w:spacing w:after="160" w:line="276" w:lineRule="auto"/>
        <w:ind w:left="851" w:hanging="284"/>
        <w:contextualSpacing/>
        <w:jc w:val="both"/>
        <w:rPr>
          <w:lang w:val="sr-Cyrl-RS" w:eastAsia="en-US"/>
        </w:rPr>
      </w:pPr>
      <w:r w:rsidRPr="0052271C">
        <w:rPr>
          <w:lang w:val="sr-Cyrl-RS" w:eastAsia="en-US"/>
        </w:rPr>
        <w:t>п</w:t>
      </w:r>
      <w:r w:rsidR="006E2FAD" w:rsidRPr="0052271C">
        <w:rPr>
          <w:lang w:val="sr-Cyrl-RS" w:eastAsia="en-US"/>
        </w:rPr>
        <w:t xml:space="preserve">остављање општих циљева за програме пословања </w:t>
      </w:r>
      <w:r w:rsidR="006E2FAD" w:rsidRPr="0052271C">
        <w:rPr>
          <w:rFonts w:eastAsiaTheme="minorHAnsi" w:cstheme="minorBidi"/>
          <w:szCs w:val="22"/>
          <w:lang w:val="sr-Cyrl-RS" w:eastAsia="en-US"/>
        </w:rPr>
        <w:t>ПСРС</w:t>
      </w:r>
      <w:r w:rsidR="006E2FAD" w:rsidRPr="0052271C">
        <w:rPr>
          <w:lang w:val="sr-Cyrl-RS" w:eastAsia="en-US"/>
        </w:rPr>
        <w:t>;</w:t>
      </w:r>
    </w:p>
    <w:p w14:paraId="1EF6522A" w14:textId="77D00D41" w:rsidR="006E2FAD" w:rsidRPr="0052271C" w:rsidRDefault="00760EA8" w:rsidP="00EE0247">
      <w:pPr>
        <w:numPr>
          <w:ilvl w:val="0"/>
          <w:numId w:val="10"/>
        </w:numPr>
        <w:spacing w:after="160" w:line="276" w:lineRule="auto"/>
        <w:ind w:left="851" w:hanging="284"/>
        <w:contextualSpacing/>
        <w:jc w:val="both"/>
        <w:rPr>
          <w:lang w:val="sr-Cyrl-RS" w:eastAsia="en-US"/>
        </w:rPr>
      </w:pPr>
      <w:r w:rsidRPr="0052271C">
        <w:rPr>
          <w:lang w:val="sr-Cyrl-RS" w:eastAsia="en-US"/>
        </w:rPr>
        <w:t>п</w:t>
      </w:r>
      <w:r w:rsidR="006E2FAD" w:rsidRPr="0052271C">
        <w:rPr>
          <w:lang w:val="sr-Cyrl-RS" w:eastAsia="en-US"/>
        </w:rPr>
        <w:t>раћење имплементације стратегије и програма пословања</w:t>
      </w:r>
      <w:r w:rsidR="006E2FAD" w:rsidRPr="0052271C">
        <w:rPr>
          <w:rFonts w:eastAsiaTheme="minorHAnsi" w:cstheme="minorBidi"/>
          <w:szCs w:val="22"/>
          <w:lang w:val="sr-Cyrl-RS" w:eastAsia="en-US"/>
        </w:rPr>
        <w:t xml:space="preserve"> ПСРС;</w:t>
      </w:r>
    </w:p>
    <w:p w14:paraId="6ABAC536" w14:textId="039970E6" w:rsidR="006E2FAD" w:rsidRPr="0052271C" w:rsidRDefault="00760EA8" w:rsidP="00EE0247">
      <w:pPr>
        <w:numPr>
          <w:ilvl w:val="0"/>
          <w:numId w:val="10"/>
        </w:numPr>
        <w:spacing w:after="160" w:line="276" w:lineRule="auto"/>
        <w:ind w:left="851" w:hanging="284"/>
        <w:contextualSpacing/>
        <w:jc w:val="both"/>
        <w:rPr>
          <w:lang w:val="sr-Cyrl-RS" w:eastAsia="en-US"/>
        </w:rPr>
      </w:pPr>
      <w:r w:rsidRPr="0052271C">
        <w:rPr>
          <w:lang w:val="sr-Cyrl-RS" w:eastAsia="en-US"/>
        </w:rPr>
        <w:t>п</w:t>
      </w:r>
      <w:r w:rsidR="006E2FAD" w:rsidRPr="0052271C">
        <w:rPr>
          <w:lang w:val="sr-Cyrl-RS" w:eastAsia="en-US"/>
        </w:rPr>
        <w:t xml:space="preserve">ретходно одобравање кључних одлука </w:t>
      </w:r>
      <w:r w:rsidR="006E2FAD" w:rsidRPr="0052271C">
        <w:rPr>
          <w:rFonts w:eastAsiaTheme="minorHAnsi" w:cstheme="minorBidi"/>
          <w:szCs w:val="22"/>
          <w:lang w:val="sr-Cyrl-RS" w:eastAsia="en-US"/>
        </w:rPr>
        <w:t>ПСРС</w:t>
      </w:r>
      <w:r w:rsidR="006E2FAD" w:rsidRPr="0052271C">
        <w:rPr>
          <w:lang w:val="sr-Cyrl-RS" w:eastAsia="en-US"/>
        </w:rPr>
        <w:t xml:space="preserve">; </w:t>
      </w:r>
    </w:p>
    <w:p w14:paraId="1A2C8C0D" w14:textId="308CEBD1" w:rsidR="006E2FAD" w:rsidRPr="0052271C" w:rsidRDefault="00760EA8" w:rsidP="00EE0247">
      <w:pPr>
        <w:numPr>
          <w:ilvl w:val="0"/>
          <w:numId w:val="10"/>
        </w:numPr>
        <w:spacing w:after="160" w:line="276" w:lineRule="auto"/>
        <w:ind w:left="851" w:hanging="284"/>
        <w:contextualSpacing/>
        <w:jc w:val="both"/>
        <w:rPr>
          <w:lang w:val="sr-Cyrl-RS" w:eastAsia="en-US"/>
        </w:rPr>
      </w:pPr>
      <w:r w:rsidRPr="0052271C">
        <w:rPr>
          <w:lang w:val="sr-Cyrl-RS" w:eastAsia="en-US"/>
        </w:rPr>
        <w:t>и</w:t>
      </w:r>
      <w:r w:rsidR="006E2FAD" w:rsidRPr="0052271C">
        <w:rPr>
          <w:lang w:val="sr-Cyrl-RS" w:eastAsia="en-US"/>
        </w:rPr>
        <w:t xml:space="preserve">меновање кандидата за надзорни одбор/одбор директора </w:t>
      </w:r>
      <w:r w:rsidR="006E2FAD" w:rsidRPr="0052271C">
        <w:rPr>
          <w:rFonts w:eastAsiaTheme="minorHAnsi" w:cstheme="minorBidi"/>
          <w:szCs w:val="22"/>
          <w:lang w:val="sr-Cyrl-RS" w:eastAsia="en-US"/>
        </w:rPr>
        <w:t>ПСРС</w:t>
      </w:r>
      <w:r w:rsidR="006E2FAD" w:rsidRPr="0052271C">
        <w:rPr>
          <w:lang w:val="sr-Cyrl-RS" w:eastAsia="en-US"/>
        </w:rPr>
        <w:t xml:space="preserve">;  </w:t>
      </w:r>
    </w:p>
    <w:p w14:paraId="3A05839F" w14:textId="293F769C" w:rsidR="006E2FAD" w:rsidRPr="0052271C" w:rsidRDefault="00760EA8" w:rsidP="00EE0247">
      <w:pPr>
        <w:numPr>
          <w:ilvl w:val="0"/>
          <w:numId w:val="10"/>
        </w:numPr>
        <w:spacing w:after="160" w:line="276" w:lineRule="auto"/>
        <w:ind w:left="851" w:hanging="284"/>
        <w:contextualSpacing/>
        <w:jc w:val="both"/>
        <w:rPr>
          <w:lang w:val="sr-Cyrl-RS" w:eastAsia="en-US"/>
        </w:rPr>
      </w:pPr>
      <w:r w:rsidRPr="0052271C">
        <w:rPr>
          <w:lang w:val="sr-Cyrl-RS" w:eastAsia="en-US"/>
        </w:rPr>
        <w:t>и</w:t>
      </w:r>
      <w:r w:rsidR="006E2FAD" w:rsidRPr="0052271C">
        <w:rPr>
          <w:lang w:val="sr-Cyrl-RS" w:eastAsia="en-US"/>
        </w:rPr>
        <w:t xml:space="preserve">меновање и предлагање разрешења директора и извршних директора </w:t>
      </w:r>
      <w:r w:rsidR="006E2FAD" w:rsidRPr="0052271C">
        <w:rPr>
          <w:rFonts w:eastAsiaTheme="minorHAnsi" w:cstheme="minorBidi"/>
          <w:szCs w:val="22"/>
          <w:lang w:val="sr-Cyrl-RS" w:eastAsia="en-US"/>
        </w:rPr>
        <w:t>ПСРС</w:t>
      </w:r>
      <w:r w:rsidR="006E2FAD" w:rsidRPr="0052271C">
        <w:rPr>
          <w:lang w:val="sr-Cyrl-RS" w:eastAsia="en-US"/>
        </w:rPr>
        <w:t>;</w:t>
      </w:r>
    </w:p>
    <w:p w14:paraId="00974DBF" w14:textId="02B615AB" w:rsidR="006E2FAD" w:rsidRPr="0052271C" w:rsidRDefault="00760EA8" w:rsidP="00EE0247">
      <w:pPr>
        <w:numPr>
          <w:ilvl w:val="0"/>
          <w:numId w:val="10"/>
        </w:numPr>
        <w:spacing w:after="160" w:line="276" w:lineRule="auto"/>
        <w:ind w:left="851" w:hanging="284"/>
        <w:contextualSpacing/>
        <w:jc w:val="both"/>
        <w:rPr>
          <w:lang w:val="sr-Cyrl-RS" w:eastAsia="en-US"/>
        </w:rPr>
      </w:pPr>
      <w:r w:rsidRPr="0052271C">
        <w:rPr>
          <w:lang w:val="sr-Cyrl-RS" w:eastAsia="en-US"/>
        </w:rPr>
        <w:t>о</w:t>
      </w:r>
      <w:r w:rsidR="006E2FAD" w:rsidRPr="0052271C">
        <w:rPr>
          <w:lang w:val="sr-Cyrl-RS" w:eastAsia="en-US"/>
        </w:rPr>
        <w:t xml:space="preserve">безбеђивање ефикасности система финансијског управљања и контроле </w:t>
      </w:r>
      <w:r w:rsidR="006E2FAD" w:rsidRPr="0052271C">
        <w:rPr>
          <w:rFonts w:eastAsiaTheme="minorHAnsi" w:cstheme="minorBidi"/>
          <w:szCs w:val="22"/>
          <w:lang w:val="sr-Cyrl-RS" w:eastAsia="en-US"/>
        </w:rPr>
        <w:t>ПСРС</w:t>
      </w:r>
      <w:r w:rsidR="006E2FAD" w:rsidRPr="0052271C">
        <w:rPr>
          <w:lang w:val="sr-Cyrl-RS" w:eastAsia="en-US"/>
        </w:rPr>
        <w:t xml:space="preserve"> у сарадњи са Министарством финансија; </w:t>
      </w:r>
    </w:p>
    <w:p w14:paraId="503F50E9" w14:textId="1E69F02E" w:rsidR="005D3031" w:rsidRPr="0052271C" w:rsidRDefault="00760EA8" w:rsidP="00EE0247">
      <w:pPr>
        <w:numPr>
          <w:ilvl w:val="0"/>
          <w:numId w:val="10"/>
        </w:numPr>
        <w:spacing w:after="160" w:line="276" w:lineRule="auto"/>
        <w:ind w:left="851" w:hanging="284"/>
        <w:contextualSpacing/>
        <w:jc w:val="both"/>
        <w:rPr>
          <w:lang w:val="sr-Cyrl-RS" w:eastAsia="en-US"/>
        </w:rPr>
      </w:pPr>
      <w:r w:rsidRPr="0052271C">
        <w:rPr>
          <w:lang w:val="sr-Cyrl-RS" w:eastAsia="en-US"/>
        </w:rPr>
        <w:t>п</w:t>
      </w:r>
      <w:r w:rsidR="006E2FAD" w:rsidRPr="0052271C">
        <w:rPr>
          <w:lang w:val="sr-Cyrl-RS" w:eastAsia="en-US"/>
        </w:rPr>
        <w:t xml:space="preserve">остављање очекивања за износ дивиденде коју </w:t>
      </w:r>
      <w:r w:rsidR="006E2FAD" w:rsidRPr="0052271C">
        <w:rPr>
          <w:rFonts w:eastAsiaTheme="minorHAnsi" w:cstheme="minorBidi"/>
          <w:szCs w:val="22"/>
          <w:lang w:val="sr-Cyrl-RS" w:eastAsia="en-US"/>
        </w:rPr>
        <w:t>ПСРС</w:t>
      </w:r>
      <w:r w:rsidR="006E2FAD" w:rsidRPr="0052271C">
        <w:rPr>
          <w:lang w:val="sr-Cyrl-RS" w:eastAsia="en-US"/>
        </w:rPr>
        <w:t xml:space="preserve"> треба да исплате држави у случају добити, у сарадњи са Министарством финансија, и одобравање и праћење оквира корпоративног управљања и његове ефикасности. </w:t>
      </w:r>
    </w:p>
    <w:p w14:paraId="24ADDBB3" w14:textId="77777777" w:rsidR="005D3031" w:rsidRPr="0052271C" w:rsidRDefault="005D3031" w:rsidP="005D3031">
      <w:pPr>
        <w:spacing w:after="160" w:line="276" w:lineRule="auto"/>
        <w:contextualSpacing/>
        <w:jc w:val="both"/>
        <w:rPr>
          <w:b/>
          <w:bCs/>
          <w:lang w:val="sr-Cyrl-RS" w:eastAsia="en-US"/>
        </w:rPr>
      </w:pPr>
    </w:p>
    <w:p w14:paraId="478E49D7" w14:textId="0C492C31" w:rsidR="006E2FAD" w:rsidRPr="0052271C" w:rsidRDefault="005D3031" w:rsidP="005D3031">
      <w:pPr>
        <w:spacing w:after="160" w:line="276" w:lineRule="auto"/>
        <w:ind w:firstLine="567"/>
        <w:contextualSpacing/>
        <w:jc w:val="both"/>
        <w:rPr>
          <w:color w:val="FF0000"/>
          <w:lang w:val="sr-Cyrl-RS" w:eastAsia="en-US"/>
        </w:rPr>
      </w:pPr>
      <w:r w:rsidRPr="0052271C">
        <w:rPr>
          <w:bCs/>
          <w:lang w:val="sr-Cyrl-RS" w:eastAsia="en-US"/>
        </w:rPr>
        <w:t>Изузеци од централизоване одговорности Министарства могући су у случајевима када је то неопходно ради испуњавања обавеза преузетих међународним актима.</w:t>
      </w:r>
    </w:p>
    <w:p w14:paraId="19E0E732" w14:textId="77777777" w:rsidR="00657C6E" w:rsidRPr="0052271C" w:rsidRDefault="00657C6E" w:rsidP="00657C6E">
      <w:pPr>
        <w:spacing w:after="160" w:line="276" w:lineRule="auto"/>
        <w:ind w:left="851"/>
        <w:contextualSpacing/>
        <w:jc w:val="both"/>
        <w:rPr>
          <w:lang w:val="sr-Cyrl-RS" w:eastAsia="en-US"/>
        </w:rPr>
      </w:pPr>
    </w:p>
    <w:p w14:paraId="71BE283D" w14:textId="3C4D86EC" w:rsidR="003030A0" w:rsidRPr="0052271C" w:rsidRDefault="007219B2" w:rsidP="003030A0">
      <w:pPr>
        <w:spacing w:line="276" w:lineRule="auto"/>
        <w:ind w:firstLine="567"/>
        <w:jc w:val="both"/>
        <w:rPr>
          <w:rFonts w:eastAsiaTheme="minorHAnsi" w:cstheme="minorBidi"/>
          <w:szCs w:val="22"/>
          <w:lang w:val="sr-Cyrl-RS" w:eastAsia="en-US"/>
        </w:rPr>
      </w:pPr>
      <w:r w:rsidRPr="0052271C">
        <w:rPr>
          <w:rFonts w:eastAsiaTheme="minorHAnsi" w:cstheme="minorBidi"/>
          <w:szCs w:val="22"/>
          <w:lang w:val="sr-Cyrl-RS" w:eastAsia="en-US"/>
        </w:rPr>
        <w:t xml:space="preserve">Институционална надлежност: </w:t>
      </w:r>
      <w:r w:rsidR="00760EA8" w:rsidRPr="0052271C">
        <w:rPr>
          <w:rFonts w:eastAsiaTheme="minorHAnsi" w:cstheme="minorBidi"/>
          <w:szCs w:val="22"/>
          <w:lang w:val="sr-Cyrl-RS" w:eastAsia="en-US"/>
        </w:rPr>
        <w:t>потребно је</w:t>
      </w:r>
      <w:r w:rsidR="00B85ED8" w:rsidRPr="0052271C">
        <w:rPr>
          <w:rFonts w:eastAsiaTheme="minorHAnsi" w:cstheme="minorBidi"/>
          <w:szCs w:val="22"/>
          <w:lang w:val="sr-Cyrl-RS" w:eastAsia="en-US"/>
        </w:rPr>
        <w:t xml:space="preserve"> да Министарство </w:t>
      </w:r>
      <w:r w:rsidR="003030A0" w:rsidRPr="0052271C">
        <w:rPr>
          <w:rFonts w:eastAsiaTheme="minorHAnsi" w:cstheme="minorBidi"/>
          <w:szCs w:val="22"/>
          <w:lang w:val="sr-Cyrl-RS" w:eastAsia="en-US"/>
        </w:rPr>
        <w:t>поступа у координацији са ресорним министарствима у вези са следећим питањима:</w:t>
      </w:r>
    </w:p>
    <w:p w14:paraId="36CEE6CF" w14:textId="77777777" w:rsidR="003030A0" w:rsidRPr="0052271C" w:rsidRDefault="003030A0" w:rsidP="00EE0247">
      <w:pPr>
        <w:numPr>
          <w:ilvl w:val="0"/>
          <w:numId w:val="10"/>
        </w:numPr>
        <w:spacing w:after="160" w:line="276" w:lineRule="auto"/>
        <w:ind w:left="851" w:hanging="284"/>
        <w:contextualSpacing/>
        <w:jc w:val="both"/>
        <w:rPr>
          <w:lang w:val="sr-Cyrl-RS" w:eastAsia="en-US"/>
        </w:rPr>
      </w:pPr>
      <w:r w:rsidRPr="0052271C">
        <w:rPr>
          <w:lang w:val="sr-Cyrl-RS" w:eastAsia="en-US"/>
        </w:rPr>
        <w:t xml:space="preserve">везаним за стратешке планове </w:t>
      </w:r>
      <w:r w:rsidRPr="0052271C">
        <w:rPr>
          <w:rFonts w:eastAsiaTheme="minorHAnsi" w:cstheme="minorBidi"/>
          <w:szCs w:val="22"/>
          <w:lang w:val="sr-Cyrl-RS" w:eastAsia="en-US"/>
        </w:rPr>
        <w:t>ПСРС</w:t>
      </w:r>
      <w:r w:rsidRPr="0052271C">
        <w:rPr>
          <w:lang w:val="sr-Cyrl-RS" w:eastAsia="en-US"/>
        </w:rPr>
        <w:t xml:space="preserve"> (нпр. како би се осигурала усклађеност са приоритетима секторских стратегија);</w:t>
      </w:r>
    </w:p>
    <w:p w14:paraId="3A79677F" w14:textId="13F8F174" w:rsidR="003030A0" w:rsidRPr="0052271C" w:rsidRDefault="003030A0" w:rsidP="00EE0247">
      <w:pPr>
        <w:numPr>
          <w:ilvl w:val="0"/>
          <w:numId w:val="10"/>
        </w:numPr>
        <w:spacing w:after="160" w:line="276" w:lineRule="auto"/>
        <w:ind w:left="851" w:hanging="284"/>
        <w:contextualSpacing/>
        <w:jc w:val="both"/>
        <w:rPr>
          <w:lang w:val="sr-Cyrl-RS" w:eastAsia="en-US"/>
        </w:rPr>
      </w:pPr>
      <w:r w:rsidRPr="0052271C">
        <w:rPr>
          <w:lang w:val="sr-Cyrl-RS" w:eastAsia="en-US"/>
        </w:rPr>
        <w:t>постављање</w:t>
      </w:r>
      <w:r w:rsidR="00760EA8" w:rsidRPr="0052271C">
        <w:rPr>
          <w:lang w:val="sr-Cyrl-RS" w:eastAsia="en-US"/>
        </w:rPr>
        <w:t>м</w:t>
      </w:r>
      <w:r w:rsidRPr="0052271C">
        <w:rPr>
          <w:lang w:val="sr-Cyrl-RS" w:eastAsia="en-US"/>
        </w:rPr>
        <w:t xml:space="preserve"> општих циљева релевантних </w:t>
      </w:r>
      <w:r w:rsidRPr="0052271C">
        <w:rPr>
          <w:rFonts w:eastAsiaTheme="minorHAnsi" w:cstheme="minorBidi"/>
          <w:szCs w:val="22"/>
          <w:lang w:val="sr-Cyrl-RS" w:eastAsia="en-US"/>
        </w:rPr>
        <w:t>ПСРС</w:t>
      </w:r>
      <w:r w:rsidRPr="0052271C">
        <w:rPr>
          <w:lang w:val="sr-Cyrl-RS" w:eastAsia="en-US"/>
        </w:rPr>
        <w:t xml:space="preserve"> (нпр. да би се обезбедило дубље разумевање пословања </w:t>
      </w:r>
      <w:r w:rsidRPr="0052271C">
        <w:rPr>
          <w:rFonts w:eastAsiaTheme="minorHAnsi" w:cstheme="minorBidi"/>
          <w:szCs w:val="22"/>
          <w:lang w:val="sr-Cyrl-RS" w:eastAsia="en-US"/>
        </w:rPr>
        <w:t>ПСРС</w:t>
      </w:r>
      <w:r w:rsidRPr="0052271C">
        <w:rPr>
          <w:lang w:val="sr-Cyrl-RS" w:eastAsia="en-US"/>
        </w:rPr>
        <w:t>);</w:t>
      </w:r>
    </w:p>
    <w:p w14:paraId="5E8433E0" w14:textId="77777777" w:rsidR="003030A0" w:rsidRPr="0052271C" w:rsidRDefault="003030A0" w:rsidP="00EE0247">
      <w:pPr>
        <w:numPr>
          <w:ilvl w:val="0"/>
          <w:numId w:val="10"/>
        </w:numPr>
        <w:spacing w:after="160" w:line="276" w:lineRule="auto"/>
        <w:ind w:left="851" w:hanging="284"/>
        <w:contextualSpacing/>
        <w:jc w:val="both"/>
        <w:rPr>
          <w:lang w:val="sr-Cyrl-RS" w:eastAsia="en-US"/>
        </w:rPr>
      </w:pPr>
      <w:r w:rsidRPr="0052271C">
        <w:rPr>
          <w:lang w:val="sr-Cyrl-RS" w:eastAsia="en-US"/>
        </w:rPr>
        <w:t xml:space="preserve">везаним за финансијске планове релевантних </w:t>
      </w:r>
      <w:r w:rsidRPr="0052271C">
        <w:rPr>
          <w:rFonts w:eastAsiaTheme="minorHAnsi" w:cstheme="minorBidi"/>
          <w:szCs w:val="22"/>
          <w:lang w:val="sr-Cyrl-RS" w:eastAsia="en-US"/>
        </w:rPr>
        <w:t>ПСРС</w:t>
      </w:r>
      <w:r w:rsidRPr="0052271C">
        <w:rPr>
          <w:lang w:val="sr-Cyrl-RS" w:eastAsia="en-US"/>
        </w:rPr>
        <w:t>;</w:t>
      </w:r>
    </w:p>
    <w:p w14:paraId="10C6EFD2" w14:textId="053DE847" w:rsidR="003030A0" w:rsidRPr="0052271C" w:rsidRDefault="003030A0" w:rsidP="00EE0247">
      <w:pPr>
        <w:numPr>
          <w:ilvl w:val="0"/>
          <w:numId w:val="10"/>
        </w:numPr>
        <w:spacing w:after="160" w:line="276" w:lineRule="auto"/>
        <w:ind w:left="851" w:hanging="284"/>
        <w:contextualSpacing/>
        <w:jc w:val="both"/>
        <w:rPr>
          <w:lang w:val="sr-Cyrl-RS" w:eastAsia="en-US"/>
        </w:rPr>
      </w:pPr>
      <w:r w:rsidRPr="0052271C">
        <w:rPr>
          <w:lang w:val="sr-Cyrl-RS" w:eastAsia="en-US"/>
        </w:rPr>
        <w:t xml:space="preserve">очекивањима везаним за главне одлуке </w:t>
      </w:r>
      <w:r w:rsidRPr="0052271C">
        <w:rPr>
          <w:rFonts w:eastAsiaTheme="minorHAnsi" w:cstheme="minorBidi"/>
          <w:szCs w:val="22"/>
          <w:lang w:val="sr-Cyrl-RS" w:eastAsia="en-US"/>
        </w:rPr>
        <w:t>ПСРС</w:t>
      </w:r>
      <w:r w:rsidR="00760EA8" w:rsidRPr="0052271C">
        <w:rPr>
          <w:lang w:val="sr-Cyrl-RS" w:eastAsia="en-US"/>
        </w:rPr>
        <w:t>;</w:t>
      </w:r>
    </w:p>
    <w:p w14:paraId="6325603D" w14:textId="330490E2" w:rsidR="001F32A0" w:rsidRPr="0052271C" w:rsidRDefault="003030A0" w:rsidP="00EE0247">
      <w:pPr>
        <w:numPr>
          <w:ilvl w:val="0"/>
          <w:numId w:val="10"/>
        </w:numPr>
        <w:spacing w:after="160" w:line="276" w:lineRule="auto"/>
        <w:ind w:left="851" w:hanging="284"/>
        <w:contextualSpacing/>
        <w:jc w:val="both"/>
        <w:rPr>
          <w:lang w:val="sr-Cyrl-RS" w:eastAsia="en-US"/>
        </w:rPr>
      </w:pPr>
      <w:r w:rsidRPr="0052271C">
        <w:rPr>
          <w:lang w:val="sr-Cyrl-RS" w:eastAsia="en-US"/>
        </w:rPr>
        <w:lastRenderedPageBreak/>
        <w:t>кандидатима за избор директора и извршних директора, или предлозима за њихов</w:t>
      </w:r>
      <w:r w:rsidR="00760EA8" w:rsidRPr="0052271C">
        <w:rPr>
          <w:lang w:val="sr-Cyrl-RS" w:eastAsia="en-US"/>
        </w:rPr>
        <w:t>о</w:t>
      </w:r>
      <w:r w:rsidRPr="0052271C">
        <w:rPr>
          <w:lang w:val="sr-Cyrl-RS" w:eastAsia="en-US"/>
        </w:rPr>
        <w:t xml:space="preserve"> разрешење.</w:t>
      </w:r>
    </w:p>
    <w:p w14:paraId="2A3D79B3" w14:textId="77777777" w:rsidR="000A5A7B" w:rsidRPr="0052271C" w:rsidRDefault="000A5A7B" w:rsidP="00657C6E">
      <w:pPr>
        <w:spacing w:after="160" w:line="276" w:lineRule="auto"/>
        <w:ind w:left="851"/>
        <w:contextualSpacing/>
        <w:jc w:val="both"/>
        <w:rPr>
          <w:lang w:val="sr-Cyrl-RS" w:eastAsia="en-US"/>
        </w:rPr>
      </w:pPr>
    </w:p>
    <w:p w14:paraId="2BE9DD7A" w14:textId="51370491" w:rsidR="001F32A0" w:rsidRPr="0052271C" w:rsidRDefault="001F32A0" w:rsidP="001F32A0">
      <w:pPr>
        <w:spacing w:line="276" w:lineRule="auto"/>
        <w:ind w:firstLine="567"/>
        <w:jc w:val="both"/>
        <w:rPr>
          <w:rFonts w:eastAsiaTheme="minorHAnsi" w:cstheme="minorBidi"/>
          <w:szCs w:val="22"/>
          <w:lang w:val="sr-Cyrl-RS" w:eastAsia="en-US"/>
        </w:rPr>
      </w:pPr>
      <w:r w:rsidRPr="0052271C">
        <w:rPr>
          <w:rFonts w:eastAsiaTheme="minorHAnsi" w:cstheme="minorBidi"/>
          <w:szCs w:val="22"/>
          <w:lang w:val="sr-Cyrl-RS" w:eastAsia="en-US"/>
        </w:rPr>
        <w:t xml:space="preserve">Поред тога, </w:t>
      </w:r>
      <w:r w:rsidR="006C0BC8" w:rsidRPr="0052271C">
        <w:rPr>
          <w:rFonts w:eastAsiaTheme="minorHAnsi" w:cstheme="minorBidi"/>
          <w:szCs w:val="22"/>
          <w:lang w:val="sr-Cyrl-RS" w:eastAsia="en-US"/>
        </w:rPr>
        <w:t>потребно је</w:t>
      </w:r>
      <w:r w:rsidRPr="0052271C">
        <w:rPr>
          <w:rFonts w:eastAsiaTheme="minorHAnsi" w:cstheme="minorBidi"/>
          <w:szCs w:val="22"/>
          <w:lang w:val="sr-Cyrl-RS" w:eastAsia="en-US"/>
        </w:rPr>
        <w:t xml:space="preserve"> да Министарство </w:t>
      </w:r>
      <w:r w:rsidR="00A36BB7" w:rsidRPr="0052271C">
        <w:rPr>
          <w:rFonts w:eastAsiaTheme="minorHAnsi" w:cstheme="minorBidi"/>
          <w:szCs w:val="22"/>
          <w:lang w:val="sr-Cyrl-RS" w:eastAsia="en-US"/>
        </w:rPr>
        <w:t>сарађује</w:t>
      </w:r>
      <w:r w:rsidRPr="0052271C">
        <w:rPr>
          <w:rFonts w:eastAsiaTheme="minorHAnsi" w:cstheme="minorBidi"/>
          <w:szCs w:val="22"/>
          <w:lang w:val="sr-Cyrl-RS" w:eastAsia="en-US"/>
        </w:rPr>
        <w:t xml:space="preserve"> са Министарством финансија како би се:</w:t>
      </w:r>
    </w:p>
    <w:p w14:paraId="45E25894" w14:textId="46B7200B" w:rsidR="001F32A0" w:rsidRPr="0052271C" w:rsidRDefault="001F32A0" w:rsidP="00EE0247">
      <w:pPr>
        <w:numPr>
          <w:ilvl w:val="0"/>
          <w:numId w:val="10"/>
        </w:numPr>
        <w:spacing w:after="160" w:line="276" w:lineRule="auto"/>
        <w:ind w:left="851" w:hanging="284"/>
        <w:contextualSpacing/>
        <w:jc w:val="both"/>
        <w:rPr>
          <w:lang w:val="sr-Cyrl-RS" w:eastAsia="en-US"/>
        </w:rPr>
      </w:pPr>
      <w:r w:rsidRPr="0052271C">
        <w:rPr>
          <w:lang w:val="sr-Cyrl-RS" w:eastAsia="en-US"/>
        </w:rPr>
        <w:t xml:space="preserve">осигурала ефикасност система финансијског управљања и контроле </w:t>
      </w:r>
      <w:r w:rsidRPr="0052271C">
        <w:rPr>
          <w:rFonts w:eastAsiaTheme="minorHAnsi" w:cstheme="minorBidi"/>
          <w:szCs w:val="22"/>
          <w:lang w:val="sr-Cyrl-RS" w:eastAsia="en-US"/>
        </w:rPr>
        <w:t>ПСРС</w:t>
      </w:r>
      <w:r w:rsidR="006C0BC8" w:rsidRPr="0052271C">
        <w:rPr>
          <w:lang w:val="sr-Cyrl-RS" w:eastAsia="en-US"/>
        </w:rPr>
        <w:t>;</w:t>
      </w:r>
    </w:p>
    <w:p w14:paraId="176CF5A4" w14:textId="77777777" w:rsidR="001F32A0" w:rsidRPr="0052271C" w:rsidRDefault="001F32A0" w:rsidP="00EE0247">
      <w:pPr>
        <w:numPr>
          <w:ilvl w:val="0"/>
          <w:numId w:val="10"/>
        </w:numPr>
        <w:spacing w:after="160" w:line="276" w:lineRule="auto"/>
        <w:ind w:left="851" w:hanging="284"/>
        <w:contextualSpacing/>
        <w:jc w:val="both"/>
        <w:rPr>
          <w:lang w:val="sr-Cyrl-RS" w:eastAsia="en-US"/>
        </w:rPr>
      </w:pPr>
      <w:r w:rsidRPr="0052271C">
        <w:rPr>
          <w:lang w:val="sr-Cyrl-RS" w:eastAsia="en-US"/>
        </w:rPr>
        <w:t>поставила очекивања за дивиденду држави у случају добити</w:t>
      </w:r>
      <w:r w:rsidRPr="0052271C">
        <w:rPr>
          <w:rFonts w:eastAsiaTheme="minorHAnsi" w:cstheme="minorBidi"/>
          <w:szCs w:val="22"/>
          <w:lang w:val="sr-Cyrl-RS" w:eastAsia="en-US"/>
        </w:rPr>
        <w:t xml:space="preserve"> ПСРС</w:t>
      </w:r>
      <w:r w:rsidRPr="0052271C">
        <w:rPr>
          <w:lang w:val="sr-Cyrl-RS" w:eastAsia="en-US"/>
        </w:rPr>
        <w:t>.</w:t>
      </w:r>
    </w:p>
    <w:p w14:paraId="28ED08F0" w14:textId="76CDE5EB" w:rsidR="00657C6E" w:rsidRPr="0052271C" w:rsidRDefault="0031388E" w:rsidP="000A5A7B">
      <w:pPr>
        <w:spacing w:before="240" w:after="240" w:line="276" w:lineRule="auto"/>
        <w:ind w:firstLine="567"/>
        <w:jc w:val="both"/>
        <w:rPr>
          <w:rFonts w:eastAsiaTheme="minorHAnsi" w:cstheme="minorBidi"/>
          <w:szCs w:val="22"/>
          <w:lang w:val="sr-Cyrl-RS" w:eastAsia="en-US"/>
        </w:rPr>
      </w:pPr>
      <w:r w:rsidRPr="0052271C">
        <w:rPr>
          <w:rFonts w:eastAsiaTheme="minorHAnsi" w:cstheme="minorBidi"/>
          <w:szCs w:val="22"/>
          <w:lang w:val="sr-Cyrl-RS" w:eastAsia="en-US"/>
        </w:rPr>
        <w:t xml:space="preserve">Република Србија ће бити представљена у скупштини </w:t>
      </w:r>
      <w:r w:rsidR="00626C48" w:rsidRPr="0052271C">
        <w:rPr>
          <w:rFonts w:eastAsiaTheme="minorHAnsi" w:cstheme="minorBidi"/>
          <w:szCs w:val="22"/>
          <w:lang w:val="sr-Cyrl-RS" w:eastAsia="en-US"/>
        </w:rPr>
        <w:t xml:space="preserve">ПСРС </w:t>
      </w:r>
      <w:r w:rsidRPr="0052271C">
        <w:rPr>
          <w:rFonts w:eastAsiaTheme="minorHAnsi" w:cstheme="minorBidi"/>
          <w:szCs w:val="22"/>
          <w:lang w:val="sr-Cyrl-RS" w:eastAsia="en-US"/>
        </w:rPr>
        <w:t>преко представн</w:t>
      </w:r>
      <w:r w:rsidR="009A1CA7" w:rsidRPr="0052271C">
        <w:rPr>
          <w:rFonts w:eastAsiaTheme="minorHAnsi" w:cstheme="minorBidi"/>
          <w:szCs w:val="22"/>
          <w:lang w:val="sr-Cyrl-RS" w:eastAsia="en-US"/>
        </w:rPr>
        <w:t>ика које поставља централизовани</w:t>
      </w:r>
      <w:r w:rsidRPr="0052271C">
        <w:rPr>
          <w:rFonts w:eastAsiaTheme="minorHAnsi" w:cstheme="minorBidi"/>
          <w:szCs w:val="22"/>
          <w:lang w:val="sr-Cyrl-RS" w:eastAsia="en-US"/>
        </w:rPr>
        <w:t xml:space="preserve"> власничк</w:t>
      </w:r>
      <w:r w:rsidR="009A1CA7" w:rsidRPr="0052271C">
        <w:rPr>
          <w:rFonts w:eastAsiaTheme="minorHAnsi" w:cstheme="minorBidi"/>
          <w:szCs w:val="22"/>
          <w:lang w:val="sr-Cyrl-RS" w:eastAsia="en-US"/>
        </w:rPr>
        <w:t>и ентитет</w:t>
      </w:r>
      <w:r w:rsidRPr="0052271C">
        <w:rPr>
          <w:rFonts w:eastAsiaTheme="minorHAnsi" w:cstheme="minorBidi"/>
          <w:szCs w:val="22"/>
          <w:lang w:val="sr-Cyrl-RS" w:eastAsia="en-US"/>
        </w:rPr>
        <w:t xml:space="preserve"> а скупштина </w:t>
      </w:r>
      <w:r w:rsidR="00626C48" w:rsidRPr="0052271C">
        <w:rPr>
          <w:rFonts w:eastAsiaTheme="minorHAnsi" w:cstheme="minorBidi"/>
          <w:szCs w:val="22"/>
          <w:lang w:val="sr-Cyrl-RS" w:eastAsia="en-US"/>
        </w:rPr>
        <w:t>је</w:t>
      </w:r>
      <w:r w:rsidRPr="0052271C">
        <w:rPr>
          <w:rFonts w:eastAsiaTheme="minorHAnsi" w:cstheme="minorBidi"/>
          <w:szCs w:val="22"/>
          <w:lang w:val="sr-Cyrl-RS" w:eastAsia="en-US"/>
        </w:rPr>
        <w:t xml:space="preserve"> орган који представља власнике капитала</w:t>
      </w:r>
      <w:r w:rsidR="009A1CA7" w:rsidRPr="0052271C">
        <w:rPr>
          <w:rFonts w:eastAsiaTheme="minorHAnsi" w:cstheme="minorBidi"/>
          <w:szCs w:val="22"/>
          <w:lang w:val="sr-Cyrl-RS" w:eastAsia="en-US"/>
        </w:rPr>
        <w:t>.</w:t>
      </w:r>
      <w:r w:rsidRPr="0052271C">
        <w:rPr>
          <w:rFonts w:eastAsiaTheme="minorHAnsi" w:cstheme="minorBidi"/>
          <w:szCs w:val="22"/>
          <w:lang w:val="sr-Cyrl-RS" w:eastAsia="en-US"/>
        </w:rPr>
        <w:t xml:space="preserve"> Министарство </w:t>
      </w:r>
      <w:r w:rsidR="00B85ED8" w:rsidRPr="0052271C">
        <w:rPr>
          <w:rFonts w:eastAsiaTheme="minorHAnsi" w:cstheme="minorBidi"/>
          <w:szCs w:val="22"/>
          <w:lang w:val="sr-Cyrl-RS" w:eastAsia="en-US"/>
        </w:rPr>
        <w:t xml:space="preserve">ће </w:t>
      </w:r>
      <w:r w:rsidRPr="0052271C">
        <w:rPr>
          <w:rFonts w:eastAsiaTheme="minorHAnsi" w:cstheme="minorBidi"/>
          <w:szCs w:val="22"/>
          <w:lang w:val="sr-Cyrl-RS" w:eastAsia="en-US"/>
        </w:rPr>
        <w:t xml:space="preserve">као </w:t>
      </w:r>
      <w:r w:rsidR="009A1CA7" w:rsidRPr="0052271C">
        <w:rPr>
          <w:rFonts w:eastAsiaTheme="minorHAnsi" w:cstheme="minorBidi"/>
          <w:szCs w:val="22"/>
          <w:lang w:val="sr-Cyrl-RS" w:eastAsia="en-US"/>
        </w:rPr>
        <w:t xml:space="preserve">централизовани власнички ентитет </w:t>
      </w:r>
      <w:r w:rsidRPr="0052271C">
        <w:rPr>
          <w:rFonts w:eastAsiaTheme="minorHAnsi" w:cstheme="minorBidi"/>
          <w:szCs w:val="22"/>
          <w:lang w:val="sr-Cyrl-RS" w:eastAsia="en-US"/>
        </w:rPr>
        <w:t xml:space="preserve"> вршити власничку функцију преко свог представника у скупштини ПСРС и биће одговорно за координацију са </w:t>
      </w:r>
      <w:r w:rsidR="009A1CA7" w:rsidRPr="0052271C">
        <w:rPr>
          <w:rFonts w:eastAsiaTheme="minorHAnsi" w:cstheme="minorBidi"/>
          <w:szCs w:val="22"/>
          <w:lang w:val="sr-Cyrl-RS" w:eastAsia="en-US"/>
        </w:rPr>
        <w:t>ресорним</w:t>
      </w:r>
      <w:r w:rsidRPr="0052271C">
        <w:rPr>
          <w:rFonts w:eastAsiaTheme="minorHAnsi" w:cstheme="minorBidi"/>
          <w:szCs w:val="22"/>
          <w:lang w:val="sr-Cyrl-RS" w:eastAsia="en-US"/>
        </w:rPr>
        <w:t xml:space="preserve"> министарствима, према потреби, у вршењу својих </w:t>
      </w:r>
      <w:r w:rsidR="00626C48" w:rsidRPr="0052271C">
        <w:rPr>
          <w:rFonts w:eastAsiaTheme="minorHAnsi" w:cstheme="minorBidi"/>
          <w:szCs w:val="22"/>
          <w:lang w:val="sr-Cyrl-RS" w:eastAsia="en-US"/>
        </w:rPr>
        <w:t>надлежности</w:t>
      </w:r>
      <w:r w:rsidRPr="0052271C">
        <w:rPr>
          <w:rFonts w:eastAsiaTheme="minorHAnsi" w:cstheme="minorBidi"/>
          <w:szCs w:val="22"/>
          <w:lang w:val="sr-Cyrl-RS" w:eastAsia="en-US"/>
        </w:rPr>
        <w:t>. Када се постигне консензус око одређеног питања, то ће бити изражено преко представника Министарства у скупштини ПСРС.</w:t>
      </w:r>
    </w:p>
    <w:p w14:paraId="1233A8F2" w14:textId="02489D49" w:rsidR="001F32A0" w:rsidRPr="0052271C" w:rsidRDefault="001F32A0" w:rsidP="00657C6E">
      <w:pPr>
        <w:spacing w:before="240" w:after="240" w:line="276" w:lineRule="auto"/>
        <w:ind w:firstLine="567"/>
        <w:jc w:val="both"/>
        <w:rPr>
          <w:rFonts w:eastAsiaTheme="minorHAnsi" w:cstheme="minorBidi"/>
          <w:szCs w:val="22"/>
          <w:lang w:val="sr-Cyrl-RS" w:eastAsia="en-US"/>
        </w:rPr>
      </w:pPr>
      <w:r w:rsidRPr="0052271C">
        <w:rPr>
          <w:rFonts w:eastAsiaTheme="minorHAnsi" w:cstheme="minorBidi"/>
          <w:szCs w:val="22"/>
          <w:lang w:val="sr-Cyrl-RS" w:eastAsia="en-US"/>
        </w:rPr>
        <w:t>Мера 4: Успостављање централизоване базе података свих П</w:t>
      </w:r>
      <w:r w:rsidR="00657C6E" w:rsidRPr="0052271C">
        <w:rPr>
          <w:rFonts w:eastAsiaTheme="minorHAnsi" w:cstheme="minorBidi"/>
          <w:szCs w:val="22"/>
          <w:lang w:val="sr-Cyrl-RS" w:eastAsia="en-US"/>
        </w:rPr>
        <w:t>СРС и њихових зависних друштава</w:t>
      </w:r>
    </w:p>
    <w:p w14:paraId="62E519EA" w14:textId="53FA6833" w:rsidR="001F32A0" w:rsidRPr="0052271C" w:rsidRDefault="001F32A0" w:rsidP="001F32A0">
      <w:pPr>
        <w:spacing w:line="276" w:lineRule="auto"/>
        <w:ind w:firstLine="567"/>
        <w:jc w:val="both"/>
        <w:rPr>
          <w:rFonts w:eastAsiaTheme="minorHAnsi" w:cstheme="minorBidi"/>
          <w:szCs w:val="22"/>
          <w:lang w:val="sr-Cyrl-RS" w:eastAsia="en-US"/>
        </w:rPr>
      </w:pPr>
      <w:r w:rsidRPr="0052271C">
        <w:rPr>
          <w:rFonts w:eastAsiaTheme="minorHAnsi" w:cstheme="minorBidi"/>
          <w:szCs w:val="22"/>
          <w:lang w:val="sr-Cyrl-RS" w:eastAsia="en-US"/>
        </w:rPr>
        <w:t>Да би подржало државу у примени разлога власништва и управљању портфељ</w:t>
      </w:r>
      <w:r w:rsidR="00626C48" w:rsidRPr="0052271C">
        <w:rPr>
          <w:rFonts w:eastAsiaTheme="minorHAnsi" w:cstheme="minorBidi"/>
          <w:szCs w:val="22"/>
          <w:lang w:val="sr-Cyrl-RS" w:eastAsia="en-US"/>
        </w:rPr>
        <w:t>ем</w:t>
      </w:r>
      <w:r w:rsidRPr="0052271C">
        <w:rPr>
          <w:rFonts w:eastAsiaTheme="minorHAnsi" w:cstheme="minorBidi"/>
          <w:szCs w:val="22"/>
          <w:lang w:val="sr-Cyrl-RS" w:eastAsia="en-US"/>
        </w:rPr>
        <w:t xml:space="preserve"> </w:t>
      </w:r>
      <w:r w:rsidR="003C3C2C" w:rsidRPr="0052271C">
        <w:rPr>
          <w:rFonts w:eastAsiaTheme="minorHAnsi" w:cstheme="minorBidi"/>
          <w:szCs w:val="22"/>
          <w:lang w:val="sr-Cyrl-RS" w:eastAsia="en-US"/>
        </w:rPr>
        <w:t>ПСРС</w:t>
      </w:r>
      <w:r w:rsidRPr="0052271C">
        <w:rPr>
          <w:rFonts w:eastAsiaTheme="minorHAnsi" w:cstheme="minorBidi"/>
          <w:szCs w:val="22"/>
          <w:lang w:val="sr-Cyrl-RS" w:eastAsia="en-US"/>
        </w:rPr>
        <w:t xml:space="preserve">, Министарство ће </w:t>
      </w:r>
      <w:r w:rsidRPr="0052271C">
        <w:rPr>
          <w:rFonts w:eastAsiaTheme="minorHAnsi"/>
          <w:lang w:val="sr-Cyrl-RS"/>
        </w:rPr>
        <w:t>развити и одржавати централизовану базу података свих ПСРС и њихових зависних друштава</w:t>
      </w:r>
      <w:r w:rsidR="00626C48" w:rsidRPr="0052271C">
        <w:rPr>
          <w:rFonts w:eastAsiaTheme="minorHAnsi"/>
          <w:lang w:val="sr-Cyrl-RS"/>
        </w:rPr>
        <w:t>,</w:t>
      </w:r>
      <w:r w:rsidRPr="0052271C">
        <w:rPr>
          <w:rFonts w:eastAsiaTheme="minorHAnsi"/>
          <w:lang w:val="sr-Cyrl-RS"/>
        </w:rPr>
        <w:t xml:space="preserve"> као и њихове имовине.</w:t>
      </w:r>
    </w:p>
    <w:p w14:paraId="092853B0" w14:textId="77777777" w:rsidR="001F32A0" w:rsidRPr="0052271C" w:rsidRDefault="001F32A0" w:rsidP="001F32A0">
      <w:pPr>
        <w:spacing w:after="160" w:line="276" w:lineRule="auto"/>
        <w:jc w:val="both"/>
        <w:rPr>
          <w:rFonts w:eastAsiaTheme="minorHAnsi"/>
          <w:lang w:val="sr-Cyrl-RS"/>
        </w:rPr>
      </w:pPr>
    </w:p>
    <w:p w14:paraId="6B1F4055" w14:textId="02AF7AB1" w:rsidR="001F32A0" w:rsidRPr="0052271C" w:rsidRDefault="002121C1" w:rsidP="00B73B1C">
      <w:pPr>
        <w:ind w:firstLine="567"/>
        <w:jc w:val="both"/>
        <w:rPr>
          <w:rFonts w:eastAsiaTheme="minorHAnsi" w:cstheme="minorBidi"/>
          <w:szCs w:val="22"/>
          <w:lang w:val="sr-Cyrl-RS" w:eastAsia="en-US"/>
        </w:rPr>
      </w:pPr>
      <w:r w:rsidRPr="0052271C">
        <w:rPr>
          <w:rFonts w:eastAsiaTheme="minorHAnsi" w:cstheme="minorBidi"/>
          <w:szCs w:val="22"/>
          <w:lang w:val="sr-Cyrl-RS" w:eastAsia="en-US"/>
        </w:rPr>
        <w:t>Мера 5: К</w:t>
      </w:r>
      <w:r w:rsidR="00C51A51" w:rsidRPr="0052271C">
        <w:rPr>
          <w:rFonts w:eastAsiaTheme="minorHAnsi" w:cstheme="minorBidi"/>
          <w:szCs w:val="22"/>
          <w:lang w:val="sr-Cyrl-RS" w:eastAsia="en-US"/>
        </w:rPr>
        <w:t>ласификација</w:t>
      </w:r>
      <w:r w:rsidR="007219B2" w:rsidRPr="0052271C">
        <w:rPr>
          <w:rFonts w:eastAsiaTheme="minorHAnsi" w:cstheme="minorBidi"/>
          <w:szCs w:val="22"/>
          <w:lang w:val="sr-Cyrl-RS" w:eastAsia="en-US"/>
        </w:rPr>
        <w:t xml:space="preserve"> ПСРС </w:t>
      </w:r>
    </w:p>
    <w:p w14:paraId="21028CC1" w14:textId="77777777" w:rsidR="00B73B1C" w:rsidRPr="0052271C" w:rsidRDefault="00B73B1C" w:rsidP="00B73B1C">
      <w:pPr>
        <w:ind w:firstLine="567"/>
        <w:jc w:val="both"/>
        <w:rPr>
          <w:rFonts w:eastAsiaTheme="minorHAnsi" w:cstheme="minorBidi"/>
          <w:szCs w:val="22"/>
          <w:lang w:val="sr-Cyrl-RS" w:eastAsia="en-US"/>
        </w:rPr>
      </w:pPr>
    </w:p>
    <w:p w14:paraId="28F3DBF7" w14:textId="61F7DD94" w:rsidR="001F32A0" w:rsidRPr="0052271C" w:rsidRDefault="001F32A0" w:rsidP="00B73B1C">
      <w:pPr>
        <w:spacing w:line="276" w:lineRule="auto"/>
        <w:ind w:firstLine="567"/>
        <w:jc w:val="both"/>
        <w:rPr>
          <w:rFonts w:eastAsiaTheme="minorHAnsi" w:cstheme="minorBidi"/>
          <w:szCs w:val="22"/>
          <w:lang w:val="sr-Cyrl-RS" w:eastAsia="en-US"/>
        </w:rPr>
      </w:pPr>
      <w:r w:rsidRPr="0052271C">
        <w:rPr>
          <w:rFonts w:eastAsiaTheme="minorHAnsi" w:cstheme="minorBidi"/>
          <w:szCs w:val="22"/>
          <w:lang w:val="sr-Cyrl-RS" w:eastAsia="en-US"/>
        </w:rPr>
        <w:t>Министарство ће к</w:t>
      </w:r>
      <w:r w:rsidR="00C51A51" w:rsidRPr="0052271C">
        <w:rPr>
          <w:rFonts w:eastAsiaTheme="minorHAnsi" w:cstheme="minorBidi"/>
          <w:szCs w:val="22"/>
          <w:lang w:val="sr-Cyrl-RS" w:eastAsia="en-US"/>
        </w:rPr>
        <w:t>ласификовати</w:t>
      </w:r>
      <w:r w:rsidRPr="0052271C">
        <w:rPr>
          <w:rFonts w:eastAsiaTheme="minorHAnsi" w:cstheme="minorBidi"/>
          <w:szCs w:val="22"/>
          <w:lang w:val="sr-Cyrl-RS" w:eastAsia="en-US"/>
        </w:rPr>
        <w:t xml:space="preserve"> ПСРС у свом портфељу према јасно одређеним критеријум</w:t>
      </w:r>
      <w:r w:rsidR="00062AE7" w:rsidRPr="0052271C">
        <w:rPr>
          <w:rFonts w:eastAsiaTheme="minorHAnsi" w:cstheme="minorBidi"/>
          <w:szCs w:val="22"/>
          <w:lang w:val="sr-Cyrl-RS" w:eastAsia="en-US"/>
        </w:rPr>
        <w:t>има</w:t>
      </w:r>
      <w:r w:rsidRPr="0052271C">
        <w:rPr>
          <w:rFonts w:eastAsiaTheme="minorHAnsi" w:cstheme="minorBidi"/>
          <w:szCs w:val="22"/>
          <w:lang w:val="sr-Cyrl-RS" w:eastAsia="en-US"/>
        </w:rPr>
        <w:t xml:space="preserve">, који ће пре свега бити усмерени на очување националног интереса. </w:t>
      </w:r>
    </w:p>
    <w:p w14:paraId="2E4A598A" w14:textId="7276B5D4" w:rsidR="001F32A0" w:rsidRPr="0052271C" w:rsidRDefault="001F32A0" w:rsidP="00657C6E">
      <w:pPr>
        <w:spacing w:line="276" w:lineRule="auto"/>
        <w:ind w:firstLine="567"/>
        <w:jc w:val="both"/>
        <w:rPr>
          <w:rFonts w:eastAsiaTheme="minorHAnsi" w:cstheme="minorBidi"/>
          <w:iCs/>
          <w:szCs w:val="22"/>
          <w:lang w:val="sr-Cyrl-RS" w:eastAsia="en-US"/>
        </w:rPr>
      </w:pPr>
      <w:r w:rsidRPr="0052271C">
        <w:rPr>
          <w:rFonts w:eastAsiaTheme="minorHAnsi" w:cstheme="minorBidi"/>
          <w:szCs w:val="22"/>
          <w:lang w:val="sr-Cyrl-RS" w:eastAsia="en-US"/>
        </w:rPr>
        <w:t xml:space="preserve">Држава је власник ПСРС како би ефикасном расподелом ресурса побољшала вредност за своје грађане. Власништво државе над </w:t>
      </w:r>
      <w:r w:rsidR="00136F44" w:rsidRPr="0052271C">
        <w:rPr>
          <w:rFonts w:eastAsiaTheme="minorHAnsi" w:cstheme="minorBidi"/>
          <w:szCs w:val="22"/>
          <w:lang w:val="sr-Cyrl-RS" w:eastAsia="en-US"/>
        </w:rPr>
        <w:t>привредним субјектима</w:t>
      </w:r>
      <w:r w:rsidRPr="0052271C">
        <w:rPr>
          <w:rFonts w:eastAsiaTheme="minorHAnsi" w:cstheme="minorBidi"/>
          <w:szCs w:val="22"/>
          <w:lang w:val="sr-Cyrl-RS" w:eastAsia="en-US"/>
        </w:rPr>
        <w:t xml:space="preserve"> је пре изузетак него правило. Држава врши власништво са намером да </w:t>
      </w:r>
      <w:r w:rsidR="00062AE7" w:rsidRPr="0052271C">
        <w:rPr>
          <w:rFonts w:eastAsiaTheme="minorHAnsi" w:cstheme="minorBidi"/>
          <w:szCs w:val="22"/>
          <w:lang w:val="sr-Cyrl-RS" w:eastAsia="en-US"/>
        </w:rPr>
        <w:t xml:space="preserve">се </w:t>
      </w:r>
      <w:r w:rsidRPr="0052271C">
        <w:rPr>
          <w:rFonts w:eastAsiaTheme="minorHAnsi" w:cstheme="minorBidi"/>
          <w:szCs w:val="22"/>
          <w:lang w:val="sr-Cyrl-RS" w:eastAsia="en-US"/>
        </w:rPr>
        <w:t xml:space="preserve">постигне </w:t>
      </w:r>
      <w:r w:rsidR="00062AE7" w:rsidRPr="0052271C">
        <w:rPr>
          <w:rFonts w:eastAsiaTheme="minorHAnsi" w:cstheme="minorBidi"/>
          <w:szCs w:val="22"/>
          <w:lang w:val="sr-Cyrl-RS" w:eastAsia="en-US"/>
        </w:rPr>
        <w:t>неки од</w:t>
      </w:r>
      <w:r w:rsidRPr="0052271C">
        <w:rPr>
          <w:rFonts w:eastAsiaTheme="minorHAnsi" w:cstheme="minorBidi"/>
          <w:szCs w:val="22"/>
          <w:lang w:val="sr-Cyrl-RS" w:eastAsia="en-US"/>
        </w:rPr>
        <w:t xml:space="preserve"> или комбинациј</w:t>
      </w:r>
      <w:r w:rsidR="00062AE7" w:rsidRPr="0052271C">
        <w:rPr>
          <w:rFonts w:eastAsiaTheme="minorHAnsi" w:cstheme="minorBidi"/>
          <w:szCs w:val="22"/>
          <w:lang w:val="sr-Cyrl-RS" w:eastAsia="en-US"/>
        </w:rPr>
        <w:t>а</w:t>
      </w:r>
      <w:r w:rsidRPr="0052271C">
        <w:rPr>
          <w:rFonts w:eastAsiaTheme="minorHAnsi" w:cstheme="minorBidi"/>
          <w:szCs w:val="22"/>
          <w:lang w:val="sr-Cyrl-RS" w:eastAsia="en-US"/>
        </w:rPr>
        <w:t xml:space="preserve"> следећих циљева</w:t>
      </w:r>
      <w:r w:rsidRPr="0052271C">
        <w:rPr>
          <w:rFonts w:eastAsiaTheme="minorHAnsi" w:cstheme="minorBidi"/>
          <w:iCs/>
          <w:szCs w:val="22"/>
          <w:lang w:val="sr-Cyrl-RS" w:eastAsia="en-US"/>
        </w:rPr>
        <w:t>:</w:t>
      </w:r>
      <w:r w:rsidRPr="0052271C" w:rsidDel="001340B6">
        <w:rPr>
          <w:rFonts w:eastAsiaTheme="minorHAnsi" w:cstheme="minorBidi"/>
          <w:iCs/>
          <w:szCs w:val="22"/>
          <w:lang w:val="sr-Cyrl-RS" w:eastAsia="en-US"/>
        </w:rPr>
        <w:t xml:space="preserve"> </w:t>
      </w:r>
    </w:p>
    <w:p w14:paraId="7D020354" w14:textId="571E1E07" w:rsidR="007219B2" w:rsidRPr="0052271C" w:rsidRDefault="00062AE7" w:rsidP="00EE0247">
      <w:pPr>
        <w:pStyle w:val="ListParagraph"/>
        <w:numPr>
          <w:ilvl w:val="0"/>
          <w:numId w:val="20"/>
        </w:numPr>
        <w:spacing w:line="276" w:lineRule="auto"/>
        <w:ind w:left="810" w:hanging="270"/>
        <w:jc w:val="both"/>
        <w:rPr>
          <w:rFonts w:ascii="Times New Roman" w:eastAsiaTheme="minorHAnsi" w:hAnsi="Times New Roman"/>
          <w:sz w:val="24"/>
          <w:lang w:val="sr-Cyrl-RS"/>
        </w:rPr>
      </w:pPr>
      <w:r w:rsidRPr="0052271C">
        <w:rPr>
          <w:rFonts w:ascii="Times New Roman" w:eastAsiaTheme="minorHAnsi" w:hAnsi="Times New Roman"/>
          <w:sz w:val="24"/>
          <w:lang w:val="sr-Cyrl-RS"/>
        </w:rPr>
        <w:t xml:space="preserve">да се реше </w:t>
      </w:r>
      <w:r w:rsidR="007219B2" w:rsidRPr="0052271C">
        <w:rPr>
          <w:rFonts w:ascii="Times New Roman" w:eastAsiaTheme="minorHAnsi" w:hAnsi="Times New Roman"/>
          <w:sz w:val="24"/>
          <w:lang w:val="sr-Cyrl-RS"/>
        </w:rPr>
        <w:t>ситуациј</w:t>
      </w:r>
      <w:r w:rsidRPr="0052271C">
        <w:rPr>
          <w:rFonts w:ascii="Times New Roman" w:eastAsiaTheme="minorHAnsi" w:hAnsi="Times New Roman"/>
          <w:sz w:val="24"/>
          <w:lang w:val="sr-Cyrl-RS"/>
        </w:rPr>
        <w:t>е</w:t>
      </w:r>
      <w:r w:rsidR="007219B2" w:rsidRPr="0052271C">
        <w:rPr>
          <w:rFonts w:ascii="Times New Roman" w:eastAsiaTheme="minorHAnsi" w:hAnsi="Times New Roman"/>
          <w:sz w:val="24"/>
          <w:lang w:val="sr-Cyrl-RS"/>
        </w:rPr>
        <w:t xml:space="preserve"> у којима тржишта за одређене производе или услуге не постоје или не функционишу исправно; </w:t>
      </w:r>
    </w:p>
    <w:p w14:paraId="410E48A6" w14:textId="6AF240F1" w:rsidR="007219B2" w:rsidRPr="0052271C" w:rsidRDefault="007219B2" w:rsidP="00EE0247">
      <w:pPr>
        <w:pStyle w:val="ListParagraph"/>
        <w:numPr>
          <w:ilvl w:val="0"/>
          <w:numId w:val="20"/>
        </w:numPr>
        <w:spacing w:line="276" w:lineRule="auto"/>
        <w:ind w:left="810" w:hanging="270"/>
        <w:jc w:val="both"/>
        <w:rPr>
          <w:rFonts w:ascii="Times New Roman" w:eastAsiaTheme="minorHAnsi" w:hAnsi="Times New Roman"/>
          <w:sz w:val="24"/>
          <w:lang w:val="sr-Cyrl-RS"/>
        </w:rPr>
      </w:pPr>
      <w:r w:rsidRPr="0052271C">
        <w:rPr>
          <w:rFonts w:ascii="Times New Roman" w:eastAsiaTheme="minorHAnsi" w:hAnsi="Times New Roman"/>
          <w:sz w:val="24"/>
          <w:lang w:val="sr-Cyrl-RS"/>
        </w:rPr>
        <w:t xml:space="preserve">да </w:t>
      </w:r>
      <w:r w:rsidR="00062AE7" w:rsidRPr="0052271C">
        <w:rPr>
          <w:rFonts w:ascii="Times New Roman" w:eastAsiaTheme="minorHAnsi" w:hAnsi="Times New Roman"/>
          <w:sz w:val="24"/>
          <w:lang w:val="sr-Cyrl-RS"/>
        </w:rPr>
        <w:t xml:space="preserve">се </w:t>
      </w:r>
      <w:r w:rsidRPr="0052271C">
        <w:rPr>
          <w:rFonts w:ascii="Times New Roman" w:eastAsiaTheme="minorHAnsi" w:hAnsi="Times New Roman"/>
          <w:sz w:val="24"/>
          <w:lang w:val="sr-Cyrl-RS"/>
        </w:rPr>
        <w:t xml:space="preserve">допринесе постизању социјалних и еколошких циљева; </w:t>
      </w:r>
    </w:p>
    <w:p w14:paraId="4D9C7FDE" w14:textId="75250D1C" w:rsidR="007219B2" w:rsidRPr="0052271C" w:rsidRDefault="007219B2" w:rsidP="00EE0247">
      <w:pPr>
        <w:pStyle w:val="ListParagraph"/>
        <w:numPr>
          <w:ilvl w:val="0"/>
          <w:numId w:val="20"/>
        </w:numPr>
        <w:spacing w:line="276" w:lineRule="auto"/>
        <w:ind w:left="810" w:hanging="270"/>
        <w:jc w:val="both"/>
        <w:rPr>
          <w:rFonts w:ascii="Times New Roman" w:eastAsiaTheme="minorHAnsi" w:hAnsi="Times New Roman"/>
          <w:sz w:val="24"/>
          <w:lang w:val="sr-Cyrl-RS"/>
        </w:rPr>
      </w:pPr>
      <w:r w:rsidRPr="0052271C">
        <w:rPr>
          <w:rFonts w:ascii="Times New Roman" w:eastAsiaTheme="minorHAnsi" w:hAnsi="Times New Roman"/>
          <w:sz w:val="24"/>
          <w:lang w:val="sr-Cyrl-RS"/>
        </w:rPr>
        <w:t xml:space="preserve">да </w:t>
      </w:r>
      <w:r w:rsidR="00062AE7" w:rsidRPr="0052271C">
        <w:rPr>
          <w:rFonts w:ascii="Times New Roman" w:eastAsiaTheme="minorHAnsi" w:hAnsi="Times New Roman"/>
          <w:sz w:val="24"/>
          <w:lang w:val="sr-Cyrl-RS"/>
        </w:rPr>
        <w:t xml:space="preserve">се </w:t>
      </w:r>
      <w:r w:rsidRPr="0052271C">
        <w:rPr>
          <w:rFonts w:ascii="Times New Roman" w:eastAsiaTheme="minorHAnsi" w:hAnsi="Times New Roman"/>
          <w:sz w:val="24"/>
          <w:lang w:val="sr-Cyrl-RS"/>
        </w:rPr>
        <w:t>допринесе постизању економских и индустријских циљева;</w:t>
      </w:r>
    </w:p>
    <w:p w14:paraId="1448865B" w14:textId="2B34CE8B" w:rsidR="007219B2" w:rsidRPr="0052271C" w:rsidRDefault="007219B2" w:rsidP="00EE0247">
      <w:pPr>
        <w:pStyle w:val="ListParagraph"/>
        <w:numPr>
          <w:ilvl w:val="0"/>
          <w:numId w:val="20"/>
        </w:numPr>
        <w:spacing w:line="276" w:lineRule="auto"/>
        <w:ind w:left="810" w:hanging="270"/>
        <w:jc w:val="both"/>
        <w:rPr>
          <w:rFonts w:ascii="Times New Roman" w:eastAsiaTheme="minorHAnsi" w:hAnsi="Times New Roman"/>
          <w:sz w:val="24"/>
          <w:lang w:val="sr-Cyrl-RS"/>
        </w:rPr>
      </w:pPr>
      <w:r w:rsidRPr="0052271C">
        <w:rPr>
          <w:rFonts w:ascii="Times New Roman" w:eastAsiaTheme="minorHAnsi" w:hAnsi="Times New Roman"/>
          <w:sz w:val="24"/>
          <w:lang w:val="sr-Cyrl-RS"/>
        </w:rPr>
        <w:t xml:space="preserve">да </w:t>
      </w:r>
      <w:r w:rsidR="00062AE7" w:rsidRPr="0052271C">
        <w:rPr>
          <w:rFonts w:ascii="Times New Roman" w:eastAsiaTheme="minorHAnsi" w:hAnsi="Times New Roman"/>
          <w:sz w:val="24"/>
          <w:lang w:val="sr-Cyrl-RS"/>
        </w:rPr>
        <w:t xml:space="preserve">се </w:t>
      </w:r>
      <w:r w:rsidRPr="0052271C">
        <w:rPr>
          <w:rFonts w:ascii="Times New Roman" w:eastAsiaTheme="minorHAnsi" w:hAnsi="Times New Roman"/>
          <w:sz w:val="24"/>
          <w:lang w:val="sr-Cyrl-RS"/>
        </w:rPr>
        <w:t>обезбеди испуњење националних стратешких интереса.</w:t>
      </w:r>
    </w:p>
    <w:p w14:paraId="23B671FA" w14:textId="77777777" w:rsidR="001F32A0" w:rsidRPr="0052271C" w:rsidRDefault="001F32A0" w:rsidP="00657C6E">
      <w:pPr>
        <w:spacing w:line="276" w:lineRule="auto"/>
        <w:jc w:val="both"/>
        <w:rPr>
          <w:rFonts w:eastAsiaTheme="minorHAnsi" w:cstheme="minorBidi"/>
          <w:szCs w:val="22"/>
          <w:lang w:val="sr-Cyrl-RS" w:eastAsia="en-US"/>
        </w:rPr>
      </w:pPr>
    </w:p>
    <w:p w14:paraId="293F38DF" w14:textId="6954B54B" w:rsidR="001F32A0" w:rsidRPr="0052271C" w:rsidRDefault="00062AE7" w:rsidP="00657C6E">
      <w:pPr>
        <w:spacing w:line="276" w:lineRule="auto"/>
        <w:ind w:firstLine="567"/>
        <w:jc w:val="both"/>
        <w:rPr>
          <w:rFonts w:eastAsiaTheme="minorHAnsi" w:cstheme="minorBidi"/>
          <w:szCs w:val="22"/>
          <w:lang w:val="sr-Cyrl-RS" w:eastAsia="en-US"/>
        </w:rPr>
      </w:pPr>
      <w:r w:rsidRPr="0052271C">
        <w:rPr>
          <w:rFonts w:eastAsiaTheme="minorHAnsi" w:cstheme="minorBidi"/>
          <w:szCs w:val="22"/>
          <w:lang w:val="sr-Cyrl-RS" w:eastAsia="en-US"/>
        </w:rPr>
        <w:t xml:space="preserve">Након </w:t>
      </w:r>
      <w:r w:rsidR="001564D4" w:rsidRPr="0052271C">
        <w:rPr>
          <w:rFonts w:eastAsiaTheme="minorHAnsi" w:cstheme="minorBidi"/>
          <w:szCs w:val="22"/>
          <w:lang w:val="sr-Cyrl-RS" w:eastAsia="en-US"/>
        </w:rPr>
        <w:t>дефинисању јасних критеријума, д</w:t>
      </w:r>
      <w:r w:rsidR="001F32A0" w:rsidRPr="0052271C">
        <w:rPr>
          <w:rFonts w:eastAsiaTheme="minorHAnsi" w:cstheme="minorBidi"/>
          <w:szCs w:val="22"/>
          <w:lang w:val="sr-Cyrl-RS" w:eastAsia="en-US"/>
        </w:rPr>
        <w:t>ржава може да р</w:t>
      </w:r>
      <w:r w:rsidR="000A5A7B" w:rsidRPr="0052271C">
        <w:rPr>
          <w:rFonts w:eastAsiaTheme="minorHAnsi" w:cstheme="minorBidi"/>
          <w:szCs w:val="22"/>
          <w:lang w:val="sr-Cyrl-RS" w:eastAsia="en-US"/>
        </w:rPr>
        <w:t>азмотри продају мањинских удела</w:t>
      </w:r>
      <w:r w:rsidR="001F32A0" w:rsidRPr="0052271C">
        <w:rPr>
          <w:rFonts w:eastAsiaTheme="minorHAnsi" w:cstheme="minorBidi"/>
          <w:szCs w:val="22"/>
          <w:lang w:val="sr-Cyrl-RS" w:eastAsia="en-US"/>
        </w:rPr>
        <w:t xml:space="preserve"> у оним ПСРС кој</w:t>
      </w:r>
      <w:r w:rsidR="007D70EE" w:rsidRPr="0052271C">
        <w:rPr>
          <w:rFonts w:eastAsiaTheme="minorHAnsi" w:cstheme="minorBidi"/>
          <w:szCs w:val="22"/>
          <w:lang w:val="sr-Cyrl-RS" w:eastAsia="en-US"/>
        </w:rPr>
        <w:t>и</w:t>
      </w:r>
      <w:r w:rsidR="001F32A0" w:rsidRPr="0052271C">
        <w:rPr>
          <w:rFonts w:eastAsiaTheme="minorHAnsi" w:cstheme="minorBidi"/>
          <w:szCs w:val="22"/>
          <w:lang w:val="sr-Cyrl-RS" w:eastAsia="en-US"/>
        </w:rPr>
        <w:t xml:space="preserve"> испуњавају разлоге </w:t>
      </w:r>
      <w:r w:rsidR="001564D4" w:rsidRPr="0052271C">
        <w:rPr>
          <w:rFonts w:eastAsiaTheme="minorHAnsi" w:cstheme="minorBidi"/>
          <w:szCs w:val="22"/>
          <w:lang w:val="sr-Cyrl-RS" w:eastAsia="en-US"/>
        </w:rPr>
        <w:t>за власништво. Св</w:t>
      </w:r>
      <w:r w:rsidR="007D70EE" w:rsidRPr="0052271C">
        <w:rPr>
          <w:rFonts w:eastAsiaTheme="minorHAnsi" w:cstheme="minorBidi"/>
          <w:szCs w:val="22"/>
          <w:lang w:val="sr-Cyrl-RS" w:eastAsia="en-US"/>
        </w:rPr>
        <w:t>и</w:t>
      </w:r>
      <w:r w:rsidR="001564D4" w:rsidRPr="0052271C">
        <w:rPr>
          <w:rFonts w:eastAsiaTheme="minorHAnsi" w:cstheme="minorBidi"/>
          <w:szCs w:val="22"/>
          <w:lang w:val="sr-Cyrl-RS" w:eastAsia="en-US"/>
        </w:rPr>
        <w:t xml:space="preserve"> остал</w:t>
      </w:r>
      <w:r w:rsidR="007D70EE" w:rsidRPr="0052271C">
        <w:rPr>
          <w:rFonts w:eastAsiaTheme="minorHAnsi" w:cstheme="minorBidi"/>
          <w:szCs w:val="22"/>
          <w:lang w:val="sr-Cyrl-RS" w:eastAsia="en-US"/>
        </w:rPr>
        <w:t>и</w:t>
      </w:r>
      <w:r w:rsidR="001564D4" w:rsidRPr="0052271C">
        <w:rPr>
          <w:rFonts w:eastAsiaTheme="minorHAnsi" w:cstheme="minorBidi"/>
          <w:szCs w:val="22"/>
          <w:lang w:val="sr-Cyrl-RS" w:eastAsia="en-US"/>
        </w:rPr>
        <w:t xml:space="preserve"> ПСРС </w:t>
      </w:r>
      <w:r w:rsidR="001F32A0" w:rsidRPr="0052271C">
        <w:rPr>
          <w:rFonts w:eastAsiaTheme="minorHAnsi" w:cstheme="minorBidi"/>
          <w:szCs w:val="22"/>
          <w:lang w:val="sr-Cyrl-RS" w:eastAsia="en-US"/>
        </w:rPr>
        <w:t>кој</w:t>
      </w:r>
      <w:r w:rsidR="007D70EE" w:rsidRPr="0052271C">
        <w:rPr>
          <w:rFonts w:eastAsiaTheme="minorHAnsi" w:cstheme="minorBidi"/>
          <w:szCs w:val="22"/>
          <w:lang w:val="sr-Cyrl-RS" w:eastAsia="en-US"/>
        </w:rPr>
        <w:t>и</w:t>
      </w:r>
      <w:r w:rsidR="001F32A0" w:rsidRPr="0052271C">
        <w:rPr>
          <w:rFonts w:eastAsiaTheme="minorHAnsi" w:cstheme="minorBidi"/>
          <w:szCs w:val="22"/>
          <w:lang w:val="sr-Cyrl-RS" w:eastAsia="en-US"/>
        </w:rPr>
        <w:t xml:space="preserve"> не испуњавају ниједан од дефинисаних критеријума, биће у потпуности приватизован</w:t>
      </w:r>
      <w:r w:rsidR="007D70EE" w:rsidRPr="0052271C">
        <w:rPr>
          <w:rFonts w:eastAsiaTheme="minorHAnsi" w:cstheme="minorBidi"/>
          <w:szCs w:val="22"/>
          <w:lang w:val="sr-Cyrl-RS" w:eastAsia="en-US"/>
        </w:rPr>
        <w:t>и</w:t>
      </w:r>
      <w:r w:rsidR="001F32A0" w:rsidRPr="0052271C">
        <w:rPr>
          <w:rFonts w:eastAsiaTheme="minorHAnsi" w:cstheme="minorBidi"/>
          <w:szCs w:val="22"/>
          <w:lang w:val="sr-Cyrl-RS" w:eastAsia="en-US"/>
        </w:rPr>
        <w:t xml:space="preserve"> или ликвидиран</w:t>
      </w:r>
      <w:r w:rsidR="007D70EE" w:rsidRPr="0052271C">
        <w:rPr>
          <w:rFonts w:eastAsiaTheme="minorHAnsi" w:cstheme="minorBidi"/>
          <w:szCs w:val="22"/>
          <w:lang w:val="sr-Cyrl-RS" w:eastAsia="en-US"/>
        </w:rPr>
        <w:t>и</w:t>
      </w:r>
      <w:r w:rsidR="001F32A0" w:rsidRPr="0052271C">
        <w:rPr>
          <w:rFonts w:eastAsiaTheme="minorHAnsi" w:cstheme="minorBidi"/>
          <w:szCs w:val="22"/>
          <w:lang w:val="sr-Cyrl-RS" w:eastAsia="en-US"/>
        </w:rPr>
        <w:t xml:space="preserve">. </w:t>
      </w:r>
    </w:p>
    <w:p w14:paraId="224ABC6B" w14:textId="5279D561" w:rsidR="001F32A0" w:rsidRPr="0052271C" w:rsidRDefault="009C5E68" w:rsidP="00037431">
      <w:pPr>
        <w:spacing w:line="276" w:lineRule="auto"/>
        <w:ind w:firstLine="567"/>
        <w:jc w:val="both"/>
        <w:rPr>
          <w:rFonts w:eastAsiaTheme="minorHAnsi" w:cstheme="minorBidi"/>
          <w:szCs w:val="22"/>
          <w:u w:val="single"/>
          <w:lang w:val="sr-Cyrl-RS" w:eastAsia="en-US"/>
        </w:rPr>
      </w:pPr>
      <w:r w:rsidRPr="0052271C">
        <w:rPr>
          <w:rFonts w:eastAsiaTheme="minorHAnsi" w:cstheme="minorBidi"/>
          <w:szCs w:val="22"/>
          <w:lang w:val="sr-Cyrl-RS" w:eastAsia="en-US"/>
        </w:rPr>
        <w:t xml:space="preserve">Министарство ће </w:t>
      </w:r>
      <w:r w:rsidR="001F32A0" w:rsidRPr="0052271C">
        <w:rPr>
          <w:rFonts w:eastAsiaTheme="minorHAnsi" w:cstheme="minorBidi"/>
          <w:szCs w:val="22"/>
          <w:lang w:val="sr-Cyrl-RS" w:eastAsia="en-US"/>
        </w:rPr>
        <w:t>редовно процењивати примену разлога власништва Републике Србије и њене циљеве за свак</w:t>
      </w:r>
      <w:r w:rsidR="007D70EE" w:rsidRPr="0052271C">
        <w:rPr>
          <w:rFonts w:eastAsiaTheme="minorHAnsi" w:cstheme="minorBidi"/>
          <w:szCs w:val="22"/>
          <w:lang w:val="sr-Cyrl-RS" w:eastAsia="en-US"/>
        </w:rPr>
        <w:t>и</w:t>
      </w:r>
      <w:r w:rsidR="001F32A0" w:rsidRPr="0052271C">
        <w:rPr>
          <w:rFonts w:eastAsiaTheme="minorHAnsi" w:cstheme="minorBidi"/>
          <w:szCs w:val="22"/>
          <w:lang w:val="sr-Cyrl-RS" w:eastAsia="en-US"/>
        </w:rPr>
        <w:t xml:space="preserve"> ПСРС, како би се осигурало да </w:t>
      </w:r>
      <w:r w:rsidRPr="0052271C">
        <w:rPr>
          <w:rFonts w:eastAsiaTheme="minorHAnsi" w:cstheme="minorBidi"/>
          <w:szCs w:val="22"/>
          <w:lang w:val="sr-Cyrl-RS" w:eastAsia="en-US"/>
        </w:rPr>
        <w:t>су ажурирани и релевантни.</w:t>
      </w:r>
    </w:p>
    <w:p w14:paraId="75784676" w14:textId="77777777" w:rsidR="007A09D5" w:rsidRPr="0052271C" w:rsidRDefault="007A09D5" w:rsidP="001F32A0">
      <w:pPr>
        <w:spacing w:after="160"/>
        <w:ind w:firstLine="567"/>
        <w:jc w:val="both"/>
        <w:rPr>
          <w:rFonts w:eastAsiaTheme="minorHAnsi" w:cstheme="minorBidi"/>
          <w:b/>
          <w:szCs w:val="22"/>
          <w:lang w:val="sr-Cyrl-RS" w:eastAsia="en-US"/>
        </w:rPr>
      </w:pPr>
    </w:p>
    <w:p w14:paraId="2ED60D7B" w14:textId="77777777" w:rsidR="00DD1769" w:rsidRPr="0052271C" w:rsidRDefault="001F32A0" w:rsidP="00E66320">
      <w:pPr>
        <w:ind w:firstLine="567"/>
        <w:jc w:val="both"/>
        <w:rPr>
          <w:rFonts w:eastAsiaTheme="minorHAnsi" w:cstheme="minorBidi"/>
          <w:szCs w:val="22"/>
          <w:lang w:val="sr-Cyrl-RS" w:eastAsia="en-US"/>
        </w:rPr>
      </w:pPr>
      <w:r w:rsidRPr="0052271C">
        <w:rPr>
          <w:rFonts w:eastAsiaTheme="minorHAnsi" w:cstheme="minorBidi"/>
          <w:szCs w:val="22"/>
          <w:lang w:val="sr-Cyrl-RS" w:eastAsia="en-US"/>
        </w:rPr>
        <w:t>Мера 6: Јачање и усавршавање кадровских капацитета Министарства</w:t>
      </w:r>
    </w:p>
    <w:p w14:paraId="282B153C" w14:textId="5D7A1074" w:rsidR="001F32A0" w:rsidRPr="0052271C" w:rsidRDefault="001F32A0" w:rsidP="00E66320">
      <w:pPr>
        <w:ind w:firstLine="567"/>
        <w:jc w:val="both"/>
        <w:rPr>
          <w:rFonts w:eastAsiaTheme="minorHAnsi" w:cstheme="minorBidi"/>
          <w:szCs w:val="22"/>
          <w:lang w:val="sr-Cyrl-RS" w:eastAsia="en-US"/>
        </w:rPr>
      </w:pPr>
      <w:r w:rsidRPr="0052271C">
        <w:rPr>
          <w:rFonts w:eastAsiaTheme="minorHAnsi" w:cstheme="minorBidi"/>
          <w:szCs w:val="22"/>
          <w:lang w:val="sr-Cyrl-RS" w:eastAsia="en-US"/>
        </w:rPr>
        <w:t xml:space="preserve"> </w:t>
      </w:r>
    </w:p>
    <w:p w14:paraId="337DF4F3" w14:textId="43BD25A7" w:rsidR="001F32A0" w:rsidRPr="0052271C" w:rsidRDefault="009C5E68" w:rsidP="00E66320">
      <w:pPr>
        <w:spacing w:line="276" w:lineRule="auto"/>
        <w:ind w:firstLine="567"/>
        <w:jc w:val="both"/>
        <w:rPr>
          <w:lang w:val="sr-Cyrl-RS" w:eastAsia="en-US"/>
        </w:rPr>
      </w:pPr>
      <w:r w:rsidRPr="0052271C">
        <w:rPr>
          <w:lang w:val="sr-Cyrl-RS" w:eastAsia="en-US"/>
        </w:rPr>
        <w:t>У</w:t>
      </w:r>
      <w:r w:rsidR="007219B2" w:rsidRPr="0052271C">
        <w:rPr>
          <w:lang w:val="sr-Cyrl-RS" w:eastAsia="en-US"/>
        </w:rPr>
        <w:t>след повећања делокруга послова, потребно је</w:t>
      </w:r>
      <w:r w:rsidR="00A36BB7" w:rsidRPr="0052271C">
        <w:rPr>
          <w:lang w:val="sr-Cyrl-RS" w:eastAsia="en-US"/>
        </w:rPr>
        <w:t xml:space="preserve"> извршити</w:t>
      </w:r>
      <w:r w:rsidR="007219B2" w:rsidRPr="0052271C">
        <w:rPr>
          <w:lang w:val="sr-Cyrl-RS" w:eastAsia="en-US"/>
        </w:rPr>
        <w:t xml:space="preserve"> јачање и усавршавање кадровских капацитета у Министарству, и то кроз унапређење организације, ојачавање кадровског капацитета</w:t>
      </w:r>
      <w:r w:rsidR="00354073" w:rsidRPr="0052271C">
        <w:rPr>
          <w:lang w:val="sr-Cyrl-RS" w:eastAsia="en-US"/>
        </w:rPr>
        <w:t>,</w:t>
      </w:r>
      <w:r w:rsidR="007219B2" w:rsidRPr="0052271C">
        <w:rPr>
          <w:lang w:val="sr-Cyrl-RS" w:eastAsia="en-US"/>
        </w:rPr>
        <w:t xml:space="preserve"> као и континуиране едукације и стручно у</w:t>
      </w:r>
      <w:r w:rsidR="00657C6E" w:rsidRPr="0052271C">
        <w:rPr>
          <w:lang w:val="sr-Cyrl-RS" w:eastAsia="en-US"/>
        </w:rPr>
        <w:t>савршавањ</w:t>
      </w:r>
      <w:r w:rsidR="00DD1769" w:rsidRPr="0052271C">
        <w:rPr>
          <w:lang w:val="sr-Cyrl-RS" w:eastAsia="en-US"/>
        </w:rPr>
        <w:t>е</w:t>
      </w:r>
      <w:r w:rsidR="00657C6E" w:rsidRPr="0052271C">
        <w:rPr>
          <w:lang w:val="sr-Cyrl-RS" w:eastAsia="en-US"/>
        </w:rPr>
        <w:t xml:space="preserve"> државних службеника.</w:t>
      </w:r>
    </w:p>
    <w:p w14:paraId="3E31842D" w14:textId="77777777" w:rsidR="00DD1769" w:rsidRPr="0052271C" w:rsidRDefault="00DD1769" w:rsidP="00E66320">
      <w:pPr>
        <w:spacing w:line="276" w:lineRule="auto"/>
        <w:ind w:firstLine="567"/>
        <w:jc w:val="both"/>
        <w:rPr>
          <w:lang w:val="sr-Cyrl-RS" w:eastAsia="en-US"/>
        </w:rPr>
      </w:pPr>
    </w:p>
    <w:p w14:paraId="022AD038" w14:textId="4EC03501" w:rsidR="001F32A0" w:rsidRPr="0052271C" w:rsidRDefault="001F32A0" w:rsidP="00E66320">
      <w:pPr>
        <w:ind w:firstLine="567"/>
        <w:jc w:val="both"/>
        <w:rPr>
          <w:rFonts w:eastAsiaTheme="minorHAnsi" w:cstheme="minorBidi"/>
          <w:szCs w:val="22"/>
          <w:lang w:val="sr-Cyrl-RS" w:eastAsia="en-US"/>
        </w:rPr>
      </w:pPr>
      <w:r w:rsidRPr="0052271C">
        <w:rPr>
          <w:rFonts w:eastAsiaTheme="minorHAnsi" w:cstheme="minorBidi"/>
          <w:szCs w:val="22"/>
          <w:lang w:val="sr-Cyrl-RS" w:eastAsia="en-US"/>
        </w:rPr>
        <w:t>Мера 7: Централизација и дигитализација процеса надзора</w:t>
      </w:r>
      <w:r w:rsidR="009E0802" w:rsidRPr="0052271C">
        <w:rPr>
          <w:rFonts w:eastAsiaTheme="minorHAnsi" w:cstheme="minorBidi"/>
          <w:szCs w:val="22"/>
          <w:lang w:val="sr-Cyrl-RS" w:eastAsia="en-US"/>
        </w:rPr>
        <w:t xml:space="preserve"> </w:t>
      </w:r>
      <w:r w:rsidR="00DD1769" w:rsidRPr="0052271C">
        <w:rPr>
          <w:rFonts w:eastAsiaTheme="minorHAnsi" w:cstheme="minorBidi"/>
          <w:szCs w:val="22"/>
          <w:lang w:val="sr-Cyrl-RS" w:eastAsia="en-US"/>
        </w:rPr>
        <w:t xml:space="preserve">над ПСРС </w:t>
      </w:r>
      <w:r w:rsidR="009E0802" w:rsidRPr="0052271C">
        <w:rPr>
          <w:rFonts w:eastAsiaTheme="minorHAnsi" w:cstheme="minorBidi"/>
          <w:szCs w:val="22"/>
          <w:lang w:val="sr-Cyrl-RS" w:eastAsia="en-US"/>
        </w:rPr>
        <w:t>и извештавања</w:t>
      </w:r>
      <w:r w:rsidRPr="0052271C">
        <w:rPr>
          <w:rFonts w:eastAsiaTheme="minorHAnsi" w:cstheme="minorBidi"/>
          <w:szCs w:val="22"/>
          <w:lang w:val="sr-Cyrl-RS" w:eastAsia="en-US"/>
        </w:rPr>
        <w:t xml:space="preserve"> ПСРС (развој ИТ софтвера)</w:t>
      </w:r>
    </w:p>
    <w:p w14:paraId="50F6CD87" w14:textId="77777777" w:rsidR="00DD1769" w:rsidRPr="0052271C" w:rsidRDefault="00DD1769" w:rsidP="00E66320">
      <w:pPr>
        <w:ind w:firstLine="567"/>
        <w:jc w:val="both"/>
        <w:rPr>
          <w:rFonts w:eastAsiaTheme="minorHAnsi" w:cstheme="minorBidi"/>
          <w:szCs w:val="22"/>
          <w:lang w:val="sr-Cyrl-RS" w:eastAsia="en-US"/>
        </w:rPr>
      </w:pPr>
    </w:p>
    <w:p w14:paraId="579232B8" w14:textId="45EF0218" w:rsidR="009E0802" w:rsidRPr="0052271C" w:rsidRDefault="009E0802" w:rsidP="00E66320">
      <w:pPr>
        <w:spacing w:line="276" w:lineRule="auto"/>
        <w:ind w:firstLine="567"/>
        <w:jc w:val="both"/>
        <w:rPr>
          <w:rFonts w:eastAsiaTheme="minorHAnsi" w:cstheme="minorBidi"/>
          <w:szCs w:val="22"/>
          <w:lang w:val="sr-Cyrl-RS" w:eastAsia="en-US"/>
        </w:rPr>
      </w:pPr>
      <w:r w:rsidRPr="0052271C">
        <w:rPr>
          <w:rFonts w:eastAsiaTheme="minorHAnsi" w:cstheme="minorBidi"/>
          <w:szCs w:val="22"/>
          <w:lang w:val="sr-Cyrl-RS" w:eastAsia="en-US"/>
        </w:rPr>
        <w:t>Добар увид у пословање ПСРС  је предуслов за ефикасно вршење власништва.</w:t>
      </w:r>
      <w:r w:rsidRPr="0052271C">
        <w:rPr>
          <w:rFonts w:eastAsiaTheme="minorHAnsi" w:cstheme="minorBidi"/>
          <w:szCs w:val="22"/>
          <w:lang w:val="sr-Cyrl-RS"/>
        </w:rPr>
        <w:t xml:space="preserve"> Приступ кључним информацијама у право време омогућава држави да процени напредак </w:t>
      </w:r>
      <w:r w:rsidR="000D6EFA" w:rsidRPr="0052271C">
        <w:rPr>
          <w:rFonts w:eastAsiaTheme="minorHAnsi" w:cstheme="minorBidi"/>
          <w:szCs w:val="22"/>
          <w:lang w:val="sr-Cyrl-RS"/>
        </w:rPr>
        <w:t>ПСРС</w:t>
      </w:r>
      <w:r w:rsidRPr="0052271C">
        <w:rPr>
          <w:rFonts w:eastAsiaTheme="minorHAnsi" w:cstheme="minorBidi"/>
          <w:szCs w:val="22"/>
          <w:lang w:val="sr-Cyrl-RS"/>
        </w:rPr>
        <w:t xml:space="preserve"> према њиховим циљевима, стратегији и другим битним елементима учинка и корпоративног управљања. </w:t>
      </w:r>
    </w:p>
    <w:p w14:paraId="0FE2BDFB" w14:textId="5F7035A1" w:rsidR="001F32A0" w:rsidRPr="0052271C" w:rsidRDefault="001F32A0" w:rsidP="00197194">
      <w:pPr>
        <w:spacing w:line="276" w:lineRule="auto"/>
        <w:ind w:firstLine="567"/>
        <w:jc w:val="both"/>
        <w:rPr>
          <w:rFonts w:eastAsiaTheme="minorHAnsi" w:cstheme="minorBidi"/>
          <w:szCs w:val="22"/>
          <w:lang w:val="sr-Cyrl-RS" w:eastAsia="en-US"/>
        </w:rPr>
      </w:pPr>
      <w:r w:rsidRPr="0052271C">
        <w:rPr>
          <w:rFonts w:eastAsiaTheme="minorHAnsi" w:cstheme="minorBidi"/>
          <w:szCs w:val="22"/>
          <w:lang w:val="sr-Cyrl-RS" w:eastAsia="en-US"/>
        </w:rPr>
        <w:t>Св</w:t>
      </w:r>
      <w:r w:rsidR="007D70EE" w:rsidRPr="0052271C">
        <w:rPr>
          <w:rFonts w:eastAsiaTheme="minorHAnsi" w:cstheme="minorBidi"/>
          <w:szCs w:val="22"/>
          <w:lang w:val="sr-Cyrl-RS" w:eastAsia="en-US"/>
        </w:rPr>
        <w:t>и</w:t>
      </w:r>
      <w:r w:rsidRPr="0052271C">
        <w:rPr>
          <w:rFonts w:eastAsiaTheme="minorHAnsi" w:cstheme="minorBidi"/>
          <w:szCs w:val="22"/>
          <w:lang w:val="sr-Cyrl-RS" w:eastAsia="en-US"/>
        </w:rPr>
        <w:t xml:space="preserve"> ПСРС </w:t>
      </w:r>
      <w:r w:rsidR="009C5E68" w:rsidRPr="0052271C">
        <w:rPr>
          <w:rFonts w:eastAsiaTheme="minorHAnsi" w:cstheme="minorBidi"/>
          <w:szCs w:val="22"/>
          <w:lang w:val="sr-Cyrl-RS" w:eastAsia="en-US"/>
        </w:rPr>
        <w:t>ће извештавати</w:t>
      </w:r>
      <w:r w:rsidRPr="0052271C">
        <w:rPr>
          <w:rFonts w:eastAsiaTheme="minorHAnsi" w:cstheme="minorBidi"/>
          <w:szCs w:val="22"/>
          <w:lang w:val="sr-Cyrl-RS" w:eastAsia="en-US"/>
        </w:rPr>
        <w:t xml:space="preserve"> Министарство о два скупа кључних показатеља учинка:</w:t>
      </w:r>
    </w:p>
    <w:p w14:paraId="089EEE80" w14:textId="6EC647FD" w:rsidR="001F32A0" w:rsidRPr="0052271C" w:rsidRDefault="001F32A0" w:rsidP="00EE0247">
      <w:pPr>
        <w:numPr>
          <w:ilvl w:val="0"/>
          <w:numId w:val="11"/>
        </w:numPr>
        <w:spacing w:after="160" w:line="276" w:lineRule="auto"/>
        <w:ind w:left="851" w:hanging="284"/>
        <w:contextualSpacing/>
        <w:jc w:val="both"/>
        <w:rPr>
          <w:rFonts w:eastAsiaTheme="minorHAnsi"/>
          <w:lang w:val="sr-Cyrl-RS" w:eastAsia="en-US"/>
        </w:rPr>
      </w:pPr>
      <w:r w:rsidRPr="0052271C">
        <w:rPr>
          <w:rFonts w:eastAsiaTheme="minorHAnsi"/>
          <w:lang w:val="sr-Cyrl-RS" w:eastAsia="en-US"/>
        </w:rPr>
        <w:t>Општи кључни показатељи учинка применљиви на св</w:t>
      </w:r>
      <w:r w:rsidR="007D70EE" w:rsidRPr="0052271C">
        <w:rPr>
          <w:rFonts w:eastAsiaTheme="minorHAnsi"/>
          <w:lang w:val="sr-Cyrl-RS" w:eastAsia="en-US"/>
        </w:rPr>
        <w:t>е</w:t>
      </w:r>
      <w:r w:rsidRPr="0052271C">
        <w:rPr>
          <w:rFonts w:ascii="Calibri" w:eastAsiaTheme="minorHAnsi" w:hAnsi="Calibri" w:cstheme="minorBidi"/>
          <w:sz w:val="22"/>
          <w:szCs w:val="22"/>
          <w:lang w:val="sr-Cyrl-RS" w:eastAsia="en-US"/>
        </w:rPr>
        <w:t xml:space="preserve"> </w:t>
      </w:r>
      <w:r w:rsidRPr="0052271C">
        <w:rPr>
          <w:rFonts w:eastAsiaTheme="minorHAnsi" w:cstheme="minorBidi"/>
          <w:szCs w:val="22"/>
          <w:lang w:val="sr-Cyrl-RS"/>
        </w:rPr>
        <w:t>ПСРС у оквиру</w:t>
      </w:r>
      <w:r w:rsidRPr="0052271C">
        <w:rPr>
          <w:rFonts w:eastAsiaTheme="minorHAnsi"/>
          <w:lang w:val="sr-Cyrl-RS" w:eastAsia="en-US"/>
        </w:rPr>
        <w:t xml:space="preserve"> категорије класификације</w:t>
      </w:r>
      <w:r w:rsidR="00B5644A" w:rsidRPr="0052271C">
        <w:rPr>
          <w:rFonts w:eastAsiaTheme="minorHAnsi"/>
          <w:lang w:val="sr-Cyrl-RS" w:eastAsia="en-US"/>
        </w:rPr>
        <w:t>;</w:t>
      </w:r>
    </w:p>
    <w:p w14:paraId="56D28CE4" w14:textId="77777777" w:rsidR="00286B52" w:rsidRPr="0052271C" w:rsidRDefault="001F32A0" w:rsidP="00EE0247">
      <w:pPr>
        <w:numPr>
          <w:ilvl w:val="0"/>
          <w:numId w:val="11"/>
        </w:numPr>
        <w:spacing w:after="160" w:line="276" w:lineRule="auto"/>
        <w:ind w:left="851" w:hanging="284"/>
        <w:contextualSpacing/>
        <w:jc w:val="both"/>
        <w:rPr>
          <w:rFonts w:eastAsiaTheme="minorHAnsi"/>
          <w:lang w:val="sr-Cyrl-RS" w:eastAsia="en-US"/>
        </w:rPr>
      </w:pPr>
      <w:r w:rsidRPr="0052271C">
        <w:rPr>
          <w:rFonts w:eastAsiaTheme="minorHAnsi"/>
          <w:lang w:val="sr-Cyrl-RS" w:eastAsia="en-US"/>
        </w:rPr>
        <w:t>Прилагођени кључни показатељи учинка који се дају појединачним</w:t>
      </w:r>
      <w:r w:rsidRPr="0052271C">
        <w:rPr>
          <w:rFonts w:ascii="Calibri" w:eastAsiaTheme="minorHAnsi" w:hAnsi="Calibri" w:cstheme="minorBidi"/>
          <w:sz w:val="22"/>
          <w:szCs w:val="22"/>
          <w:lang w:val="sr-Cyrl-RS" w:eastAsia="en-US"/>
        </w:rPr>
        <w:t xml:space="preserve"> </w:t>
      </w:r>
      <w:r w:rsidR="00286B52" w:rsidRPr="0052271C">
        <w:rPr>
          <w:rFonts w:eastAsiaTheme="minorHAnsi" w:cstheme="minorBidi"/>
          <w:szCs w:val="22"/>
          <w:lang w:val="sr-Cyrl-RS"/>
        </w:rPr>
        <w:t>ПСРС.</w:t>
      </w:r>
    </w:p>
    <w:p w14:paraId="54304D56" w14:textId="6673EC34" w:rsidR="001F32A0" w:rsidRPr="0052271C" w:rsidRDefault="001F32A0" w:rsidP="00657C6E">
      <w:pPr>
        <w:spacing w:after="160" w:line="276" w:lineRule="auto"/>
        <w:ind w:left="851"/>
        <w:contextualSpacing/>
        <w:jc w:val="both"/>
        <w:rPr>
          <w:rFonts w:eastAsiaTheme="minorHAnsi"/>
          <w:lang w:val="sr-Cyrl-RS" w:eastAsia="en-US"/>
        </w:rPr>
      </w:pPr>
      <w:r w:rsidRPr="0052271C">
        <w:rPr>
          <w:rFonts w:eastAsiaTheme="minorHAnsi"/>
          <w:lang w:val="sr-Cyrl-RS" w:eastAsia="en-US"/>
        </w:rPr>
        <w:t xml:space="preserve"> </w:t>
      </w:r>
    </w:p>
    <w:p w14:paraId="5C13B5DB" w14:textId="5D6E0D6C" w:rsidR="001F32A0" w:rsidRPr="0052271C" w:rsidRDefault="00DD1769" w:rsidP="00657C6E">
      <w:pPr>
        <w:spacing w:after="160" w:line="276" w:lineRule="auto"/>
        <w:ind w:firstLine="567"/>
        <w:jc w:val="both"/>
        <w:rPr>
          <w:rFonts w:eastAsiaTheme="minorHAnsi"/>
          <w:b/>
          <w:lang w:val="sr-Cyrl-RS"/>
        </w:rPr>
      </w:pPr>
      <w:r w:rsidRPr="0052271C">
        <w:rPr>
          <w:rFonts w:eastAsiaTheme="minorHAnsi" w:cstheme="minorBidi"/>
          <w:szCs w:val="22"/>
          <w:lang w:val="sr-Cyrl-RS"/>
        </w:rPr>
        <w:t>К</w:t>
      </w:r>
      <w:r w:rsidR="001F32A0" w:rsidRPr="0052271C">
        <w:rPr>
          <w:rFonts w:eastAsiaTheme="minorHAnsi" w:cstheme="minorBidi"/>
          <w:szCs w:val="22"/>
          <w:lang w:val="sr-Cyrl-RS"/>
        </w:rPr>
        <w:t xml:space="preserve">ључне показатеље учинка </w:t>
      </w:r>
      <w:r w:rsidR="00B6054D" w:rsidRPr="0052271C">
        <w:rPr>
          <w:rFonts w:eastAsiaTheme="minorHAnsi" w:cstheme="minorBidi"/>
          <w:szCs w:val="22"/>
          <w:lang w:val="sr-Cyrl-RS"/>
        </w:rPr>
        <w:t>ће дефинисати</w:t>
      </w:r>
      <w:r w:rsidR="001F32A0" w:rsidRPr="0052271C">
        <w:rPr>
          <w:rFonts w:eastAsiaTheme="minorHAnsi" w:cstheme="minorBidi"/>
          <w:szCs w:val="22"/>
          <w:lang w:val="sr-Cyrl-RS"/>
        </w:rPr>
        <w:t xml:space="preserve"> Министарство у координацији са ресорним министарствима и </w:t>
      </w:r>
      <w:r w:rsidR="001F32A0" w:rsidRPr="0052271C">
        <w:rPr>
          <w:rFonts w:eastAsiaTheme="minorHAnsi" w:cstheme="minorBidi"/>
          <w:szCs w:val="22"/>
          <w:lang w:val="sr-Cyrl-RS" w:eastAsia="en-US"/>
        </w:rPr>
        <w:t>ПСРС</w:t>
      </w:r>
      <w:r w:rsidR="001F32A0" w:rsidRPr="0052271C">
        <w:rPr>
          <w:rFonts w:eastAsiaTheme="minorHAnsi" w:cstheme="minorBidi"/>
          <w:szCs w:val="22"/>
          <w:lang w:val="sr-Cyrl-RS"/>
        </w:rPr>
        <w:t xml:space="preserve">, </w:t>
      </w:r>
      <w:r w:rsidR="00F20910" w:rsidRPr="0052271C">
        <w:rPr>
          <w:rFonts w:eastAsiaTheme="minorHAnsi" w:cstheme="minorBidi"/>
          <w:szCs w:val="22"/>
          <w:lang w:val="sr-Cyrl-RS"/>
        </w:rPr>
        <w:t xml:space="preserve">на основу елемената </w:t>
      </w:r>
      <w:r w:rsidR="001F32A0" w:rsidRPr="0052271C">
        <w:rPr>
          <w:rFonts w:eastAsiaTheme="minorHAnsi" w:cstheme="minorBidi"/>
          <w:szCs w:val="22"/>
          <w:lang w:val="sr-Cyrl-RS"/>
        </w:rPr>
        <w:t xml:space="preserve">који </w:t>
      </w:r>
      <w:r w:rsidR="00F20910" w:rsidRPr="0052271C">
        <w:rPr>
          <w:rFonts w:eastAsiaTheme="minorHAnsi" w:cstheme="minorBidi"/>
          <w:szCs w:val="22"/>
          <w:lang w:val="sr-Cyrl-RS"/>
        </w:rPr>
        <w:t xml:space="preserve">су карактеристични за сваки појединачни </w:t>
      </w:r>
      <w:r w:rsidR="000D6EFA" w:rsidRPr="0052271C">
        <w:rPr>
          <w:rFonts w:eastAsiaTheme="minorHAnsi" w:cstheme="minorBidi"/>
          <w:szCs w:val="22"/>
          <w:lang w:val="sr-Cyrl-RS"/>
        </w:rPr>
        <w:t>ПСРС</w:t>
      </w:r>
      <w:r w:rsidR="001F32A0" w:rsidRPr="0052271C">
        <w:rPr>
          <w:rFonts w:eastAsiaTheme="minorHAnsi" w:cstheme="minorBidi"/>
          <w:szCs w:val="22"/>
          <w:lang w:val="sr-Cyrl-RS"/>
        </w:rPr>
        <w:t>.</w:t>
      </w:r>
    </w:p>
    <w:p w14:paraId="7B3475AF" w14:textId="7C4069EB" w:rsidR="001F32A0" w:rsidRPr="0052271C" w:rsidRDefault="00B85ED8" w:rsidP="00657C6E">
      <w:pPr>
        <w:spacing w:line="276" w:lineRule="auto"/>
        <w:ind w:firstLine="567"/>
        <w:jc w:val="both"/>
        <w:rPr>
          <w:rFonts w:eastAsiaTheme="minorHAnsi" w:cstheme="minorBidi"/>
          <w:szCs w:val="22"/>
          <w:lang w:val="sr-Cyrl-RS" w:eastAsia="en-US"/>
        </w:rPr>
      </w:pPr>
      <w:r w:rsidRPr="0052271C">
        <w:rPr>
          <w:rFonts w:eastAsiaTheme="minorHAnsi" w:cstheme="minorBidi"/>
          <w:szCs w:val="22"/>
          <w:lang w:val="sr-Cyrl-RS" w:eastAsia="en-US"/>
        </w:rPr>
        <w:t>С тим у вези, Министарство ће:</w:t>
      </w:r>
    </w:p>
    <w:p w14:paraId="2693C6B1" w14:textId="51C8D293" w:rsidR="001F32A0" w:rsidRPr="0052271C" w:rsidRDefault="00B85ED8" w:rsidP="00EE0247">
      <w:pPr>
        <w:numPr>
          <w:ilvl w:val="0"/>
          <w:numId w:val="13"/>
        </w:numPr>
        <w:spacing w:after="160" w:line="276" w:lineRule="auto"/>
        <w:ind w:left="851" w:hanging="284"/>
        <w:contextualSpacing/>
        <w:jc w:val="both"/>
        <w:rPr>
          <w:rFonts w:eastAsiaTheme="minorHAnsi"/>
          <w:lang w:val="sr-Cyrl-RS" w:eastAsia="en-US"/>
        </w:rPr>
      </w:pPr>
      <w:r w:rsidRPr="0052271C">
        <w:rPr>
          <w:rFonts w:eastAsiaTheme="minorHAnsi"/>
          <w:lang w:val="sr-Cyrl-RS" w:eastAsia="en-US"/>
        </w:rPr>
        <w:t>упоређивати</w:t>
      </w:r>
      <w:r w:rsidR="001F32A0" w:rsidRPr="0052271C">
        <w:rPr>
          <w:rFonts w:eastAsiaTheme="minorHAnsi"/>
          <w:lang w:val="sr-Cyrl-RS" w:eastAsia="en-US"/>
        </w:rPr>
        <w:t xml:space="preserve"> учинак ПСРС током времена и</w:t>
      </w:r>
      <w:r w:rsidR="00DD1769" w:rsidRPr="0052271C">
        <w:rPr>
          <w:rFonts w:eastAsiaTheme="minorHAnsi"/>
          <w:lang w:val="sr-Cyrl-RS" w:eastAsia="en-US"/>
        </w:rPr>
        <w:t>,</w:t>
      </w:r>
      <w:r w:rsidR="001F32A0" w:rsidRPr="0052271C">
        <w:rPr>
          <w:rFonts w:eastAsiaTheme="minorHAnsi"/>
          <w:lang w:val="sr-Cyrl-RS" w:eastAsia="en-US"/>
        </w:rPr>
        <w:t xml:space="preserve"> када је то изводљиво</w:t>
      </w:r>
      <w:r w:rsidR="00DD1769" w:rsidRPr="0052271C">
        <w:rPr>
          <w:rFonts w:eastAsiaTheme="minorHAnsi"/>
          <w:lang w:val="sr-Cyrl-RS" w:eastAsia="en-US"/>
        </w:rPr>
        <w:t>,</w:t>
      </w:r>
      <w:r w:rsidR="001F32A0" w:rsidRPr="0052271C">
        <w:rPr>
          <w:rFonts w:eastAsiaTheme="minorHAnsi"/>
          <w:lang w:val="sr-Cyrl-RS" w:eastAsia="en-US"/>
        </w:rPr>
        <w:t xml:space="preserve"> у односу на групу </w:t>
      </w:r>
      <w:r w:rsidR="000D6EFA" w:rsidRPr="0052271C">
        <w:rPr>
          <w:rFonts w:eastAsiaTheme="minorHAnsi"/>
          <w:lang w:val="sr-Cyrl-RS" w:eastAsia="en-US"/>
        </w:rPr>
        <w:t>ПСРС</w:t>
      </w:r>
      <w:r w:rsidR="001F32A0" w:rsidRPr="0052271C">
        <w:rPr>
          <w:rFonts w:eastAsiaTheme="minorHAnsi"/>
          <w:lang w:val="sr-Cyrl-RS" w:eastAsia="en-US"/>
        </w:rPr>
        <w:t xml:space="preserve"> из исте категорије</w:t>
      </w:r>
      <w:r w:rsidR="009E0802" w:rsidRPr="0052271C">
        <w:rPr>
          <w:rFonts w:eastAsiaTheme="minorHAnsi"/>
          <w:lang w:val="sr-Cyrl-RS" w:eastAsia="en-US"/>
        </w:rPr>
        <w:t>;</w:t>
      </w:r>
    </w:p>
    <w:p w14:paraId="0E3A418E" w14:textId="64471B81" w:rsidR="001F32A0" w:rsidRPr="0052271C" w:rsidRDefault="001F32A0" w:rsidP="00EE0247">
      <w:pPr>
        <w:numPr>
          <w:ilvl w:val="0"/>
          <w:numId w:val="13"/>
        </w:numPr>
        <w:spacing w:after="160" w:line="276" w:lineRule="auto"/>
        <w:ind w:left="851" w:hanging="284"/>
        <w:contextualSpacing/>
        <w:jc w:val="both"/>
        <w:rPr>
          <w:rFonts w:eastAsiaTheme="minorHAnsi"/>
          <w:lang w:val="sr-Cyrl-RS" w:eastAsia="en-US"/>
        </w:rPr>
      </w:pPr>
      <w:r w:rsidRPr="0052271C">
        <w:rPr>
          <w:rFonts w:eastAsiaTheme="minorHAnsi"/>
          <w:lang w:val="sr-Cyrl-RS" w:eastAsia="en-US"/>
        </w:rPr>
        <w:t>годишње извештава</w:t>
      </w:r>
      <w:r w:rsidR="00B85ED8" w:rsidRPr="0052271C">
        <w:rPr>
          <w:rFonts w:eastAsiaTheme="minorHAnsi"/>
          <w:lang w:val="sr-Cyrl-RS" w:eastAsia="en-US"/>
        </w:rPr>
        <w:t>ти</w:t>
      </w:r>
      <w:r w:rsidRPr="0052271C">
        <w:rPr>
          <w:rFonts w:eastAsiaTheme="minorHAnsi"/>
          <w:lang w:val="sr-Cyrl-RS" w:eastAsia="en-US"/>
        </w:rPr>
        <w:t xml:space="preserve"> Владу и Народну скупштину о сопственом учинку у вршењу власниш</w:t>
      </w:r>
      <w:r w:rsidR="009E0802" w:rsidRPr="0052271C">
        <w:rPr>
          <w:rFonts w:eastAsiaTheme="minorHAnsi"/>
          <w:lang w:val="sr-Cyrl-RS" w:eastAsia="en-US"/>
        </w:rPr>
        <w:t>тва и постизању државних циљева;</w:t>
      </w:r>
      <w:r w:rsidRPr="0052271C">
        <w:rPr>
          <w:rFonts w:eastAsiaTheme="minorHAnsi"/>
          <w:lang w:val="sr-Cyrl-RS" w:eastAsia="en-US"/>
        </w:rPr>
        <w:t xml:space="preserve"> </w:t>
      </w:r>
    </w:p>
    <w:p w14:paraId="6BF1A279" w14:textId="1F6971CB" w:rsidR="001F32A0" w:rsidRPr="0052271C" w:rsidRDefault="00B85ED8" w:rsidP="00EE0247">
      <w:pPr>
        <w:numPr>
          <w:ilvl w:val="0"/>
          <w:numId w:val="13"/>
        </w:numPr>
        <w:spacing w:after="160" w:line="276" w:lineRule="auto"/>
        <w:ind w:left="851" w:hanging="284"/>
        <w:contextualSpacing/>
        <w:jc w:val="both"/>
        <w:rPr>
          <w:rFonts w:eastAsiaTheme="minorHAnsi"/>
          <w:lang w:val="sr-Cyrl-RS" w:eastAsia="en-US"/>
        </w:rPr>
      </w:pPr>
      <w:r w:rsidRPr="0052271C">
        <w:rPr>
          <w:rFonts w:eastAsiaTheme="minorHAnsi"/>
          <w:lang w:val="sr-Cyrl-RS" w:eastAsia="en-US"/>
        </w:rPr>
        <w:t>објављивати</w:t>
      </w:r>
      <w:r w:rsidR="001F32A0" w:rsidRPr="0052271C">
        <w:rPr>
          <w:rFonts w:eastAsiaTheme="minorHAnsi"/>
          <w:lang w:val="sr-Cyrl-RS" w:eastAsia="en-US"/>
        </w:rPr>
        <w:t xml:space="preserve"> годишњи извештај о резултатима ПСРС у свом портфељу у претходној години</w:t>
      </w:r>
      <w:r w:rsidR="009E0802" w:rsidRPr="0052271C">
        <w:rPr>
          <w:rFonts w:eastAsiaTheme="minorHAnsi"/>
          <w:lang w:val="sr-Cyrl-RS" w:eastAsia="en-US"/>
        </w:rPr>
        <w:t>.</w:t>
      </w:r>
    </w:p>
    <w:p w14:paraId="2E86F931" w14:textId="4D7C7CF6" w:rsidR="00197194" w:rsidRPr="0052271C" w:rsidRDefault="009E0802" w:rsidP="00173371">
      <w:pPr>
        <w:spacing w:before="240" w:after="240" w:line="276" w:lineRule="auto"/>
        <w:ind w:firstLine="567"/>
        <w:jc w:val="both"/>
        <w:rPr>
          <w:lang w:val="sr-Cyrl-RS"/>
        </w:rPr>
      </w:pPr>
      <w:r w:rsidRPr="0052271C">
        <w:rPr>
          <w:lang w:val="sr-Cyrl-RS"/>
        </w:rPr>
        <w:t>Нужно је развити процес дигитализације, технолошких и финансијских потенцијала Министарства, кроз унапређење постојећих информационих софтвера и изградњ</w:t>
      </w:r>
      <w:r w:rsidR="00DD1769" w:rsidRPr="0052271C">
        <w:rPr>
          <w:lang w:val="sr-Cyrl-RS"/>
        </w:rPr>
        <w:t>у</w:t>
      </w:r>
      <w:r w:rsidRPr="0052271C">
        <w:rPr>
          <w:lang w:val="sr-Cyrl-RS"/>
        </w:rPr>
        <w:t xml:space="preserve"> нових софтверских база и евиденција, што укључује и континуирано побољшање сигурности </w:t>
      </w:r>
      <w:r w:rsidR="00DD1769" w:rsidRPr="0052271C">
        <w:rPr>
          <w:lang w:val="sr-Cyrl-RS"/>
        </w:rPr>
        <w:t xml:space="preserve">тих софтвера </w:t>
      </w:r>
      <w:r w:rsidRPr="0052271C">
        <w:rPr>
          <w:lang w:val="sr-Cyrl-RS"/>
        </w:rPr>
        <w:t>кроз улагања у потребну инфраструктуру и прилагођавање правном оквиру.</w:t>
      </w:r>
    </w:p>
    <w:p w14:paraId="0B2F4387" w14:textId="77777777" w:rsidR="00BA357E" w:rsidRPr="0052271C" w:rsidRDefault="00BA357E" w:rsidP="00173371">
      <w:pPr>
        <w:spacing w:before="240" w:after="240" w:line="276" w:lineRule="auto"/>
        <w:ind w:firstLine="567"/>
        <w:jc w:val="both"/>
        <w:rPr>
          <w:lang w:val="sr-Cyrl-RS"/>
        </w:rPr>
      </w:pPr>
    </w:p>
    <w:p w14:paraId="2FF2FD82" w14:textId="74590D29" w:rsidR="001F32A0" w:rsidRPr="0052271C" w:rsidRDefault="001F32A0" w:rsidP="00E66320">
      <w:pPr>
        <w:pStyle w:val="ListParagraph"/>
        <w:keepNext/>
        <w:numPr>
          <w:ilvl w:val="0"/>
          <w:numId w:val="37"/>
        </w:numPr>
        <w:spacing w:before="240" w:after="60"/>
        <w:jc w:val="center"/>
        <w:outlineLvl w:val="1"/>
        <w:rPr>
          <w:iCs/>
          <w:kern w:val="32"/>
          <w:lang w:val="sr-Cyrl-RS"/>
        </w:rPr>
      </w:pPr>
      <w:bookmarkStart w:id="55" w:name="_Toc63452463"/>
      <w:bookmarkStart w:id="56" w:name="_Toc63587098"/>
      <w:r w:rsidRPr="0052271C">
        <w:rPr>
          <w:rFonts w:ascii="Times New Roman" w:hAnsi="Times New Roman"/>
          <w:iCs/>
          <w:kern w:val="32"/>
          <w:sz w:val="24"/>
          <w:lang w:val="sr-Cyrl-RS"/>
        </w:rPr>
        <w:t xml:space="preserve">Мере за други </w:t>
      </w:r>
      <w:r w:rsidR="00524CA3" w:rsidRPr="0052271C">
        <w:rPr>
          <w:rFonts w:ascii="Times New Roman" w:hAnsi="Times New Roman"/>
          <w:iCs/>
          <w:kern w:val="32"/>
          <w:sz w:val="24"/>
          <w:lang w:val="sr-Cyrl-RS"/>
        </w:rPr>
        <w:t>посеб</w:t>
      </w:r>
      <w:r w:rsidRPr="0052271C">
        <w:rPr>
          <w:rFonts w:ascii="Times New Roman" w:hAnsi="Times New Roman"/>
          <w:iCs/>
          <w:kern w:val="32"/>
          <w:sz w:val="24"/>
          <w:lang w:val="sr-Cyrl-RS"/>
        </w:rPr>
        <w:t>н</w:t>
      </w:r>
      <w:r w:rsidR="00524CA3" w:rsidRPr="0052271C">
        <w:rPr>
          <w:rFonts w:ascii="Times New Roman" w:hAnsi="Times New Roman"/>
          <w:iCs/>
          <w:kern w:val="32"/>
          <w:sz w:val="24"/>
          <w:lang w:val="sr-Cyrl-RS"/>
        </w:rPr>
        <w:t>и</w:t>
      </w:r>
      <w:r w:rsidRPr="0052271C">
        <w:rPr>
          <w:rFonts w:ascii="Times New Roman" w:hAnsi="Times New Roman"/>
          <w:iCs/>
          <w:kern w:val="32"/>
          <w:sz w:val="24"/>
          <w:lang w:val="sr-Cyrl-RS"/>
        </w:rPr>
        <w:t xml:space="preserve"> циљ </w:t>
      </w:r>
      <w:r w:rsidR="006F7595" w:rsidRPr="0052271C">
        <w:rPr>
          <w:rFonts w:ascii="Times New Roman" w:hAnsi="Times New Roman"/>
          <w:iCs/>
          <w:kern w:val="32"/>
          <w:sz w:val="24"/>
          <w:lang w:val="sr-Cyrl-RS"/>
        </w:rPr>
        <w:t xml:space="preserve">- </w:t>
      </w:r>
      <w:r w:rsidRPr="0052271C">
        <w:rPr>
          <w:rFonts w:ascii="Times New Roman" w:hAnsi="Times New Roman"/>
          <w:iCs/>
          <w:kern w:val="32"/>
          <w:sz w:val="24"/>
          <w:lang w:val="sr-Cyrl-RS"/>
        </w:rPr>
        <w:t xml:space="preserve">успостављање, развој и унапређење корпоративног управљања у </w:t>
      </w:r>
      <w:r w:rsidRPr="0052271C">
        <w:rPr>
          <w:rFonts w:ascii="Times New Roman" w:eastAsiaTheme="minorHAnsi" w:hAnsi="Times New Roman"/>
          <w:bCs/>
          <w:iCs/>
          <w:sz w:val="24"/>
          <w:lang w:val="sr-Cyrl-RS"/>
        </w:rPr>
        <w:t>ПСРС</w:t>
      </w:r>
      <w:bookmarkEnd w:id="55"/>
      <w:bookmarkEnd w:id="56"/>
    </w:p>
    <w:p w14:paraId="2456FAE7" w14:textId="77777777" w:rsidR="006F7595" w:rsidRPr="0052271C" w:rsidRDefault="006F7595" w:rsidP="006F7595">
      <w:pPr>
        <w:pStyle w:val="ListParagraph"/>
        <w:keepNext/>
        <w:spacing w:before="240" w:after="60"/>
        <w:outlineLvl w:val="1"/>
        <w:rPr>
          <w:rFonts w:ascii="Times New Roman" w:hAnsi="Times New Roman"/>
          <w:iCs/>
          <w:kern w:val="32"/>
          <w:sz w:val="6"/>
          <w:szCs w:val="6"/>
          <w:lang w:val="sr-Cyrl-RS"/>
        </w:rPr>
      </w:pPr>
    </w:p>
    <w:p w14:paraId="17F44051" w14:textId="46E077B7" w:rsidR="001F32A0" w:rsidRPr="0052271C" w:rsidRDefault="00C437B3" w:rsidP="001F32A0">
      <w:pPr>
        <w:spacing w:before="240" w:after="240" w:line="276" w:lineRule="auto"/>
        <w:ind w:firstLine="567"/>
        <w:jc w:val="both"/>
        <w:rPr>
          <w:lang w:val="sr-Cyrl-RS" w:eastAsia="en-US"/>
        </w:rPr>
      </w:pPr>
      <w:r w:rsidRPr="0052271C">
        <w:rPr>
          <w:lang w:val="sr-Cyrl-RS" w:eastAsia="en-US"/>
        </w:rPr>
        <w:t>Мера 1: Уређивање</w:t>
      </w:r>
      <w:r w:rsidR="001F32A0" w:rsidRPr="0052271C">
        <w:rPr>
          <w:lang w:val="sr-Cyrl-RS" w:eastAsia="en-US"/>
        </w:rPr>
        <w:t xml:space="preserve"> питања корпоративног управљања у ск</w:t>
      </w:r>
      <w:r w:rsidRPr="0052271C">
        <w:rPr>
          <w:lang w:val="sr-Cyrl-RS" w:eastAsia="en-US"/>
        </w:rPr>
        <w:t>л</w:t>
      </w:r>
      <w:r w:rsidR="001F32A0" w:rsidRPr="0052271C">
        <w:rPr>
          <w:lang w:val="sr-Cyrl-RS" w:eastAsia="en-US"/>
        </w:rPr>
        <w:t>аду са на</w:t>
      </w:r>
      <w:r w:rsidR="009E0802" w:rsidRPr="0052271C">
        <w:rPr>
          <w:lang w:val="sr-Cyrl-RS" w:eastAsia="en-US"/>
        </w:rPr>
        <w:t>ј</w:t>
      </w:r>
      <w:r w:rsidR="001F32A0" w:rsidRPr="0052271C">
        <w:rPr>
          <w:lang w:val="sr-Cyrl-RS" w:eastAsia="en-US"/>
        </w:rPr>
        <w:t>бољом међународном праксом</w:t>
      </w:r>
    </w:p>
    <w:p w14:paraId="7BAA12CA" w14:textId="175AC4EC" w:rsidR="008C2167" w:rsidRPr="0052271C" w:rsidRDefault="008C2167" w:rsidP="00657C6E">
      <w:pPr>
        <w:autoSpaceDE w:val="0"/>
        <w:autoSpaceDN w:val="0"/>
        <w:adjustRightInd w:val="0"/>
        <w:spacing w:line="276" w:lineRule="auto"/>
        <w:ind w:firstLine="567"/>
        <w:jc w:val="both"/>
        <w:rPr>
          <w:rFonts w:eastAsiaTheme="minorHAnsi"/>
          <w:color w:val="000000"/>
          <w:lang w:val="sr-Cyrl-RS" w:eastAsia="en-US"/>
        </w:rPr>
      </w:pPr>
      <w:r w:rsidRPr="0052271C">
        <w:rPr>
          <w:rFonts w:eastAsiaTheme="minorHAnsi"/>
          <w:color w:val="000000"/>
          <w:lang w:val="sr-Cyrl-RS" w:eastAsia="en-US"/>
        </w:rPr>
        <w:lastRenderedPageBreak/>
        <w:t>Један од стратешких циљева реформе привреде Републике Србије је да се побољша корпоративно управљање у ПСРС, како би она оствар</w:t>
      </w:r>
      <w:r w:rsidR="009E0802" w:rsidRPr="0052271C">
        <w:rPr>
          <w:rFonts w:eastAsiaTheme="minorHAnsi"/>
          <w:color w:val="000000"/>
          <w:lang w:val="sr-Cyrl-RS" w:eastAsia="en-US"/>
        </w:rPr>
        <w:t xml:space="preserve">ивала боље пословне резултате. </w:t>
      </w:r>
      <w:r w:rsidRPr="0052271C">
        <w:rPr>
          <w:rFonts w:eastAsiaTheme="minorHAnsi"/>
          <w:color w:val="000000"/>
          <w:lang w:val="sr-Cyrl-RS" w:eastAsia="en-US"/>
        </w:rPr>
        <w:t xml:space="preserve">Да би се то постигло, неопходно је изменити </w:t>
      </w:r>
      <w:r w:rsidR="00554EE0" w:rsidRPr="0052271C">
        <w:rPr>
          <w:rFonts w:eastAsiaTheme="minorHAnsi"/>
          <w:color w:val="000000"/>
          <w:lang w:val="sr-Cyrl-RS" w:eastAsia="en-US"/>
        </w:rPr>
        <w:t>досадашњи</w:t>
      </w:r>
      <w:r w:rsidRPr="0052271C">
        <w:rPr>
          <w:rFonts w:eastAsiaTheme="minorHAnsi"/>
          <w:color w:val="000000"/>
          <w:lang w:val="sr-Cyrl-RS" w:eastAsia="en-US"/>
        </w:rPr>
        <w:t xml:space="preserve"> </w:t>
      </w:r>
      <w:r w:rsidR="00554EE0" w:rsidRPr="0052271C">
        <w:rPr>
          <w:rFonts w:eastAsiaTheme="minorHAnsi"/>
          <w:color w:val="000000"/>
          <w:lang w:val="sr-Cyrl-RS" w:eastAsia="en-US"/>
        </w:rPr>
        <w:t>начин</w:t>
      </w:r>
      <w:r w:rsidRPr="0052271C">
        <w:rPr>
          <w:rFonts w:eastAsiaTheme="minorHAnsi"/>
          <w:color w:val="000000"/>
          <w:lang w:val="sr-Cyrl-RS" w:eastAsia="en-US"/>
        </w:rPr>
        <w:t xml:space="preserve"> </w:t>
      </w:r>
      <w:r w:rsidR="00554EE0" w:rsidRPr="0052271C">
        <w:rPr>
          <w:rFonts w:eastAsiaTheme="minorHAnsi"/>
          <w:color w:val="000000"/>
          <w:lang w:val="sr-Cyrl-RS" w:eastAsia="en-US"/>
        </w:rPr>
        <w:t>управљања</w:t>
      </w:r>
      <w:r w:rsidRPr="0052271C">
        <w:rPr>
          <w:rFonts w:eastAsiaTheme="minorHAnsi"/>
          <w:color w:val="000000"/>
          <w:lang w:val="sr-Cyrl-RS" w:eastAsia="en-US"/>
        </w:rPr>
        <w:t xml:space="preserve"> у </w:t>
      </w:r>
      <w:r w:rsidR="00554EE0" w:rsidRPr="0052271C">
        <w:rPr>
          <w:rFonts w:eastAsiaTheme="minorHAnsi"/>
          <w:color w:val="000000"/>
          <w:lang w:val="sr-Cyrl-RS" w:eastAsia="en-US"/>
        </w:rPr>
        <w:t>њима</w:t>
      </w:r>
      <w:r w:rsidRPr="0052271C">
        <w:rPr>
          <w:rFonts w:eastAsiaTheme="minorHAnsi"/>
          <w:color w:val="000000"/>
          <w:lang w:val="sr-Cyrl-RS" w:eastAsia="en-US"/>
        </w:rPr>
        <w:t xml:space="preserve"> </w:t>
      </w:r>
      <w:r w:rsidR="0096354B" w:rsidRPr="0052271C">
        <w:rPr>
          <w:rFonts w:eastAsiaTheme="minorHAnsi"/>
          <w:color w:val="000000"/>
          <w:lang w:val="sr-Cyrl-RS" w:eastAsia="en-US"/>
        </w:rPr>
        <w:t xml:space="preserve">и </w:t>
      </w:r>
      <w:r w:rsidRPr="0052271C">
        <w:rPr>
          <w:rFonts w:eastAsiaTheme="minorHAnsi"/>
          <w:color w:val="000000"/>
          <w:lang w:val="sr-Cyrl-RS" w:eastAsia="en-US"/>
        </w:rPr>
        <w:t xml:space="preserve">унапредити </w:t>
      </w:r>
      <w:r w:rsidR="00554EE0" w:rsidRPr="0052271C">
        <w:rPr>
          <w:rFonts w:eastAsiaTheme="minorHAnsi"/>
          <w:color w:val="000000"/>
          <w:lang w:val="sr-Cyrl-RS" w:eastAsia="en-US"/>
        </w:rPr>
        <w:t>корпоративно</w:t>
      </w:r>
      <w:r w:rsidRPr="0052271C">
        <w:rPr>
          <w:rFonts w:eastAsiaTheme="minorHAnsi"/>
          <w:color w:val="000000"/>
          <w:lang w:val="sr-Cyrl-RS" w:eastAsia="en-US"/>
        </w:rPr>
        <w:t xml:space="preserve"> </w:t>
      </w:r>
      <w:r w:rsidR="00554EE0" w:rsidRPr="0052271C">
        <w:rPr>
          <w:rFonts w:eastAsiaTheme="minorHAnsi"/>
          <w:color w:val="000000"/>
          <w:lang w:val="sr-Cyrl-RS" w:eastAsia="en-US"/>
        </w:rPr>
        <w:t>управљање</w:t>
      </w:r>
      <w:r w:rsidRPr="0052271C">
        <w:rPr>
          <w:rFonts w:eastAsiaTheme="minorHAnsi"/>
          <w:color w:val="000000"/>
          <w:lang w:val="sr-Cyrl-RS" w:eastAsia="en-US"/>
        </w:rPr>
        <w:t>.</w:t>
      </w:r>
    </w:p>
    <w:p w14:paraId="51649735" w14:textId="10416249" w:rsidR="008C2167" w:rsidRPr="0052271C" w:rsidRDefault="008C2167" w:rsidP="00657C6E">
      <w:pPr>
        <w:autoSpaceDE w:val="0"/>
        <w:autoSpaceDN w:val="0"/>
        <w:adjustRightInd w:val="0"/>
        <w:spacing w:line="276" w:lineRule="auto"/>
        <w:ind w:firstLine="567"/>
        <w:jc w:val="both"/>
        <w:rPr>
          <w:rFonts w:eastAsiaTheme="minorHAnsi"/>
          <w:lang w:val="sr-Cyrl-RS" w:eastAsia="en-US"/>
        </w:rPr>
      </w:pPr>
      <w:r w:rsidRPr="0052271C">
        <w:rPr>
          <w:rFonts w:eastAsiaTheme="minorHAnsi"/>
          <w:lang w:val="sr-Cyrl-RS" w:eastAsia="en-US"/>
        </w:rPr>
        <w:t xml:space="preserve">Увођење корпоративног управљања мотивисано је интерним разлозима и жељом оснивача </w:t>
      </w:r>
      <w:r w:rsidR="000D6EFA" w:rsidRPr="0052271C">
        <w:rPr>
          <w:rFonts w:eastAsiaTheme="minorHAnsi"/>
          <w:lang w:val="sr-Cyrl-RS" w:eastAsia="en-US"/>
        </w:rPr>
        <w:t>ПСРС</w:t>
      </w:r>
      <w:r w:rsidRPr="0052271C">
        <w:rPr>
          <w:rFonts w:eastAsiaTheme="minorHAnsi"/>
          <w:lang w:val="sr-Cyrl-RS" w:eastAsia="en-US"/>
        </w:rPr>
        <w:t xml:space="preserve"> (Републике Србије) да повећа ниво ефикасности, ефективности и транспарентности њиховог рада. </w:t>
      </w:r>
      <w:r w:rsidR="000D6EFA" w:rsidRPr="0052271C">
        <w:rPr>
          <w:rFonts w:eastAsiaTheme="minorHAnsi"/>
          <w:lang w:val="sr-Cyrl-RS" w:eastAsia="en-US"/>
        </w:rPr>
        <w:t xml:space="preserve">Увођење корпоративног управљања </w:t>
      </w:r>
      <w:r w:rsidRPr="0052271C">
        <w:rPr>
          <w:rFonts w:eastAsiaTheme="minorHAnsi"/>
          <w:lang w:val="sr-Cyrl-RS" w:eastAsia="en-US"/>
        </w:rPr>
        <w:t xml:space="preserve">обухвата превасходно следеће активности: </w:t>
      </w:r>
      <w:r w:rsidR="006526E6" w:rsidRPr="0052271C">
        <w:rPr>
          <w:rFonts w:eastAsiaTheme="minorHAnsi"/>
          <w:lang w:val="sr-Cyrl-RS" w:eastAsia="en-US"/>
        </w:rPr>
        <w:t>израд</w:t>
      </w:r>
      <w:r w:rsidR="0096354B" w:rsidRPr="0052271C">
        <w:rPr>
          <w:rFonts w:eastAsiaTheme="minorHAnsi"/>
          <w:lang w:val="sr-Cyrl-RS" w:eastAsia="en-US"/>
        </w:rPr>
        <w:t>у</w:t>
      </w:r>
      <w:r w:rsidR="006526E6" w:rsidRPr="0052271C">
        <w:rPr>
          <w:rFonts w:eastAsiaTheme="minorHAnsi"/>
          <w:lang w:val="sr-Cyrl-RS" w:eastAsia="en-US"/>
        </w:rPr>
        <w:t xml:space="preserve"> правног оквира (кроз измену досадашњих и израду нових</w:t>
      </w:r>
      <w:r w:rsidRPr="0052271C">
        <w:rPr>
          <w:rFonts w:eastAsiaTheme="minorHAnsi"/>
          <w:lang w:val="sr-Cyrl-RS" w:eastAsia="en-US"/>
        </w:rPr>
        <w:t xml:space="preserve"> законских и подзаконских </w:t>
      </w:r>
      <w:r w:rsidR="006526E6" w:rsidRPr="0052271C">
        <w:rPr>
          <w:rFonts w:eastAsiaTheme="minorHAnsi"/>
          <w:lang w:val="sr-Cyrl-RS" w:eastAsia="en-US"/>
        </w:rPr>
        <w:t>аката)</w:t>
      </w:r>
      <w:r w:rsidRPr="0052271C">
        <w:rPr>
          <w:rFonts w:eastAsiaTheme="minorHAnsi"/>
          <w:lang w:val="sr-Cyrl-RS" w:eastAsia="en-US"/>
        </w:rPr>
        <w:t xml:space="preserve">, увођење система </w:t>
      </w:r>
      <w:r w:rsidR="0003585E" w:rsidRPr="0052271C">
        <w:rPr>
          <w:rFonts w:eastAsiaTheme="minorHAnsi"/>
          <w:lang w:val="sr-Cyrl-RS" w:eastAsia="en-US"/>
        </w:rPr>
        <w:t xml:space="preserve">додатног усавршавања и </w:t>
      </w:r>
      <w:r w:rsidRPr="0052271C">
        <w:rPr>
          <w:rFonts w:eastAsiaTheme="minorHAnsi"/>
          <w:lang w:val="sr-Cyrl-RS" w:eastAsia="en-US"/>
        </w:rPr>
        <w:t xml:space="preserve">сертификације директора и органа управљања и унапређење система праћења, извештавања и одговорности за резултате пословања </w:t>
      </w:r>
      <w:r w:rsidR="000D6EFA" w:rsidRPr="0052271C">
        <w:rPr>
          <w:rFonts w:eastAsiaTheme="minorHAnsi"/>
          <w:lang w:val="sr-Cyrl-RS" w:eastAsia="en-US"/>
        </w:rPr>
        <w:t>ПСРС</w:t>
      </w:r>
      <w:r w:rsidRPr="0052271C">
        <w:rPr>
          <w:rFonts w:eastAsiaTheme="minorHAnsi"/>
          <w:lang w:val="sr-Cyrl-RS" w:eastAsia="en-US"/>
        </w:rPr>
        <w:t xml:space="preserve">. </w:t>
      </w:r>
    </w:p>
    <w:p w14:paraId="10541FF9" w14:textId="1D2F3FDA" w:rsidR="001F32A0" w:rsidRPr="0052271C" w:rsidRDefault="001F32A0" w:rsidP="00657C6E">
      <w:pPr>
        <w:spacing w:before="240" w:line="276" w:lineRule="auto"/>
        <w:ind w:firstLine="567"/>
        <w:jc w:val="both"/>
        <w:rPr>
          <w:lang w:val="sr-Cyrl-RS" w:eastAsia="en-US"/>
        </w:rPr>
      </w:pPr>
      <w:r w:rsidRPr="0052271C">
        <w:rPr>
          <w:lang w:val="sr-Cyrl-RS"/>
        </w:rPr>
        <w:t xml:space="preserve">Министарство ће </w:t>
      </w:r>
      <w:r w:rsidRPr="0052271C">
        <w:rPr>
          <w:lang w:val="sr-Cyrl-RS" w:eastAsia="en-US"/>
        </w:rPr>
        <w:t>радити на превазилажењу проблема који су се појављивали у досадашњој пракси</w:t>
      </w:r>
      <w:r w:rsidR="0096354B" w:rsidRPr="0052271C">
        <w:rPr>
          <w:lang w:val="sr-Cyrl-RS" w:eastAsia="en-US"/>
        </w:rPr>
        <w:t>, тако што ће</w:t>
      </w:r>
      <w:r w:rsidRPr="0052271C">
        <w:rPr>
          <w:lang w:val="sr-Cyrl-RS" w:eastAsia="en-US"/>
        </w:rPr>
        <w:t>:</w:t>
      </w:r>
    </w:p>
    <w:p w14:paraId="065B3DF2" w14:textId="38B15454" w:rsidR="001F32A0" w:rsidRPr="0052271C" w:rsidRDefault="001F32A0" w:rsidP="00EE0247">
      <w:pPr>
        <w:numPr>
          <w:ilvl w:val="0"/>
          <w:numId w:val="14"/>
        </w:numPr>
        <w:spacing w:after="240" w:line="276" w:lineRule="auto"/>
        <w:ind w:left="851" w:hanging="284"/>
        <w:contextualSpacing/>
        <w:jc w:val="both"/>
        <w:rPr>
          <w:lang w:val="sr-Cyrl-RS" w:eastAsia="en-US"/>
        </w:rPr>
      </w:pPr>
      <w:r w:rsidRPr="0052271C">
        <w:rPr>
          <w:lang w:val="sr-Cyrl-RS" w:eastAsia="en-US"/>
        </w:rPr>
        <w:t xml:space="preserve">израдити анализу стања, идентификовати проблеме и успоставити јединствени систем за корпоративно управљање у </w:t>
      </w:r>
      <w:r w:rsidRPr="0052271C">
        <w:rPr>
          <w:rFonts w:eastAsiaTheme="minorHAnsi"/>
          <w:lang w:val="sr-Cyrl-RS" w:eastAsia="en-US"/>
        </w:rPr>
        <w:t>ПСРС</w:t>
      </w:r>
      <w:r w:rsidR="0096354B" w:rsidRPr="0052271C">
        <w:rPr>
          <w:lang w:val="sr-Cyrl-RS" w:eastAsia="en-US"/>
        </w:rPr>
        <w:t>;</w:t>
      </w:r>
    </w:p>
    <w:p w14:paraId="75642003" w14:textId="544E17B2" w:rsidR="001F32A0" w:rsidRPr="0052271C" w:rsidRDefault="001F32A0" w:rsidP="00EE0247">
      <w:pPr>
        <w:numPr>
          <w:ilvl w:val="0"/>
          <w:numId w:val="14"/>
        </w:numPr>
        <w:spacing w:before="240" w:after="240" w:line="276" w:lineRule="auto"/>
        <w:ind w:left="851" w:hanging="284"/>
        <w:contextualSpacing/>
        <w:jc w:val="both"/>
        <w:rPr>
          <w:lang w:val="sr-Cyrl-RS" w:eastAsia="en-US"/>
        </w:rPr>
      </w:pPr>
      <w:r w:rsidRPr="0052271C">
        <w:rPr>
          <w:lang w:val="sr-Cyrl-RS" w:eastAsia="en-US"/>
        </w:rPr>
        <w:t>развити критеријуме и процес именовања органа управљања и менаџмента, при чему ће користи информације о матрици вештина прилагођеној за свак</w:t>
      </w:r>
      <w:r w:rsidR="007D70EE" w:rsidRPr="0052271C">
        <w:rPr>
          <w:lang w:val="sr-Cyrl-RS" w:eastAsia="en-US"/>
        </w:rPr>
        <w:t>и</w:t>
      </w:r>
      <w:r w:rsidRPr="0052271C">
        <w:rPr>
          <w:lang w:val="sr-Cyrl-RS" w:eastAsia="en-US"/>
        </w:rPr>
        <w:t xml:space="preserve"> </w:t>
      </w:r>
      <w:r w:rsidRPr="0052271C">
        <w:rPr>
          <w:rFonts w:eastAsiaTheme="minorHAnsi"/>
          <w:lang w:val="sr-Cyrl-RS" w:eastAsia="en-US"/>
        </w:rPr>
        <w:t>ПСРС</w:t>
      </w:r>
      <w:r w:rsidRPr="0052271C">
        <w:rPr>
          <w:lang w:val="sr-Cyrl-RS" w:eastAsia="en-US"/>
        </w:rPr>
        <w:t xml:space="preserve"> и резултатима годишњих оцењивања одбора, што подразумева да се неће ослањати на функцију вршиоца дужности директора, већ ће се јасно дефинисати одговорности менаџмента</w:t>
      </w:r>
      <w:r w:rsidR="0096354B" w:rsidRPr="0052271C">
        <w:rPr>
          <w:lang w:val="sr-Cyrl-RS" w:eastAsia="en-US"/>
        </w:rPr>
        <w:t>;</w:t>
      </w:r>
    </w:p>
    <w:p w14:paraId="1D2D0EA6" w14:textId="52EFE673" w:rsidR="001F32A0" w:rsidRPr="0052271C" w:rsidRDefault="001F32A0" w:rsidP="00EE0247">
      <w:pPr>
        <w:numPr>
          <w:ilvl w:val="0"/>
          <w:numId w:val="14"/>
        </w:numPr>
        <w:spacing w:before="240" w:after="240" w:line="276" w:lineRule="auto"/>
        <w:ind w:left="851" w:hanging="284"/>
        <w:contextualSpacing/>
        <w:jc w:val="both"/>
        <w:rPr>
          <w:lang w:val="sr-Cyrl-RS" w:eastAsia="en-US"/>
        </w:rPr>
      </w:pPr>
      <w:r w:rsidRPr="0052271C">
        <w:rPr>
          <w:lang w:val="sr-Cyrl-RS" w:eastAsia="en-US"/>
        </w:rPr>
        <w:t xml:space="preserve">имплементирати јасан и ефикасан процес за одабир кандидата, са транспарентним критеријумима заснованим на заслугама, који узима у обзир потребе самих </w:t>
      </w:r>
      <w:r w:rsidR="00C246F7" w:rsidRPr="0052271C">
        <w:rPr>
          <w:lang w:val="sr-Cyrl-RS"/>
        </w:rPr>
        <w:t>ПСРС</w:t>
      </w:r>
      <w:r w:rsidR="0096354B" w:rsidRPr="0052271C">
        <w:rPr>
          <w:lang w:val="sr-Cyrl-RS"/>
        </w:rPr>
        <w:t>;</w:t>
      </w:r>
    </w:p>
    <w:p w14:paraId="6497BE02" w14:textId="547012CD" w:rsidR="001F32A0" w:rsidRPr="0052271C" w:rsidRDefault="001F32A0" w:rsidP="00EE0247">
      <w:pPr>
        <w:numPr>
          <w:ilvl w:val="0"/>
          <w:numId w:val="14"/>
        </w:numPr>
        <w:spacing w:before="240" w:after="240" w:line="276" w:lineRule="auto"/>
        <w:ind w:left="851" w:hanging="284"/>
        <w:contextualSpacing/>
        <w:jc w:val="both"/>
        <w:rPr>
          <w:lang w:val="sr-Cyrl-RS" w:eastAsia="en-US"/>
        </w:rPr>
      </w:pPr>
      <w:r w:rsidRPr="0052271C">
        <w:rPr>
          <w:lang w:val="sr-Cyrl-RS" w:eastAsia="en-US"/>
        </w:rPr>
        <w:t xml:space="preserve">поставити смернице о циљевима родне </w:t>
      </w:r>
      <w:r w:rsidR="00A60EEA" w:rsidRPr="0052271C">
        <w:rPr>
          <w:lang w:val="sr-Cyrl-RS" w:eastAsia="en-US"/>
        </w:rPr>
        <w:t>равноправности</w:t>
      </w:r>
      <w:r w:rsidRPr="0052271C">
        <w:rPr>
          <w:lang w:val="sr-Cyrl-RS" w:eastAsia="en-US"/>
        </w:rPr>
        <w:t xml:space="preserve"> које треба применити у матрицама профила за кандидате за одбор</w:t>
      </w:r>
      <w:r w:rsidR="0096354B" w:rsidRPr="0052271C">
        <w:rPr>
          <w:lang w:val="sr-Cyrl-RS" w:eastAsia="en-US"/>
        </w:rPr>
        <w:t>;</w:t>
      </w:r>
    </w:p>
    <w:p w14:paraId="2C614C69" w14:textId="400F24F1" w:rsidR="001F32A0" w:rsidRPr="0052271C" w:rsidRDefault="001F32A0" w:rsidP="00EE0247">
      <w:pPr>
        <w:numPr>
          <w:ilvl w:val="0"/>
          <w:numId w:val="14"/>
        </w:numPr>
        <w:spacing w:before="240" w:after="240" w:line="276" w:lineRule="auto"/>
        <w:ind w:left="851" w:hanging="284"/>
        <w:contextualSpacing/>
        <w:jc w:val="both"/>
        <w:rPr>
          <w:lang w:val="sr-Cyrl-RS" w:eastAsia="en-US"/>
        </w:rPr>
      </w:pPr>
      <w:r w:rsidRPr="0052271C">
        <w:rPr>
          <w:lang w:val="sr-Cyrl-RS" w:eastAsia="en-US"/>
        </w:rPr>
        <w:t>развити систем усавршавања и сертификације за органе управљања и менаџмента и успоставити евиденцију сертификованих лица</w:t>
      </w:r>
      <w:r w:rsidR="0096354B" w:rsidRPr="0052271C">
        <w:rPr>
          <w:lang w:val="sr-Cyrl-RS" w:eastAsia="en-US"/>
        </w:rPr>
        <w:t>;</w:t>
      </w:r>
    </w:p>
    <w:p w14:paraId="2BBD3163" w14:textId="20091881" w:rsidR="001F32A0" w:rsidRPr="0052271C" w:rsidRDefault="001F32A0" w:rsidP="00EE0247">
      <w:pPr>
        <w:numPr>
          <w:ilvl w:val="0"/>
          <w:numId w:val="14"/>
        </w:numPr>
        <w:spacing w:before="240" w:after="240" w:line="276" w:lineRule="auto"/>
        <w:ind w:left="851" w:hanging="284"/>
        <w:contextualSpacing/>
        <w:jc w:val="both"/>
        <w:rPr>
          <w:lang w:val="sr-Cyrl-RS" w:eastAsia="en-US"/>
        </w:rPr>
      </w:pPr>
      <w:r w:rsidRPr="0052271C">
        <w:rPr>
          <w:lang w:val="sr-Cyrl-RS" w:eastAsia="en-US"/>
        </w:rPr>
        <w:t>развити критеријуме за формирање комисије за ревизију, као и других комисија у складу са најбољом праксом</w:t>
      </w:r>
      <w:r w:rsidR="0096354B" w:rsidRPr="0052271C">
        <w:rPr>
          <w:lang w:val="sr-Cyrl-RS" w:eastAsia="en-US"/>
        </w:rPr>
        <w:t>;</w:t>
      </w:r>
    </w:p>
    <w:p w14:paraId="141C6342" w14:textId="335601BE" w:rsidR="001F32A0" w:rsidRPr="0052271C" w:rsidRDefault="001F32A0" w:rsidP="00EE0247">
      <w:pPr>
        <w:numPr>
          <w:ilvl w:val="0"/>
          <w:numId w:val="14"/>
        </w:numPr>
        <w:spacing w:before="240" w:after="240" w:line="276" w:lineRule="auto"/>
        <w:ind w:left="851" w:hanging="284"/>
        <w:contextualSpacing/>
        <w:jc w:val="both"/>
        <w:rPr>
          <w:lang w:val="sr-Cyrl-RS" w:eastAsia="en-US"/>
        </w:rPr>
      </w:pPr>
      <w:r w:rsidRPr="0052271C">
        <w:rPr>
          <w:lang w:val="sr-Cyrl-RS" w:eastAsia="en-US"/>
        </w:rPr>
        <w:t xml:space="preserve">успоставити критеријуме за варијабилне механизме зараде засноване на постизању резултата. </w:t>
      </w:r>
    </w:p>
    <w:p w14:paraId="058D93EB" w14:textId="77777777" w:rsidR="00197194" w:rsidRPr="0052271C" w:rsidRDefault="00197194" w:rsidP="00197194">
      <w:pPr>
        <w:spacing w:before="240" w:after="240" w:line="276" w:lineRule="auto"/>
        <w:ind w:left="851"/>
        <w:contextualSpacing/>
        <w:jc w:val="both"/>
        <w:rPr>
          <w:lang w:val="sr-Cyrl-RS" w:eastAsia="en-US"/>
        </w:rPr>
      </w:pPr>
    </w:p>
    <w:p w14:paraId="2018889C" w14:textId="4EB40A5B" w:rsidR="001F32A0" w:rsidRPr="0052271C" w:rsidRDefault="001F32A0" w:rsidP="00657C6E">
      <w:pPr>
        <w:spacing w:before="240" w:after="240" w:line="276" w:lineRule="auto"/>
        <w:ind w:firstLine="567"/>
        <w:jc w:val="both"/>
        <w:rPr>
          <w:color w:val="FF0000"/>
          <w:lang w:val="sr-Cyrl-RS"/>
        </w:rPr>
      </w:pPr>
      <w:r w:rsidRPr="0052271C">
        <w:rPr>
          <w:lang w:val="sr-Cyrl-RS"/>
        </w:rPr>
        <w:t xml:space="preserve">Циљ државе је да органи управљања и менаџмента ПСРС поседују висок ниво стручности који је прилагођен делатности, пословном окружењу и будућим могућностима и изазовима. Структурисан процес избора чланова одбора ПСРС примењује се како би се обезбедила стручност приликом бирања чланова </w:t>
      </w:r>
      <w:r w:rsidR="0028040C" w:rsidRPr="0052271C">
        <w:rPr>
          <w:lang w:val="sr-Cyrl-RS"/>
        </w:rPr>
        <w:t>органа ПСРС</w:t>
      </w:r>
      <w:r w:rsidRPr="0052271C">
        <w:rPr>
          <w:lang w:val="sr-Cyrl-RS"/>
        </w:rPr>
        <w:t>.</w:t>
      </w:r>
    </w:p>
    <w:p w14:paraId="1D5FC67C" w14:textId="0015B542" w:rsidR="001F32A0" w:rsidRPr="0052271C" w:rsidRDefault="001F32A0" w:rsidP="00657C6E">
      <w:pPr>
        <w:spacing w:before="240" w:after="240" w:line="276" w:lineRule="auto"/>
        <w:ind w:firstLine="567"/>
        <w:jc w:val="both"/>
        <w:rPr>
          <w:lang w:val="sr-Cyrl-RS"/>
        </w:rPr>
      </w:pPr>
      <w:r w:rsidRPr="0052271C">
        <w:rPr>
          <w:b/>
          <w:lang w:val="sr-Cyrl-RS"/>
        </w:rPr>
        <w:t>Органи управљања и менаџмента</w:t>
      </w:r>
      <w:r w:rsidRPr="0052271C">
        <w:rPr>
          <w:lang w:val="sr-Cyrl-RS"/>
        </w:rPr>
        <w:t xml:space="preserve"> ће следити најбољу праксу прилагођену по</w:t>
      </w:r>
      <w:r w:rsidR="009E0802" w:rsidRPr="0052271C">
        <w:rPr>
          <w:lang w:val="sr-Cyrl-RS"/>
        </w:rPr>
        <w:t>словању и постављеним циљевима, док д</w:t>
      </w:r>
      <w:r w:rsidRPr="0052271C">
        <w:rPr>
          <w:lang w:val="sr-Cyrl-RS" w:eastAsia="en-US"/>
        </w:rPr>
        <w:t xml:space="preserve">ржава обезбеђује </w:t>
      </w:r>
      <w:r w:rsidR="00DE28A7" w:rsidRPr="0052271C">
        <w:rPr>
          <w:lang w:val="sr-Cyrl-RS" w:eastAsia="en-US"/>
        </w:rPr>
        <w:t>друштвима чији је власник потр</w:t>
      </w:r>
      <w:r w:rsidRPr="0052271C">
        <w:rPr>
          <w:lang w:val="sr-Cyrl-RS" w:eastAsia="en-US"/>
        </w:rPr>
        <w:t xml:space="preserve">ебан оквир и алате како би обезбедила да постоји одговарајући систем за стимулацију, нпр. подстицањем одређивања накнада и зарада у висини која зависи од постизања резултата и давањем смерница како </w:t>
      </w:r>
      <w:r w:rsidR="00BA7FDA" w:rsidRPr="0052271C">
        <w:rPr>
          <w:lang w:val="sr-Cyrl-RS" w:eastAsia="en-US"/>
        </w:rPr>
        <w:t>је то могуће</w:t>
      </w:r>
      <w:r w:rsidRPr="0052271C">
        <w:rPr>
          <w:lang w:val="sr-Cyrl-RS" w:eastAsia="en-US"/>
        </w:rPr>
        <w:t xml:space="preserve"> у тренутном </w:t>
      </w:r>
      <w:r w:rsidR="00C335D1" w:rsidRPr="0052271C">
        <w:rPr>
          <w:lang w:val="sr-Cyrl-RS" w:eastAsia="en-US"/>
        </w:rPr>
        <w:t xml:space="preserve">правном </w:t>
      </w:r>
      <w:r w:rsidRPr="0052271C">
        <w:rPr>
          <w:lang w:val="sr-Cyrl-RS" w:eastAsia="en-US"/>
        </w:rPr>
        <w:t>оквиру</w:t>
      </w:r>
      <w:r w:rsidRPr="0052271C">
        <w:rPr>
          <w:lang w:val="sr-Cyrl-RS"/>
        </w:rPr>
        <w:t>.</w:t>
      </w:r>
    </w:p>
    <w:p w14:paraId="7E4E340C" w14:textId="5BD76809" w:rsidR="001F32A0" w:rsidRPr="0052271C" w:rsidRDefault="001F32A0" w:rsidP="00657C6E">
      <w:pPr>
        <w:spacing w:before="240" w:after="240" w:line="276" w:lineRule="auto"/>
        <w:ind w:firstLine="567"/>
        <w:jc w:val="both"/>
        <w:rPr>
          <w:lang w:val="sr-Cyrl-RS" w:eastAsia="en-US"/>
        </w:rPr>
      </w:pPr>
      <w:r w:rsidRPr="0052271C">
        <w:rPr>
          <w:lang w:val="sr-Cyrl-RS" w:eastAsia="en-US"/>
        </w:rPr>
        <w:lastRenderedPageBreak/>
        <w:t xml:space="preserve">Влада </w:t>
      </w:r>
      <w:r w:rsidR="00524CA3" w:rsidRPr="0052271C">
        <w:rPr>
          <w:lang w:val="sr-Cyrl-RS" w:eastAsia="en-US"/>
        </w:rPr>
        <w:t xml:space="preserve">ће </w:t>
      </w:r>
      <w:r w:rsidRPr="0052271C">
        <w:rPr>
          <w:lang w:val="sr-Cyrl-RS" w:eastAsia="en-US"/>
        </w:rPr>
        <w:t>своје надлежности извршава</w:t>
      </w:r>
      <w:r w:rsidR="00524CA3" w:rsidRPr="0052271C">
        <w:rPr>
          <w:lang w:val="sr-Cyrl-RS" w:eastAsia="en-US"/>
        </w:rPr>
        <w:t>ти</w:t>
      </w:r>
      <w:r w:rsidRPr="0052271C">
        <w:rPr>
          <w:lang w:val="sr-Cyrl-RS" w:eastAsia="en-US"/>
        </w:rPr>
        <w:t xml:space="preserve"> преко Министарства и његовог представника у скупштини </w:t>
      </w:r>
      <w:r w:rsidR="000D6EFA" w:rsidRPr="0052271C">
        <w:rPr>
          <w:lang w:val="sr-Cyrl-RS" w:eastAsia="en-US"/>
        </w:rPr>
        <w:t>ПСРС</w:t>
      </w:r>
      <w:r w:rsidRPr="0052271C">
        <w:rPr>
          <w:lang w:val="sr-Cyrl-RS" w:eastAsia="en-US"/>
        </w:rPr>
        <w:t>.</w:t>
      </w:r>
      <w:r w:rsidRPr="0052271C">
        <w:rPr>
          <w:lang w:val="sr-Cyrl-RS"/>
        </w:rPr>
        <w:t xml:space="preserve"> </w:t>
      </w:r>
      <w:r w:rsidR="00182444" w:rsidRPr="0052271C">
        <w:rPr>
          <w:lang w:val="sr-Cyrl-RS" w:eastAsia="en-US"/>
        </w:rPr>
        <w:t>У</w:t>
      </w:r>
      <w:r w:rsidRPr="0052271C">
        <w:rPr>
          <w:lang w:val="sr-Cyrl-RS" w:eastAsia="en-US"/>
        </w:rPr>
        <w:t xml:space="preserve"> ПСРС </w:t>
      </w:r>
      <w:r w:rsidR="00182444" w:rsidRPr="0052271C">
        <w:rPr>
          <w:lang w:val="sr-Cyrl-RS" w:eastAsia="en-US"/>
        </w:rPr>
        <w:t xml:space="preserve">који </w:t>
      </w:r>
      <w:r w:rsidRPr="0052271C">
        <w:rPr>
          <w:lang w:val="sr-Cyrl-RS" w:eastAsia="en-US"/>
        </w:rPr>
        <w:t>имају недржавне акционаре/чланове, Република Србија је посвећена једнаком третману свих акционара/чланова, укључујући мањинске, у складу са Законом о привредним друштвима.</w:t>
      </w:r>
    </w:p>
    <w:p w14:paraId="732F6447" w14:textId="06D30FF2" w:rsidR="00C41750" w:rsidRPr="0052271C" w:rsidRDefault="00C41750" w:rsidP="00657C6E">
      <w:pPr>
        <w:pStyle w:val="CommentText"/>
        <w:spacing w:line="276" w:lineRule="auto"/>
        <w:ind w:firstLine="567"/>
        <w:jc w:val="both"/>
        <w:rPr>
          <w:rFonts w:ascii="Times New Roman" w:hAnsi="Times New Roman"/>
          <w:sz w:val="24"/>
          <w:szCs w:val="24"/>
          <w:lang w:val="sr-Cyrl-RS"/>
        </w:rPr>
      </w:pPr>
      <w:r w:rsidRPr="0052271C">
        <w:rPr>
          <w:rFonts w:ascii="Times New Roman" w:hAnsi="Times New Roman"/>
          <w:sz w:val="24"/>
          <w:szCs w:val="24"/>
          <w:lang w:val="sr-Cyrl-RS"/>
        </w:rPr>
        <w:t xml:space="preserve">Добра међународна пракса показује да сва </w:t>
      </w:r>
      <w:r w:rsidR="000D6EFA" w:rsidRPr="0052271C">
        <w:rPr>
          <w:rFonts w:ascii="Times New Roman" w:hAnsi="Times New Roman"/>
          <w:sz w:val="24"/>
          <w:szCs w:val="24"/>
          <w:lang w:val="sr-Cyrl-RS"/>
        </w:rPr>
        <w:t xml:space="preserve">друштва </w:t>
      </w:r>
      <w:r w:rsidR="009968B7" w:rsidRPr="0052271C">
        <w:rPr>
          <w:rFonts w:ascii="Times New Roman" w:hAnsi="Times New Roman"/>
          <w:sz w:val="24"/>
          <w:szCs w:val="24"/>
          <w:lang w:val="sr-Cyrl-RS"/>
        </w:rPr>
        <w:t xml:space="preserve">у којима је </w:t>
      </w:r>
      <w:r w:rsidR="000D6EFA" w:rsidRPr="0052271C">
        <w:rPr>
          <w:rFonts w:ascii="Times New Roman" w:hAnsi="Times New Roman"/>
          <w:sz w:val="24"/>
          <w:szCs w:val="24"/>
          <w:lang w:val="sr-Cyrl-RS"/>
        </w:rPr>
        <w:t>држава власник морају</w:t>
      </w:r>
      <w:r w:rsidRPr="0052271C">
        <w:rPr>
          <w:rFonts w:ascii="Times New Roman" w:hAnsi="Times New Roman"/>
          <w:sz w:val="24"/>
          <w:szCs w:val="24"/>
          <w:lang w:val="sr-Cyrl-RS"/>
        </w:rPr>
        <w:t xml:space="preserve"> имати надзорни одбор/одбор директора који сноси крајњу одговорност за њихов учинак.</w:t>
      </w:r>
      <w:r w:rsidRPr="0052271C">
        <w:rPr>
          <w:rFonts w:ascii="Times New Roman" w:hAnsi="Times New Roman"/>
          <w:bCs/>
          <w:iCs/>
          <w:sz w:val="24"/>
          <w:szCs w:val="24"/>
          <w:lang w:val="sr-Cyrl-RS"/>
        </w:rPr>
        <w:t xml:space="preserve"> Надзорни одбор/одбор директора треба да поседује неопходна овлашћења, способности и објективност за одређивање пословне стратегије, надзирање успеха менаџмента и промовисање ефикасног управљања ризицима</w:t>
      </w:r>
      <w:r w:rsidR="00354073" w:rsidRPr="0052271C">
        <w:rPr>
          <w:rFonts w:ascii="Times New Roman" w:hAnsi="Times New Roman"/>
          <w:bCs/>
          <w:iCs/>
          <w:sz w:val="24"/>
          <w:szCs w:val="24"/>
          <w:lang w:val="sr-Cyrl-RS"/>
        </w:rPr>
        <w:t>.</w:t>
      </w:r>
      <w:r w:rsidRPr="0052271C">
        <w:rPr>
          <w:rFonts w:ascii="Times New Roman" w:hAnsi="Times New Roman"/>
          <w:sz w:val="24"/>
          <w:szCs w:val="24"/>
          <w:lang w:val="sr-Cyrl-RS"/>
        </w:rPr>
        <w:t xml:space="preserve"> Надзорни одбор/одбор директора је у потпуности одговоран према држави као власнику и мора да поступа у најбољем интересу </w:t>
      </w:r>
      <w:r w:rsidR="000D6EFA" w:rsidRPr="0052271C">
        <w:rPr>
          <w:rFonts w:ascii="Times New Roman" w:hAnsi="Times New Roman"/>
          <w:sz w:val="24"/>
          <w:szCs w:val="24"/>
          <w:lang w:val="sr-Cyrl-RS"/>
        </w:rPr>
        <w:t>друштва</w:t>
      </w:r>
      <w:r w:rsidRPr="0052271C">
        <w:rPr>
          <w:rFonts w:ascii="Times New Roman" w:hAnsi="Times New Roman"/>
          <w:sz w:val="24"/>
          <w:szCs w:val="24"/>
          <w:lang w:val="sr-Cyrl-RS"/>
        </w:rPr>
        <w:t xml:space="preserve"> и на једнак начин поступа са свим акционарима/члановима (ако их има више).</w:t>
      </w:r>
    </w:p>
    <w:p w14:paraId="7C26DAFF" w14:textId="104E15F5" w:rsidR="00C41750" w:rsidRPr="0052271C" w:rsidRDefault="00C41750" w:rsidP="00657C6E">
      <w:pPr>
        <w:pStyle w:val="CommentText"/>
        <w:spacing w:line="276" w:lineRule="auto"/>
        <w:ind w:firstLine="567"/>
        <w:jc w:val="both"/>
        <w:rPr>
          <w:rFonts w:ascii="Times New Roman" w:hAnsi="Times New Roman"/>
          <w:sz w:val="24"/>
          <w:szCs w:val="24"/>
          <w:lang w:val="sr-Cyrl-RS"/>
        </w:rPr>
      </w:pPr>
      <w:r w:rsidRPr="0052271C">
        <w:rPr>
          <w:rFonts w:ascii="Times New Roman" w:hAnsi="Times New Roman"/>
          <w:sz w:val="24"/>
          <w:szCs w:val="24"/>
          <w:lang w:val="sr-Cyrl-RS"/>
        </w:rPr>
        <w:t>Величина и састав надзорног одбора/одбора директора треба да одр</w:t>
      </w:r>
      <w:r w:rsidR="00182444" w:rsidRPr="0052271C">
        <w:rPr>
          <w:rFonts w:ascii="Times New Roman" w:hAnsi="Times New Roman"/>
          <w:sz w:val="24"/>
          <w:szCs w:val="24"/>
          <w:lang w:val="sr-Cyrl-RS"/>
        </w:rPr>
        <w:t>а</w:t>
      </w:r>
      <w:r w:rsidRPr="0052271C">
        <w:rPr>
          <w:rFonts w:ascii="Times New Roman" w:hAnsi="Times New Roman"/>
          <w:sz w:val="24"/>
          <w:szCs w:val="24"/>
          <w:lang w:val="sr-Cyrl-RS"/>
        </w:rPr>
        <w:t>жава природу, обим и сложеност пословања друштва,  његових стратешких изазова и потреба. До тога би се дошло на основу резултата пажљиве анализе неопходних стручности и потребних вештина (по могућности изражене кроз матрицу компетенција).</w:t>
      </w:r>
    </w:p>
    <w:p w14:paraId="79AC555B" w14:textId="4A5A5747" w:rsidR="00C41750" w:rsidRPr="0052271C" w:rsidRDefault="009E0802" w:rsidP="00657C6E">
      <w:pPr>
        <w:spacing w:before="240" w:after="240" w:line="276" w:lineRule="auto"/>
        <w:ind w:firstLine="567"/>
        <w:jc w:val="both"/>
        <w:rPr>
          <w:lang w:val="sr-Cyrl-RS" w:eastAsia="en-US"/>
        </w:rPr>
      </w:pPr>
      <w:r w:rsidRPr="0052271C">
        <w:rPr>
          <w:lang w:val="sr-Cyrl-RS" w:eastAsia="en-US"/>
        </w:rPr>
        <w:t>Сходно томе, изменом правног оквира</w:t>
      </w:r>
      <w:r w:rsidR="00182444" w:rsidRPr="0052271C">
        <w:rPr>
          <w:lang w:val="sr-Cyrl-RS" w:eastAsia="en-US"/>
        </w:rPr>
        <w:t>,</w:t>
      </w:r>
      <w:r w:rsidRPr="0052271C">
        <w:rPr>
          <w:lang w:val="sr-Cyrl-RS" w:eastAsia="en-US"/>
        </w:rPr>
        <w:t xml:space="preserve"> </w:t>
      </w:r>
      <w:r w:rsidR="00182444" w:rsidRPr="0052271C">
        <w:rPr>
          <w:lang w:val="sr-Cyrl-RS" w:eastAsia="en-US"/>
        </w:rPr>
        <w:t xml:space="preserve">уредиће </w:t>
      </w:r>
      <w:r w:rsidRPr="0052271C">
        <w:rPr>
          <w:lang w:val="sr-Cyrl-RS" w:eastAsia="en-US"/>
        </w:rPr>
        <w:t>се</w:t>
      </w:r>
      <w:r w:rsidR="00C41750" w:rsidRPr="0052271C">
        <w:rPr>
          <w:lang w:val="sr-Cyrl-RS" w:eastAsia="en-US"/>
        </w:rPr>
        <w:t xml:space="preserve"> систем корп</w:t>
      </w:r>
      <w:r w:rsidR="008D4525" w:rsidRPr="0052271C">
        <w:rPr>
          <w:lang w:val="sr-Cyrl-RS" w:eastAsia="en-US"/>
        </w:rPr>
        <w:t>оративног управљања у свим ПСРС</w:t>
      </w:r>
      <w:r w:rsidR="00354073" w:rsidRPr="0052271C">
        <w:rPr>
          <w:lang w:val="sr-Cyrl-RS" w:eastAsia="en-US"/>
        </w:rPr>
        <w:t>,</w:t>
      </w:r>
      <w:r w:rsidR="008D4525" w:rsidRPr="0052271C">
        <w:rPr>
          <w:lang w:val="sr-Cyrl-RS" w:eastAsia="en-US"/>
        </w:rPr>
        <w:t xml:space="preserve"> а р</w:t>
      </w:r>
      <w:r w:rsidR="00C41750" w:rsidRPr="0052271C">
        <w:rPr>
          <w:lang w:val="sr-Cyrl-RS" w:eastAsia="en-US"/>
        </w:rPr>
        <w:t>ешења у новом закону треба да следе добру међународну праксу у погл</w:t>
      </w:r>
      <w:r w:rsidR="008D4525" w:rsidRPr="0052271C">
        <w:rPr>
          <w:lang w:val="sr-Cyrl-RS" w:eastAsia="en-US"/>
        </w:rPr>
        <w:t>еду одбора, к</w:t>
      </w:r>
      <w:r w:rsidR="00C41750" w:rsidRPr="0052271C">
        <w:rPr>
          <w:lang w:val="sr-Cyrl-RS" w:eastAsia="en-US"/>
        </w:rPr>
        <w:t>валификовано чланство које одбору доноси потребне вештине и стручност, већину чланова који су независни од руководства и пословних односа, ограничење броја чланова који представљају или су повезани са извршном влашћу државе, овлашћења и одговорност одбора да именује, бира, надгледа, оцењује и разрешава руководство.</w:t>
      </w:r>
    </w:p>
    <w:p w14:paraId="2CE02211" w14:textId="1DB882C1" w:rsidR="005E1097" w:rsidRPr="0052271C" w:rsidRDefault="006526E6" w:rsidP="00657C6E">
      <w:pPr>
        <w:pStyle w:val="NeAdnumber-level1"/>
        <w:numPr>
          <w:ilvl w:val="0"/>
          <w:numId w:val="0"/>
        </w:numPr>
        <w:spacing w:line="276" w:lineRule="auto"/>
        <w:ind w:firstLine="567"/>
        <w:rPr>
          <w:rFonts w:ascii="Times New Roman" w:hAnsi="Times New Roman" w:cs="Times New Roman"/>
          <w:sz w:val="24"/>
          <w:szCs w:val="24"/>
          <w:lang w:val="sr-Cyrl-RS"/>
        </w:rPr>
      </w:pPr>
      <w:r w:rsidRPr="0052271C">
        <w:rPr>
          <w:rFonts w:ascii="Times New Roman" w:hAnsi="Times New Roman" w:cs="Times New Roman"/>
          <w:b/>
          <w:sz w:val="24"/>
          <w:szCs w:val="24"/>
          <w:lang w:val="sr-Cyrl-RS"/>
        </w:rPr>
        <w:t>Директори:</w:t>
      </w:r>
      <w:r w:rsidRPr="0052271C">
        <w:rPr>
          <w:rFonts w:ascii="Times New Roman" w:hAnsi="Times New Roman" w:cs="Times New Roman"/>
          <w:sz w:val="24"/>
          <w:szCs w:val="24"/>
          <w:lang w:val="sr-Cyrl-RS"/>
        </w:rPr>
        <w:t xml:space="preserve"> </w:t>
      </w:r>
      <w:r w:rsidR="008D4525" w:rsidRPr="0052271C">
        <w:rPr>
          <w:rFonts w:ascii="Times New Roman" w:hAnsi="Times New Roman" w:cs="Times New Roman"/>
          <w:sz w:val="24"/>
          <w:szCs w:val="24"/>
          <w:lang w:val="sr-Cyrl-RS"/>
        </w:rPr>
        <w:t>Примери добре међународне праксе показују</w:t>
      </w:r>
      <w:r w:rsidR="005E1097" w:rsidRPr="0052271C">
        <w:rPr>
          <w:rFonts w:ascii="Times New Roman" w:hAnsi="Times New Roman" w:cs="Times New Roman"/>
          <w:sz w:val="24"/>
          <w:szCs w:val="24"/>
          <w:lang w:val="sr-Cyrl-RS"/>
        </w:rPr>
        <w:t xml:space="preserve"> да д</w:t>
      </w:r>
      <w:r w:rsidR="005E1097" w:rsidRPr="0052271C">
        <w:rPr>
          <w:rFonts w:ascii="Times New Roman" w:hAnsi="Times New Roman" w:cs="Times New Roman"/>
          <w:sz w:val="24"/>
          <w:szCs w:val="24"/>
          <w:lang w:val="sr-Cyrl-RS" w:eastAsia="en-GB"/>
        </w:rPr>
        <w:t xml:space="preserve">ржава не поставља вршиоца дужности директора за период који је дужи од </w:t>
      </w:r>
      <w:r w:rsidR="00182444" w:rsidRPr="0052271C">
        <w:rPr>
          <w:rFonts w:ascii="Times New Roman" w:hAnsi="Times New Roman" w:cs="Times New Roman"/>
          <w:sz w:val="24"/>
          <w:szCs w:val="24"/>
          <w:lang w:val="sr-Cyrl-RS" w:eastAsia="en-GB"/>
        </w:rPr>
        <w:t xml:space="preserve">шест </w:t>
      </w:r>
      <w:r w:rsidR="005E1097" w:rsidRPr="0052271C">
        <w:rPr>
          <w:rFonts w:ascii="Times New Roman" w:hAnsi="Times New Roman" w:cs="Times New Roman"/>
          <w:sz w:val="24"/>
          <w:szCs w:val="24"/>
          <w:lang w:val="sr-Cyrl-RS" w:eastAsia="en-GB"/>
        </w:rPr>
        <w:t>месеци</w:t>
      </w:r>
      <w:r w:rsidR="00182444" w:rsidRPr="0052271C">
        <w:rPr>
          <w:rFonts w:ascii="Times New Roman" w:hAnsi="Times New Roman" w:cs="Times New Roman"/>
          <w:sz w:val="24"/>
          <w:szCs w:val="24"/>
          <w:lang w:val="sr-Cyrl-RS" w:eastAsia="en-GB"/>
        </w:rPr>
        <w:t>,</w:t>
      </w:r>
      <w:r w:rsidR="005E1097" w:rsidRPr="0052271C">
        <w:rPr>
          <w:rFonts w:ascii="Times New Roman" w:hAnsi="Times New Roman" w:cs="Times New Roman"/>
          <w:sz w:val="24"/>
          <w:szCs w:val="24"/>
          <w:lang w:val="sr-Cyrl-RS" w:eastAsia="en-GB"/>
        </w:rPr>
        <w:t xml:space="preserve"> као решење у случају хитне кадровске обнове.</w:t>
      </w:r>
      <w:r w:rsidR="005E1097" w:rsidRPr="0052271C">
        <w:rPr>
          <w:rFonts w:ascii="Times New Roman" w:hAnsi="Times New Roman" w:cs="Times New Roman"/>
          <w:sz w:val="24"/>
          <w:szCs w:val="24"/>
          <w:lang w:val="sr-Cyrl-RS"/>
        </w:rPr>
        <w:t xml:space="preserve"> Скупштина (у једнодомном систему)</w:t>
      </w:r>
      <w:r w:rsidR="00354073" w:rsidRPr="0052271C">
        <w:rPr>
          <w:rFonts w:ascii="Times New Roman" w:hAnsi="Times New Roman" w:cs="Times New Roman"/>
          <w:sz w:val="24"/>
          <w:szCs w:val="24"/>
          <w:lang w:val="sr-Cyrl-RS"/>
        </w:rPr>
        <w:t>,</w:t>
      </w:r>
      <w:r w:rsidR="005E1097" w:rsidRPr="0052271C">
        <w:rPr>
          <w:rFonts w:ascii="Times New Roman" w:hAnsi="Times New Roman" w:cs="Times New Roman"/>
          <w:sz w:val="24"/>
          <w:szCs w:val="24"/>
          <w:lang w:val="sr-Cyrl-RS"/>
        </w:rPr>
        <w:t xml:space="preserve"> односно надзорни одбор (у дводомном систему) су обавезни да изаберу директора правовремено и </w:t>
      </w:r>
      <w:r w:rsidR="00354073" w:rsidRPr="0052271C">
        <w:rPr>
          <w:rFonts w:ascii="Times New Roman" w:hAnsi="Times New Roman" w:cs="Times New Roman"/>
          <w:sz w:val="24"/>
          <w:szCs w:val="24"/>
          <w:lang w:val="sr-Cyrl-RS"/>
        </w:rPr>
        <w:t xml:space="preserve">да </w:t>
      </w:r>
      <w:r w:rsidR="005E1097" w:rsidRPr="0052271C">
        <w:rPr>
          <w:rFonts w:ascii="Times New Roman" w:hAnsi="Times New Roman" w:cs="Times New Roman"/>
          <w:sz w:val="24"/>
          <w:szCs w:val="24"/>
          <w:lang w:val="sr-Cyrl-RS"/>
        </w:rPr>
        <w:t>не дозволе ситуације у којима је мандат директора истекао или директор не може више да врши своје дужности.</w:t>
      </w:r>
    </w:p>
    <w:p w14:paraId="2D87B082" w14:textId="3523D3BB" w:rsidR="005E1097" w:rsidRPr="0052271C" w:rsidRDefault="005E1097" w:rsidP="00657C6E">
      <w:pPr>
        <w:spacing w:before="240" w:after="240" w:line="276" w:lineRule="auto"/>
        <w:ind w:firstLine="567"/>
        <w:jc w:val="both"/>
        <w:rPr>
          <w:lang w:val="sr-Cyrl-RS" w:eastAsia="en-US"/>
        </w:rPr>
      </w:pPr>
      <w:r w:rsidRPr="0052271C">
        <w:rPr>
          <w:lang w:val="sr-Cyrl-RS" w:eastAsia="en-US"/>
        </w:rPr>
        <w:t xml:space="preserve">Сходно наведеном, потребно је напустити тренутну праксу именовања вршилаца дужности директора </w:t>
      </w:r>
      <w:r w:rsidR="00182444" w:rsidRPr="0052271C">
        <w:rPr>
          <w:lang w:val="sr-Cyrl-RS" w:eastAsia="en-US"/>
        </w:rPr>
        <w:t>на период дужи од</w:t>
      </w:r>
      <w:r w:rsidRPr="0052271C">
        <w:rPr>
          <w:lang w:val="sr-Cyrl-RS" w:eastAsia="en-US"/>
        </w:rPr>
        <w:t xml:space="preserve"> годину дана. Такве промене ће се најбоље постићи усвајањем новог закона који</w:t>
      </w:r>
      <w:r w:rsidR="00182444" w:rsidRPr="0052271C">
        <w:rPr>
          <w:lang w:val="sr-Cyrl-RS" w:eastAsia="en-US"/>
        </w:rPr>
        <w:t>м</w:t>
      </w:r>
      <w:r w:rsidRPr="0052271C">
        <w:rPr>
          <w:lang w:val="sr-Cyrl-RS" w:eastAsia="en-US"/>
        </w:rPr>
        <w:t xml:space="preserve"> ће </w:t>
      </w:r>
      <w:r w:rsidR="00182444" w:rsidRPr="0052271C">
        <w:rPr>
          <w:lang w:val="sr-Cyrl-RS" w:eastAsia="en-US"/>
        </w:rPr>
        <w:t xml:space="preserve">се уредити </w:t>
      </w:r>
      <w:r w:rsidRPr="0052271C">
        <w:rPr>
          <w:lang w:val="sr-Cyrl-RS" w:eastAsia="en-US"/>
        </w:rPr>
        <w:t>питања корпоративног управљања у свим ПСРС. Поред тога, потребно је да Министарство</w:t>
      </w:r>
      <w:r w:rsidR="00D91501" w:rsidRPr="0052271C">
        <w:rPr>
          <w:lang w:val="sr-Cyrl-RS" w:eastAsia="en-US"/>
        </w:rPr>
        <w:t xml:space="preserve"> развије и одржава базу</w:t>
      </w:r>
      <w:r w:rsidRPr="0052271C">
        <w:rPr>
          <w:lang w:val="sr-Cyrl-RS" w:eastAsia="en-US"/>
        </w:rPr>
        <w:t xml:space="preserve"> података кандидата за директоре и </w:t>
      </w:r>
      <w:r w:rsidR="000468B8" w:rsidRPr="0052271C">
        <w:rPr>
          <w:lang w:val="sr-Cyrl-RS" w:eastAsia="en-US"/>
        </w:rPr>
        <w:t xml:space="preserve">базу података </w:t>
      </w:r>
      <w:r w:rsidRPr="0052271C">
        <w:rPr>
          <w:lang w:val="sr-Cyrl-RS" w:eastAsia="en-US"/>
        </w:rPr>
        <w:t xml:space="preserve">именованих директора. </w:t>
      </w:r>
    </w:p>
    <w:p w14:paraId="224B3F71" w14:textId="1BEA81BB" w:rsidR="006526E6" w:rsidRPr="0052271C" w:rsidRDefault="006526E6" w:rsidP="00657C6E">
      <w:pPr>
        <w:pStyle w:val="CommentText"/>
        <w:spacing w:line="276" w:lineRule="auto"/>
        <w:ind w:firstLine="567"/>
        <w:jc w:val="both"/>
        <w:rPr>
          <w:rFonts w:ascii="Times New Roman" w:hAnsi="Times New Roman"/>
          <w:bCs/>
          <w:sz w:val="24"/>
          <w:szCs w:val="24"/>
          <w:lang w:val="sr-Cyrl-RS"/>
        </w:rPr>
      </w:pPr>
      <w:r w:rsidRPr="0052271C">
        <w:rPr>
          <w:rFonts w:ascii="Times New Roman" w:hAnsi="Times New Roman"/>
          <w:b/>
          <w:sz w:val="24"/>
          <w:szCs w:val="24"/>
          <w:lang w:val="sr-Cyrl-RS"/>
        </w:rPr>
        <w:t>Комисије:</w:t>
      </w:r>
      <w:r w:rsidRPr="0052271C">
        <w:rPr>
          <w:rFonts w:ascii="Times New Roman" w:hAnsi="Times New Roman"/>
          <w:sz w:val="24"/>
          <w:szCs w:val="24"/>
          <w:lang w:val="sr-Cyrl-RS"/>
        </w:rPr>
        <w:t xml:space="preserve"> Добра међународна пракса показује да </w:t>
      </w:r>
      <w:r w:rsidR="000D6EFA" w:rsidRPr="0052271C">
        <w:rPr>
          <w:rFonts w:ascii="Times New Roman" w:hAnsi="Times New Roman"/>
          <w:sz w:val="24"/>
          <w:szCs w:val="24"/>
          <w:lang w:val="sr-Cyrl-RS"/>
        </w:rPr>
        <w:t xml:space="preserve">друштва у којима је држава власник </w:t>
      </w:r>
      <w:r w:rsidRPr="0052271C">
        <w:rPr>
          <w:rFonts w:ascii="Times New Roman" w:hAnsi="Times New Roman"/>
          <w:bCs/>
          <w:sz w:val="24"/>
          <w:szCs w:val="24"/>
          <w:lang w:val="sr-Cyrl-RS"/>
        </w:rPr>
        <w:t>имају комисију за ревизију, комисију за именовања и комисију за накнаде као комисије надзорног одбора/одбора директора, осим ако</w:t>
      </w:r>
      <w:r w:rsidR="000D6EFA" w:rsidRPr="0052271C">
        <w:rPr>
          <w:rFonts w:ascii="Times New Roman" w:hAnsi="Times New Roman"/>
          <w:bCs/>
          <w:sz w:val="24"/>
          <w:szCs w:val="24"/>
          <w:lang w:val="sr-Cyrl-RS"/>
        </w:rPr>
        <w:t xml:space="preserve"> њихова</w:t>
      </w:r>
      <w:r w:rsidRPr="0052271C">
        <w:rPr>
          <w:rFonts w:ascii="Times New Roman" w:hAnsi="Times New Roman"/>
          <w:bCs/>
          <w:sz w:val="24"/>
          <w:szCs w:val="24"/>
          <w:lang w:val="sr-Cyrl-RS"/>
        </w:rPr>
        <w:t xml:space="preserve"> величина и сложеност не захтева постојање ових комисија. </w:t>
      </w:r>
    </w:p>
    <w:p w14:paraId="2D9BF3A4" w14:textId="3A7E7910" w:rsidR="00C75D89" w:rsidRPr="0052271C" w:rsidRDefault="006526E6" w:rsidP="007A09D5">
      <w:pPr>
        <w:spacing w:before="240" w:after="240" w:line="276" w:lineRule="auto"/>
        <w:ind w:firstLine="567"/>
        <w:jc w:val="both"/>
        <w:rPr>
          <w:lang w:val="sr-Cyrl-RS" w:eastAsia="en-US"/>
        </w:rPr>
      </w:pPr>
      <w:r w:rsidRPr="0052271C">
        <w:rPr>
          <w:b/>
          <w:lang w:val="sr-Cyrl-RS" w:eastAsia="en-US"/>
        </w:rPr>
        <w:lastRenderedPageBreak/>
        <w:t>Интерна ревизија</w:t>
      </w:r>
      <w:r w:rsidRPr="0052271C">
        <w:rPr>
          <w:lang w:val="sr-Cyrl-RS" w:eastAsia="en-US"/>
        </w:rPr>
        <w:t xml:space="preserve">: </w:t>
      </w:r>
      <w:r w:rsidR="005D6A60" w:rsidRPr="0052271C">
        <w:rPr>
          <w:lang w:val="sr-Cyrl-RS"/>
        </w:rPr>
        <w:t>Потребно је отклонити слабости изменом правног оквира који ће регулисати корпоративно управљање у свим ПСРС,  где ће бити д</w:t>
      </w:r>
      <w:r w:rsidR="00C75D89" w:rsidRPr="0052271C">
        <w:rPr>
          <w:lang w:val="sr-Cyrl-RS"/>
        </w:rPr>
        <w:t>одатно уређена</w:t>
      </w:r>
      <w:r w:rsidR="005D6A60" w:rsidRPr="0052271C">
        <w:rPr>
          <w:lang w:val="sr-Cyrl-RS"/>
        </w:rPr>
        <w:t xml:space="preserve"> обавеза интерне ревизије у </w:t>
      </w:r>
      <w:r w:rsidR="00A36BB7" w:rsidRPr="0052271C">
        <w:rPr>
          <w:lang w:val="sr-Cyrl-RS"/>
        </w:rPr>
        <w:t>ПСРС</w:t>
      </w:r>
      <w:r w:rsidR="005D6A60" w:rsidRPr="0052271C">
        <w:rPr>
          <w:lang w:val="sr-Cyrl-RS"/>
        </w:rPr>
        <w:t xml:space="preserve">. Везано за управљање ризицима, Министарство </w:t>
      </w:r>
      <w:r w:rsidR="00A36BB7" w:rsidRPr="0052271C">
        <w:rPr>
          <w:lang w:val="sr-Cyrl-RS"/>
        </w:rPr>
        <w:t>треба да подстакне велик</w:t>
      </w:r>
      <w:r w:rsidR="007D70EE" w:rsidRPr="0052271C">
        <w:rPr>
          <w:lang w:val="sr-Cyrl-RS"/>
        </w:rPr>
        <w:t>е</w:t>
      </w:r>
      <w:r w:rsidR="005D6A60" w:rsidRPr="0052271C">
        <w:rPr>
          <w:lang w:val="sr-Cyrl-RS"/>
        </w:rPr>
        <w:t xml:space="preserve"> </w:t>
      </w:r>
      <w:r w:rsidR="00A36BB7" w:rsidRPr="0052271C">
        <w:rPr>
          <w:lang w:val="sr-Cyrl-RS"/>
        </w:rPr>
        <w:t xml:space="preserve">ПСРС </w:t>
      </w:r>
      <w:r w:rsidR="005D6A60" w:rsidRPr="0052271C">
        <w:rPr>
          <w:lang w:val="sr-Cyrl-RS"/>
        </w:rPr>
        <w:t>да имају засебну функцију управљања ризицима.</w:t>
      </w:r>
    </w:p>
    <w:p w14:paraId="26F0B11A" w14:textId="0EB14F16" w:rsidR="00585612" w:rsidRPr="0052271C" w:rsidRDefault="006526E6" w:rsidP="00E66320">
      <w:pPr>
        <w:spacing w:line="276" w:lineRule="auto"/>
        <w:ind w:firstLine="567"/>
        <w:jc w:val="both"/>
        <w:rPr>
          <w:lang w:val="sr-Cyrl-RS" w:eastAsia="en-US"/>
        </w:rPr>
      </w:pPr>
      <w:r w:rsidRPr="0052271C">
        <w:rPr>
          <w:b/>
          <w:lang w:val="sr-Cyrl-RS" w:eastAsia="en-US"/>
        </w:rPr>
        <w:t>Екстерна ревизија</w:t>
      </w:r>
      <w:r w:rsidRPr="0052271C">
        <w:rPr>
          <w:lang w:val="sr-Cyrl-RS" w:eastAsia="en-US"/>
        </w:rPr>
        <w:t xml:space="preserve">: </w:t>
      </w:r>
      <w:r w:rsidR="00585612" w:rsidRPr="0052271C">
        <w:rPr>
          <w:lang w:val="sr-Cyrl-RS" w:eastAsia="en-US"/>
        </w:rPr>
        <w:t>Успостављање уједначеног система екстерне ревизије кроз нове акте који ће регулисати корпоративно управљање у ПСРС, чиме ће се уредити да ревизорске куће са адекватним капацитетима врше ревизију у ПСРС.</w:t>
      </w:r>
    </w:p>
    <w:p w14:paraId="4333A7E7" w14:textId="77777777" w:rsidR="00E50D23" w:rsidRPr="0052271C" w:rsidRDefault="00E50D23" w:rsidP="00E66320">
      <w:pPr>
        <w:spacing w:line="276" w:lineRule="auto"/>
        <w:ind w:firstLine="567"/>
        <w:jc w:val="both"/>
        <w:rPr>
          <w:lang w:val="sr-Cyrl-RS" w:eastAsia="en-US"/>
        </w:rPr>
      </w:pPr>
    </w:p>
    <w:p w14:paraId="5464A3C4" w14:textId="70857470" w:rsidR="001F32A0" w:rsidRPr="0052271C" w:rsidRDefault="001F32A0" w:rsidP="00E66320">
      <w:pPr>
        <w:spacing w:line="276" w:lineRule="auto"/>
        <w:ind w:firstLine="567"/>
        <w:jc w:val="both"/>
        <w:rPr>
          <w:lang w:val="sr-Cyrl-RS" w:eastAsia="en-US"/>
        </w:rPr>
      </w:pPr>
      <w:r w:rsidRPr="0052271C">
        <w:rPr>
          <w:lang w:val="sr-Cyrl-RS" w:eastAsia="en-US"/>
        </w:rPr>
        <w:t>Мера 2:</w:t>
      </w:r>
      <w:r w:rsidR="006526E6" w:rsidRPr="0052271C">
        <w:rPr>
          <w:lang w:val="sr-Cyrl-RS" w:eastAsia="en-US"/>
        </w:rPr>
        <w:t xml:space="preserve"> Креирање</w:t>
      </w:r>
      <w:r w:rsidRPr="0052271C">
        <w:rPr>
          <w:lang w:val="sr-Cyrl-RS" w:eastAsia="en-US"/>
        </w:rPr>
        <w:t xml:space="preserve"> политик</w:t>
      </w:r>
      <w:r w:rsidR="006526E6" w:rsidRPr="0052271C">
        <w:rPr>
          <w:lang w:val="sr-Cyrl-RS" w:eastAsia="en-US"/>
        </w:rPr>
        <w:t>е</w:t>
      </w:r>
      <w:r w:rsidRPr="0052271C">
        <w:rPr>
          <w:lang w:val="sr-Cyrl-RS" w:eastAsia="en-US"/>
        </w:rPr>
        <w:t xml:space="preserve"> обелодањивања информација ПСРС</w:t>
      </w:r>
    </w:p>
    <w:p w14:paraId="4AD0E000" w14:textId="77777777" w:rsidR="00E50D23" w:rsidRPr="0052271C" w:rsidRDefault="00E50D23" w:rsidP="00E66320">
      <w:pPr>
        <w:spacing w:line="276" w:lineRule="auto"/>
        <w:ind w:firstLine="567"/>
        <w:jc w:val="both"/>
        <w:rPr>
          <w:lang w:val="sr-Cyrl-RS" w:eastAsia="en-US"/>
        </w:rPr>
      </w:pPr>
    </w:p>
    <w:p w14:paraId="03E9FA93" w14:textId="77777777" w:rsidR="000D6EFA" w:rsidRPr="0052271C" w:rsidRDefault="00B8569D" w:rsidP="00E66320">
      <w:pPr>
        <w:spacing w:line="276" w:lineRule="auto"/>
        <w:ind w:firstLine="567"/>
        <w:jc w:val="both"/>
        <w:rPr>
          <w:lang w:val="sr-Cyrl-RS" w:eastAsia="en-US"/>
        </w:rPr>
      </w:pPr>
      <w:r w:rsidRPr="0052271C">
        <w:rPr>
          <w:lang w:val="sr-Cyrl-RS" w:eastAsia="en-US"/>
        </w:rPr>
        <w:t xml:space="preserve">Најбоље међународне праксе показују да би држава требало да креира политику обелодањивања информација за </w:t>
      </w:r>
      <w:r w:rsidR="000D6EFA" w:rsidRPr="0052271C">
        <w:rPr>
          <w:lang w:val="sr-Cyrl-RS" w:eastAsia="en-US"/>
        </w:rPr>
        <w:t xml:space="preserve">друштва у којима је држава власник </w:t>
      </w:r>
      <w:r w:rsidRPr="0052271C">
        <w:rPr>
          <w:lang w:val="sr-Cyrl-RS" w:eastAsia="en-US"/>
        </w:rPr>
        <w:t>која прецизно одређује информације које се објављују, канале и механизме за гарантовање информација високог квалитета.</w:t>
      </w:r>
      <w:r w:rsidRPr="0052271C">
        <w:rPr>
          <w:vertAlign w:val="superscript"/>
          <w:lang w:val="sr-Cyrl-RS" w:eastAsia="en-US"/>
        </w:rPr>
        <w:footnoteReference w:id="34"/>
      </w:r>
      <w:r w:rsidRPr="0052271C">
        <w:rPr>
          <w:lang w:val="sr-Cyrl-RS" w:eastAsia="en-US"/>
        </w:rPr>
        <w:t xml:space="preserve"> Претпоставља се да би таква политика обезбедила различите захтеве за </w:t>
      </w:r>
      <w:r w:rsidR="000D6EFA" w:rsidRPr="0052271C">
        <w:rPr>
          <w:lang w:val="sr-Cyrl-RS" w:eastAsia="en-US"/>
        </w:rPr>
        <w:t xml:space="preserve">друштва у којима је држава власник </w:t>
      </w:r>
      <w:r w:rsidRPr="0052271C">
        <w:rPr>
          <w:lang w:val="sr-Cyrl-RS" w:eastAsia="en-US"/>
        </w:rPr>
        <w:t xml:space="preserve">чије се хартије од вредности котирају на берзи и она која се не котирају. </w:t>
      </w:r>
    </w:p>
    <w:p w14:paraId="0F43BC5A" w14:textId="4A7CEF3E" w:rsidR="000D6EFA" w:rsidRPr="0052271C" w:rsidRDefault="00B8569D" w:rsidP="000D6EFA">
      <w:pPr>
        <w:spacing w:before="240" w:after="240" w:line="276" w:lineRule="auto"/>
        <w:ind w:firstLine="567"/>
        <w:jc w:val="both"/>
        <w:rPr>
          <w:lang w:val="sr-Cyrl-RS" w:eastAsia="en-US"/>
        </w:rPr>
      </w:pPr>
      <w:r w:rsidRPr="0052271C">
        <w:rPr>
          <w:lang w:val="sr-Cyrl-RS" w:eastAsia="en-US"/>
        </w:rPr>
        <w:t xml:space="preserve">У погледу очекивања за обелодањивањем информација </w:t>
      </w:r>
      <w:r w:rsidR="000D6EFA" w:rsidRPr="0052271C">
        <w:rPr>
          <w:lang w:val="sr-Cyrl-RS" w:eastAsia="en-US"/>
        </w:rPr>
        <w:t>тих друштава</w:t>
      </w:r>
      <w:r w:rsidRPr="0052271C">
        <w:rPr>
          <w:lang w:val="sr-Cyrl-RS" w:eastAsia="en-US"/>
        </w:rPr>
        <w:t>, Смернице ОЕЦД предвиђају да „</w:t>
      </w:r>
      <w:r w:rsidR="000D6EFA" w:rsidRPr="0052271C">
        <w:rPr>
          <w:lang w:val="sr-Cyrl-RS" w:eastAsia="en-US"/>
        </w:rPr>
        <w:t>друштва у којима је држава власник</w:t>
      </w:r>
      <w:r w:rsidRPr="0052271C">
        <w:rPr>
          <w:lang w:val="sr-Cyrl-RS" w:eastAsia="en-US"/>
        </w:rPr>
        <w:t xml:space="preserve"> треба да извештавају о</w:t>
      </w:r>
      <w:r w:rsidR="00C41DAB" w:rsidRPr="0052271C">
        <w:rPr>
          <w:lang w:val="sr-Cyrl-RS" w:eastAsia="en-US"/>
        </w:rPr>
        <w:t xml:space="preserve"> материјалним финансијским и не</w:t>
      </w:r>
      <w:r w:rsidRPr="0052271C">
        <w:rPr>
          <w:lang w:val="sr-Cyrl-RS" w:eastAsia="en-US"/>
        </w:rPr>
        <w:t xml:space="preserve">финансијским информацијама о </w:t>
      </w:r>
      <w:r w:rsidR="000D6EFA" w:rsidRPr="0052271C">
        <w:rPr>
          <w:lang w:val="sr-Cyrl-RS" w:eastAsia="en-US"/>
        </w:rPr>
        <w:t>друштву</w:t>
      </w:r>
      <w:r w:rsidRPr="0052271C">
        <w:rPr>
          <w:lang w:val="sr-Cyrl-RS" w:eastAsia="en-US"/>
        </w:rPr>
        <w:t xml:space="preserve"> у складу са висококвалитетним међународно признатим стандардима корпоративног обелодањивања информација, укључујући подручја од великог значаја за државу као власника и ширу јавност</w:t>
      </w:r>
      <w:r w:rsidRPr="0052271C">
        <w:rPr>
          <w:iCs/>
          <w:lang w:val="sr-Cyrl-RS" w:eastAsia="en-US"/>
        </w:rPr>
        <w:t xml:space="preserve">. </w:t>
      </w:r>
      <w:r w:rsidRPr="0052271C">
        <w:rPr>
          <w:lang w:val="sr-Cyrl-RS" w:eastAsia="en-US"/>
        </w:rPr>
        <w:t xml:space="preserve">То нарочито укључује активности </w:t>
      </w:r>
      <w:r w:rsidR="000D6EFA" w:rsidRPr="0052271C">
        <w:rPr>
          <w:lang w:val="sr-Cyrl-RS" w:eastAsia="en-US"/>
        </w:rPr>
        <w:t xml:space="preserve">тих друштава </w:t>
      </w:r>
      <w:r w:rsidRPr="0052271C">
        <w:rPr>
          <w:lang w:val="sr-Cyrl-RS" w:eastAsia="en-US"/>
        </w:rPr>
        <w:t>које се спроводе у јавном интересу.</w:t>
      </w:r>
      <w:r w:rsidR="00927F30" w:rsidRPr="0052271C">
        <w:rPr>
          <w:szCs w:val="22"/>
          <w:lang w:val="sr-Cyrl-RS" w:eastAsia="en-US"/>
        </w:rPr>
        <w:t>ˮ</w:t>
      </w:r>
      <w:r w:rsidRPr="0052271C">
        <w:rPr>
          <w:vertAlign w:val="superscript"/>
          <w:lang w:val="sr-Cyrl-RS" w:eastAsia="en-US"/>
        </w:rPr>
        <w:footnoteReference w:id="35"/>
      </w:r>
      <w:r w:rsidRPr="0052271C">
        <w:rPr>
          <w:lang w:val="sr-Cyrl-RS" w:eastAsia="en-US"/>
        </w:rPr>
        <w:t>. Све одабране упоредне јурисдикције предвиђају политике транспарентности.</w:t>
      </w:r>
      <w:r w:rsidR="000D6EFA" w:rsidRPr="0052271C">
        <w:rPr>
          <w:lang w:val="sr-Cyrl-RS" w:eastAsia="en-US"/>
        </w:rPr>
        <w:t xml:space="preserve"> Очекивања државе везана за објављивање информација прилагођена су у односу на то да ли обављају</w:t>
      </w:r>
      <w:r w:rsidR="00354073" w:rsidRPr="0052271C">
        <w:rPr>
          <w:lang w:val="sr-Cyrl-RS" w:eastAsia="en-US"/>
        </w:rPr>
        <w:t>:</w:t>
      </w:r>
      <w:r w:rsidR="000D6EFA" w:rsidRPr="0052271C">
        <w:rPr>
          <w:lang w:val="sr-Cyrl-RS" w:eastAsia="en-US"/>
        </w:rPr>
        <w:t xml:space="preserve"> 1) ч</w:t>
      </w:r>
      <w:r w:rsidR="00C44EA1" w:rsidRPr="0052271C">
        <w:rPr>
          <w:lang w:val="sr-Cyrl-RS" w:eastAsia="en-US"/>
        </w:rPr>
        <w:t>исто комерцијалне активности,</w:t>
      </w:r>
      <w:r w:rsidR="000D6EFA" w:rsidRPr="0052271C">
        <w:rPr>
          <w:lang w:val="sr-Cyrl-RS" w:eastAsia="en-US"/>
        </w:rPr>
        <w:t xml:space="preserve"> 2) мешовите (ко</w:t>
      </w:r>
      <w:r w:rsidR="00C44EA1" w:rsidRPr="0052271C">
        <w:rPr>
          <w:lang w:val="sr-Cyrl-RS" w:eastAsia="en-US"/>
        </w:rPr>
        <w:t>мерцијалне и некомерцијалне) или 3)</w:t>
      </w:r>
      <w:r w:rsidR="000D6EFA" w:rsidRPr="0052271C">
        <w:rPr>
          <w:lang w:val="sr-Cyrl-RS" w:eastAsia="en-US"/>
        </w:rPr>
        <w:t xml:space="preserve"> некомерцијалне активности. </w:t>
      </w:r>
    </w:p>
    <w:p w14:paraId="22272F2A" w14:textId="1D8498CD" w:rsidR="00D23B49" w:rsidRPr="0052271C" w:rsidRDefault="001F32A0" w:rsidP="00037431">
      <w:pPr>
        <w:spacing w:before="240" w:after="240" w:line="276" w:lineRule="auto"/>
        <w:ind w:firstLine="567"/>
        <w:jc w:val="both"/>
        <w:rPr>
          <w:lang w:val="sr-Cyrl-RS" w:eastAsia="en-US"/>
        </w:rPr>
      </w:pPr>
      <w:r w:rsidRPr="0052271C">
        <w:rPr>
          <w:lang w:val="sr-Cyrl-RS" w:eastAsia="en-US"/>
        </w:rPr>
        <w:t xml:space="preserve">ПСРС ће се придржавати обавеза о објављивању информација, које ће бити прописане </w:t>
      </w:r>
      <w:r w:rsidR="00B8569D" w:rsidRPr="0052271C">
        <w:rPr>
          <w:lang w:val="sr-Cyrl-RS" w:eastAsia="en-US"/>
        </w:rPr>
        <w:t xml:space="preserve">правним оквиром </w:t>
      </w:r>
      <w:r w:rsidRPr="0052271C">
        <w:rPr>
          <w:lang w:val="sr-Cyrl-RS" w:eastAsia="en-US"/>
        </w:rPr>
        <w:t xml:space="preserve">који ће уређивати корпоративно управљање. Поред уобичајених квантитативних података (нпр. добит) </w:t>
      </w:r>
      <w:r w:rsidR="000C4192" w:rsidRPr="0052271C">
        <w:rPr>
          <w:lang w:val="sr-Cyrl-RS" w:eastAsia="en-US"/>
        </w:rPr>
        <w:t>објављиваће</w:t>
      </w:r>
      <w:r w:rsidRPr="0052271C">
        <w:rPr>
          <w:lang w:val="sr-Cyrl-RS" w:eastAsia="en-US"/>
        </w:rPr>
        <w:t xml:space="preserve"> се и информације које су у већој мери квалитативне природе, што укључује и информације о корпоративном управљању.</w:t>
      </w:r>
    </w:p>
    <w:p w14:paraId="4BA79E31" w14:textId="35F30227" w:rsidR="00D23B49" w:rsidRPr="0052271C" w:rsidRDefault="001F32A0" w:rsidP="00354073">
      <w:pPr>
        <w:spacing w:line="276" w:lineRule="auto"/>
        <w:ind w:firstLine="567"/>
        <w:jc w:val="both"/>
        <w:rPr>
          <w:lang w:val="sr-Cyrl-RS"/>
        </w:rPr>
      </w:pPr>
      <w:r w:rsidRPr="0052271C">
        <w:rPr>
          <w:lang w:val="sr-Cyrl-RS"/>
        </w:rPr>
        <w:t>Мера 3: Дефин</w:t>
      </w:r>
      <w:r w:rsidR="00B8569D" w:rsidRPr="0052271C">
        <w:rPr>
          <w:lang w:val="sr-Cyrl-RS"/>
        </w:rPr>
        <w:t>исање циљева пословања и кључних</w:t>
      </w:r>
      <w:r w:rsidRPr="0052271C">
        <w:rPr>
          <w:lang w:val="sr-Cyrl-RS"/>
        </w:rPr>
        <w:t xml:space="preserve"> </w:t>
      </w:r>
      <w:r w:rsidR="00831B67" w:rsidRPr="0052271C">
        <w:rPr>
          <w:lang w:val="sr-Cyrl-RS"/>
        </w:rPr>
        <w:t>показатеља</w:t>
      </w:r>
      <w:r w:rsidRPr="0052271C">
        <w:rPr>
          <w:lang w:val="sr-Cyrl-RS"/>
        </w:rPr>
        <w:t xml:space="preserve"> успеха за свак</w:t>
      </w:r>
      <w:r w:rsidR="007D70EE" w:rsidRPr="0052271C">
        <w:rPr>
          <w:lang w:val="sr-Cyrl-RS"/>
        </w:rPr>
        <w:t>и</w:t>
      </w:r>
      <w:r w:rsidRPr="0052271C">
        <w:rPr>
          <w:lang w:val="sr-Cyrl-RS"/>
        </w:rPr>
        <w:t xml:space="preserve"> ПСРС кроз писма очекивања</w:t>
      </w:r>
    </w:p>
    <w:p w14:paraId="22E59DA0" w14:textId="7323A133" w:rsidR="00657C6E" w:rsidRPr="0052271C" w:rsidRDefault="0011184F" w:rsidP="00D23B49">
      <w:pPr>
        <w:pStyle w:val="NeAdnumber-level1"/>
        <w:numPr>
          <w:ilvl w:val="0"/>
          <w:numId w:val="0"/>
        </w:numPr>
        <w:spacing w:before="0" w:after="0" w:line="276" w:lineRule="auto"/>
        <w:ind w:firstLine="567"/>
        <w:rPr>
          <w:rFonts w:ascii="Times New Roman" w:hAnsi="Times New Roman" w:cs="Times New Roman"/>
          <w:sz w:val="24"/>
          <w:szCs w:val="24"/>
          <w:lang w:val="sr-Cyrl-RS"/>
        </w:rPr>
      </w:pPr>
      <w:r w:rsidRPr="0052271C">
        <w:rPr>
          <w:rFonts w:ascii="Times New Roman" w:hAnsi="Times New Roman" w:cs="Times New Roman"/>
          <w:sz w:val="24"/>
          <w:szCs w:val="24"/>
          <w:lang w:val="sr-Cyrl-RS"/>
        </w:rPr>
        <w:t>Примери добре међународне праксе указују да су  циљеви друштава дефинисани путем</w:t>
      </w:r>
      <w:r w:rsidR="00657C6E" w:rsidRPr="0052271C">
        <w:rPr>
          <w:rFonts w:ascii="Times New Roman" w:hAnsi="Times New Roman" w:cs="Times New Roman"/>
          <w:sz w:val="24"/>
          <w:szCs w:val="24"/>
          <w:lang w:val="sr-Cyrl-RS"/>
        </w:rPr>
        <w:t xml:space="preserve"> </w:t>
      </w:r>
      <w:r w:rsidRPr="0052271C">
        <w:rPr>
          <w:rFonts w:ascii="Times New Roman" w:hAnsi="Times New Roman" w:cs="Times New Roman"/>
          <w:sz w:val="24"/>
          <w:szCs w:val="24"/>
          <w:lang w:val="sr-Cyrl-RS"/>
        </w:rPr>
        <w:t>годишњих писама о очекивањима упућеним одборима друштава, чији је садржај развијен кроз координацију између надлежног министарства и јединице за надзор власништва.</w:t>
      </w:r>
      <w:r w:rsidRPr="0052271C">
        <w:rPr>
          <w:rStyle w:val="FootnoteReference"/>
          <w:rFonts w:ascii="Times New Roman" w:hAnsi="Times New Roman" w:cs="Times New Roman"/>
          <w:sz w:val="24"/>
          <w:szCs w:val="24"/>
          <w:lang w:val="sr-Cyrl-RS"/>
        </w:rPr>
        <w:footnoteReference w:id="36"/>
      </w:r>
    </w:p>
    <w:p w14:paraId="7AC012CC" w14:textId="0E6500BA" w:rsidR="0011184F" w:rsidRPr="0052271C" w:rsidRDefault="00037431" w:rsidP="00657C6E">
      <w:pPr>
        <w:spacing w:before="240" w:line="276" w:lineRule="auto"/>
        <w:ind w:firstLine="567"/>
        <w:jc w:val="both"/>
        <w:rPr>
          <w:lang w:val="sr-Cyrl-RS" w:eastAsia="en-US"/>
        </w:rPr>
      </w:pPr>
      <w:r w:rsidRPr="0052271C">
        <w:rPr>
          <w:lang w:val="sr-Cyrl-RS" w:eastAsia="en-US"/>
        </w:rPr>
        <w:lastRenderedPageBreak/>
        <w:t>У складу са добром међународном праксом, п</w:t>
      </w:r>
      <w:r w:rsidR="0011184F" w:rsidRPr="0052271C">
        <w:rPr>
          <w:lang w:val="sr-Cyrl-RS" w:eastAsia="en-US"/>
        </w:rPr>
        <w:t>исмо очекивања садржи следеће информације</w:t>
      </w:r>
      <w:r w:rsidR="0011184F" w:rsidRPr="0052271C">
        <w:rPr>
          <w:rStyle w:val="FootnoteReference"/>
          <w:lang w:val="sr-Cyrl-RS" w:eastAsia="en-US"/>
        </w:rPr>
        <w:footnoteReference w:id="37"/>
      </w:r>
      <w:r w:rsidR="0011184F" w:rsidRPr="0052271C">
        <w:rPr>
          <w:lang w:val="sr-Cyrl-RS" w:eastAsia="en-US"/>
        </w:rPr>
        <w:t>:</w:t>
      </w:r>
    </w:p>
    <w:p w14:paraId="359E0922" w14:textId="644A8CEE" w:rsidR="0011184F" w:rsidRPr="0052271C" w:rsidRDefault="00037431" w:rsidP="00197194">
      <w:pPr>
        <w:numPr>
          <w:ilvl w:val="0"/>
          <w:numId w:val="21"/>
        </w:numPr>
        <w:spacing w:line="276" w:lineRule="auto"/>
        <w:ind w:left="851" w:hanging="284"/>
        <w:jc w:val="both"/>
        <w:rPr>
          <w:lang w:val="sr-Cyrl-RS" w:eastAsia="en-US"/>
        </w:rPr>
      </w:pPr>
      <w:r w:rsidRPr="0052271C">
        <w:rPr>
          <w:bCs/>
          <w:lang w:val="sr-Cyrl-RS" w:eastAsia="en-US"/>
        </w:rPr>
        <w:t>п</w:t>
      </w:r>
      <w:r w:rsidR="0011184F" w:rsidRPr="0052271C">
        <w:rPr>
          <w:bCs/>
          <w:lang w:val="sr-Cyrl-RS" w:eastAsia="en-US"/>
        </w:rPr>
        <w:t>реглед пословних активности друштва</w:t>
      </w:r>
      <w:r w:rsidR="00685E13" w:rsidRPr="0052271C">
        <w:rPr>
          <w:lang w:val="sr-Cyrl-RS" w:eastAsia="en-US"/>
        </w:rPr>
        <w:t>, укључујући комерцијалне и не</w:t>
      </w:r>
      <w:r w:rsidR="0011184F" w:rsidRPr="0052271C">
        <w:rPr>
          <w:lang w:val="sr-Cyrl-RS" w:eastAsia="en-US"/>
        </w:rPr>
        <w:t>комерцијалне активности и како треба успоставити приоритете;</w:t>
      </w:r>
    </w:p>
    <w:p w14:paraId="0AD11BEC" w14:textId="2A51263C" w:rsidR="0011184F" w:rsidRPr="0052271C" w:rsidRDefault="00037431" w:rsidP="00197194">
      <w:pPr>
        <w:numPr>
          <w:ilvl w:val="0"/>
          <w:numId w:val="21"/>
        </w:numPr>
        <w:spacing w:line="276" w:lineRule="auto"/>
        <w:ind w:left="851" w:hanging="284"/>
        <w:jc w:val="both"/>
        <w:rPr>
          <w:lang w:val="sr-Cyrl-RS" w:eastAsia="en-US"/>
        </w:rPr>
      </w:pPr>
      <w:r w:rsidRPr="0052271C">
        <w:rPr>
          <w:bCs/>
          <w:lang w:val="sr-Cyrl-RS" w:eastAsia="en-US"/>
        </w:rPr>
        <w:t>ф</w:t>
      </w:r>
      <w:r w:rsidR="0011184F" w:rsidRPr="0052271C">
        <w:rPr>
          <w:bCs/>
          <w:lang w:val="sr-Cyrl-RS" w:eastAsia="en-US"/>
        </w:rPr>
        <w:t>инансијска очекивања</w:t>
      </w:r>
      <w:r w:rsidR="0011184F" w:rsidRPr="0052271C">
        <w:rPr>
          <w:lang w:val="sr-Cyrl-RS" w:eastAsia="en-US"/>
        </w:rPr>
        <w:t>, нпр. дивиденде, структура капитала, и поврат на уложени капитал;</w:t>
      </w:r>
    </w:p>
    <w:p w14:paraId="1328D38D" w14:textId="14B229A5" w:rsidR="0011184F" w:rsidRPr="0052271C" w:rsidRDefault="00037431" w:rsidP="00197194">
      <w:pPr>
        <w:numPr>
          <w:ilvl w:val="0"/>
          <w:numId w:val="21"/>
        </w:numPr>
        <w:spacing w:line="276" w:lineRule="auto"/>
        <w:ind w:left="851" w:hanging="284"/>
        <w:jc w:val="both"/>
        <w:rPr>
          <w:lang w:val="sr-Cyrl-RS" w:eastAsia="en-US"/>
        </w:rPr>
      </w:pPr>
      <w:r w:rsidRPr="0052271C">
        <w:rPr>
          <w:bCs/>
          <w:lang w:val="sr-Cyrl-RS" w:eastAsia="en-US"/>
        </w:rPr>
        <w:t>н</w:t>
      </w:r>
      <w:r w:rsidR="00685E13" w:rsidRPr="0052271C">
        <w:rPr>
          <w:bCs/>
          <w:lang w:val="sr-Cyrl-RS" w:eastAsia="en-US"/>
        </w:rPr>
        <w:t>е</w:t>
      </w:r>
      <w:r w:rsidR="0011184F" w:rsidRPr="0052271C">
        <w:rPr>
          <w:bCs/>
          <w:lang w:val="sr-Cyrl-RS" w:eastAsia="en-US"/>
        </w:rPr>
        <w:t>финансијска очекивања</w:t>
      </w:r>
      <w:r w:rsidR="0011184F" w:rsidRPr="0052271C">
        <w:rPr>
          <w:lang w:val="sr-Cyrl-RS" w:eastAsia="en-US"/>
        </w:rPr>
        <w:t xml:space="preserve">, нпр. индикатори повезани </w:t>
      </w:r>
      <w:r w:rsidR="00685E13" w:rsidRPr="0052271C">
        <w:rPr>
          <w:lang w:val="sr-Cyrl-RS" w:eastAsia="en-US"/>
        </w:rPr>
        <w:t>са постизањем стратегије или не</w:t>
      </w:r>
      <w:r w:rsidR="0011184F" w:rsidRPr="0052271C">
        <w:rPr>
          <w:lang w:val="sr-Cyrl-RS" w:eastAsia="en-US"/>
        </w:rPr>
        <w:t>комерцијалних циљева, нпр. тржишни успех, иновације, показатељи услуге подршке корисницима,</w:t>
      </w:r>
      <w:r w:rsidR="00197194" w:rsidRPr="0052271C">
        <w:rPr>
          <w:lang w:val="sr-Cyrl-RS" w:eastAsia="en-US"/>
        </w:rPr>
        <w:t xml:space="preserve"> запошљавање, итд. Додатно, </w:t>
      </w:r>
      <w:r w:rsidR="0011184F" w:rsidRPr="0052271C">
        <w:rPr>
          <w:lang w:val="sr-Cyrl-RS" w:eastAsia="en-US"/>
        </w:rPr>
        <w:t xml:space="preserve">може да укључује очекивања у вези </w:t>
      </w:r>
      <w:r w:rsidRPr="0052271C">
        <w:rPr>
          <w:lang w:val="sr-Cyrl-RS" w:eastAsia="en-US"/>
        </w:rPr>
        <w:t>са заштитом</w:t>
      </w:r>
      <w:r w:rsidR="0011184F" w:rsidRPr="0052271C">
        <w:rPr>
          <w:lang w:val="sr-Cyrl-RS" w:eastAsia="en-US"/>
        </w:rPr>
        <w:t xml:space="preserve"> животне с</w:t>
      </w:r>
      <w:r w:rsidRPr="0052271C">
        <w:rPr>
          <w:lang w:val="sr-Cyrl-RS" w:eastAsia="en-US"/>
        </w:rPr>
        <w:t>редине, социјалном одговорношћу</w:t>
      </w:r>
      <w:r w:rsidR="00197194" w:rsidRPr="0052271C">
        <w:rPr>
          <w:lang w:val="sr-Cyrl-RS" w:eastAsia="en-US"/>
        </w:rPr>
        <w:t xml:space="preserve"> и</w:t>
      </w:r>
      <w:r w:rsidRPr="0052271C">
        <w:rPr>
          <w:lang w:val="sr-Cyrl-RS" w:eastAsia="en-US"/>
        </w:rPr>
        <w:t xml:space="preserve"> праксом корпоративног управљања.</w:t>
      </w:r>
    </w:p>
    <w:p w14:paraId="5DDCCE6D" w14:textId="77777777" w:rsidR="00657C6E" w:rsidRPr="0052271C" w:rsidRDefault="00657C6E" w:rsidP="00657C6E">
      <w:pPr>
        <w:spacing w:line="276" w:lineRule="auto"/>
        <w:ind w:left="720"/>
        <w:jc w:val="both"/>
        <w:rPr>
          <w:lang w:val="sr-Cyrl-RS" w:eastAsia="en-US"/>
        </w:rPr>
      </w:pPr>
    </w:p>
    <w:p w14:paraId="2D554556" w14:textId="656BCAF7" w:rsidR="001F32A0" w:rsidRPr="0052271C" w:rsidRDefault="0011184F" w:rsidP="00657C6E">
      <w:pPr>
        <w:spacing w:line="276" w:lineRule="auto"/>
        <w:ind w:firstLine="567"/>
        <w:jc w:val="both"/>
        <w:rPr>
          <w:lang w:val="sr-Cyrl-RS"/>
        </w:rPr>
      </w:pPr>
      <w:r w:rsidRPr="0052271C">
        <w:rPr>
          <w:lang w:val="sr-Cyrl-RS"/>
        </w:rPr>
        <w:t xml:space="preserve">Министарство </w:t>
      </w:r>
      <w:r w:rsidR="0003585E" w:rsidRPr="0052271C">
        <w:rPr>
          <w:lang w:val="sr-Cyrl-RS"/>
        </w:rPr>
        <w:t xml:space="preserve">ће </w:t>
      </w:r>
      <w:r w:rsidR="009A1CA7" w:rsidRPr="0052271C">
        <w:rPr>
          <w:lang w:val="sr-Cyrl-RS"/>
        </w:rPr>
        <w:t>као централизовани власнички ентитет</w:t>
      </w:r>
      <w:r w:rsidRPr="0052271C">
        <w:rPr>
          <w:lang w:val="sr-Cyrl-RS"/>
        </w:rPr>
        <w:t xml:space="preserve"> пружити конкретне смернице за дефинисање циљева и кључних показатеља учинка у ПСРС</w:t>
      </w:r>
      <w:r w:rsidR="0003585E" w:rsidRPr="0052271C">
        <w:rPr>
          <w:lang w:val="sr-Cyrl-RS"/>
        </w:rPr>
        <w:t>. Заједно</w:t>
      </w:r>
      <w:r w:rsidR="001F32A0" w:rsidRPr="0052271C">
        <w:rPr>
          <w:lang w:val="sr-Cyrl-RS"/>
        </w:rPr>
        <w:t xml:space="preserve"> са </w:t>
      </w:r>
      <w:r w:rsidR="00037431" w:rsidRPr="0052271C">
        <w:rPr>
          <w:lang w:val="sr-Cyrl-RS"/>
        </w:rPr>
        <w:t>надлежним</w:t>
      </w:r>
      <w:r w:rsidR="0003585E" w:rsidRPr="0052271C">
        <w:rPr>
          <w:lang w:val="sr-Cyrl-RS"/>
        </w:rPr>
        <w:t xml:space="preserve"> државним органима ће бити</w:t>
      </w:r>
      <w:r w:rsidR="00037431" w:rsidRPr="0052271C">
        <w:rPr>
          <w:lang w:val="sr-Cyrl-RS"/>
        </w:rPr>
        <w:t xml:space="preserve"> одговорно </w:t>
      </w:r>
      <w:r w:rsidR="001F32A0" w:rsidRPr="0052271C">
        <w:rPr>
          <w:lang w:val="sr-Cyrl-RS"/>
        </w:rPr>
        <w:t>за развијање јасних комерцијалних и некомерцијалних, као и дугорочни</w:t>
      </w:r>
      <w:r w:rsidRPr="0052271C">
        <w:rPr>
          <w:lang w:val="sr-Cyrl-RS"/>
        </w:rPr>
        <w:t xml:space="preserve">х </w:t>
      </w:r>
      <w:r w:rsidR="0003585E" w:rsidRPr="0052271C">
        <w:rPr>
          <w:lang w:val="sr-Cyrl-RS"/>
        </w:rPr>
        <w:t>и средњорочних циљева за ПСРС, а к</w:t>
      </w:r>
      <w:r w:rsidRPr="0052271C">
        <w:rPr>
          <w:lang w:val="sr-Cyrl-RS"/>
        </w:rPr>
        <w:t>роз редовно ажурирано писмо очекивања, дефинисаће се</w:t>
      </w:r>
      <w:r w:rsidR="00286B52" w:rsidRPr="0052271C">
        <w:rPr>
          <w:lang w:val="sr-Cyrl-RS"/>
        </w:rPr>
        <w:t xml:space="preserve"> кључни показатељи учинка </w:t>
      </w:r>
      <w:r w:rsidR="0003585E" w:rsidRPr="0052271C">
        <w:rPr>
          <w:lang w:val="sr-Cyrl-RS"/>
        </w:rPr>
        <w:t>ПСРС. Пре слања писма очекивања и договора о циљевима ПСРС, редовно ће се одржавати састанци</w:t>
      </w:r>
      <w:r w:rsidR="001F32A0" w:rsidRPr="0052271C">
        <w:rPr>
          <w:lang w:val="sr-Cyrl-RS"/>
        </w:rPr>
        <w:t xml:space="preserve"> са органима управљања и менаџментом </w:t>
      </w:r>
      <w:r w:rsidR="0003585E" w:rsidRPr="0052271C">
        <w:rPr>
          <w:lang w:val="sr-Cyrl-RS"/>
        </w:rPr>
        <w:t xml:space="preserve">ради </w:t>
      </w:r>
      <w:r w:rsidR="001F32A0" w:rsidRPr="0052271C">
        <w:rPr>
          <w:lang w:val="sr-Cyrl-RS"/>
        </w:rPr>
        <w:t>договора о циљевима ПСРС.</w:t>
      </w:r>
    </w:p>
    <w:p w14:paraId="4895F8C1" w14:textId="413B3D85" w:rsidR="001F32A0" w:rsidRPr="0052271C" w:rsidRDefault="001F32A0" w:rsidP="00D23B49">
      <w:pPr>
        <w:spacing w:line="276" w:lineRule="auto"/>
        <w:ind w:firstLine="567"/>
        <w:jc w:val="both"/>
        <w:rPr>
          <w:rFonts w:eastAsiaTheme="minorHAnsi" w:cstheme="minorBidi"/>
          <w:szCs w:val="22"/>
          <w:lang w:val="sr-Cyrl-RS"/>
        </w:rPr>
      </w:pPr>
      <w:r w:rsidRPr="0052271C">
        <w:rPr>
          <w:rFonts w:eastAsiaTheme="minorHAnsi" w:cstheme="minorBidi"/>
          <w:szCs w:val="22"/>
          <w:lang w:val="sr-Cyrl-RS"/>
        </w:rPr>
        <w:t>Циљеви ПСРС ће бити усклађени са разлозима власништва Републике Србије и саопштавани у редовно а</w:t>
      </w:r>
      <w:r w:rsidR="00CA325F" w:rsidRPr="0052271C">
        <w:rPr>
          <w:rFonts w:eastAsiaTheme="minorHAnsi" w:cstheme="minorBidi"/>
          <w:szCs w:val="22"/>
          <w:lang w:val="sr-Cyrl-RS"/>
        </w:rPr>
        <w:t>журираним писмима очекивања која</w:t>
      </w:r>
      <w:r w:rsidR="00037431" w:rsidRPr="0052271C">
        <w:rPr>
          <w:rFonts w:eastAsiaTheme="minorHAnsi" w:cstheme="minorBidi"/>
          <w:szCs w:val="22"/>
          <w:lang w:val="sr-Cyrl-RS"/>
        </w:rPr>
        <w:t xml:space="preserve"> се достављају ПСРС, као и </w:t>
      </w:r>
      <w:r w:rsidRPr="0052271C">
        <w:rPr>
          <w:rFonts w:eastAsiaTheme="minorHAnsi" w:cstheme="minorBidi"/>
          <w:szCs w:val="22"/>
          <w:lang w:val="sr-Cyrl-RS"/>
        </w:rPr>
        <w:t xml:space="preserve">имплементирани у оснивачким актима и програмима пословања ПСРС. Писма очекивања могу такође садржати </w:t>
      </w:r>
      <w:r w:rsidR="007A4DEC" w:rsidRPr="0052271C">
        <w:rPr>
          <w:rFonts w:eastAsiaTheme="minorHAnsi" w:cstheme="minorBidi"/>
          <w:szCs w:val="22"/>
          <w:lang w:val="sr-Cyrl-RS"/>
        </w:rPr>
        <w:t xml:space="preserve">смернице </w:t>
      </w:r>
      <w:r w:rsidRPr="0052271C">
        <w:rPr>
          <w:rFonts w:eastAsiaTheme="minorHAnsi" w:cstheme="minorBidi"/>
          <w:szCs w:val="22"/>
          <w:lang w:val="sr-Cyrl-RS"/>
        </w:rPr>
        <w:t xml:space="preserve">и циљеве који се односе на </w:t>
      </w:r>
      <w:r w:rsidR="007A4DEC" w:rsidRPr="0052271C">
        <w:rPr>
          <w:rFonts w:eastAsiaTheme="minorHAnsi" w:cstheme="minorBidi"/>
          <w:szCs w:val="22"/>
          <w:lang w:val="sr-Cyrl-RS"/>
        </w:rPr>
        <w:t xml:space="preserve">разлоге власништва Републике Србије </w:t>
      </w:r>
      <w:r w:rsidRPr="0052271C">
        <w:rPr>
          <w:rFonts w:eastAsiaTheme="minorHAnsi" w:cstheme="minorBidi"/>
          <w:szCs w:val="22"/>
          <w:lang w:val="sr-Cyrl-RS"/>
        </w:rPr>
        <w:t>и информације о очекиваним кључним показатељима учинка.</w:t>
      </w:r>
    </w:p>
    <w:p w14:paraId="7A25909D" w14:textId="77777777" w:rsidR="00D23B49" w:rsidRPr="0052271C" w:rsidRDefault="00D23B49" w:rsidP="00D23B49">
      <w:pPr>
        <w:spacing w:line="276" w:lineRule="auto"/>
        <w:ind w:firstLine="567"/>
        <w:jc w:val="both"/>
        <w:rPr>
          <w:rFonts w:eastAsiaTheme="minorHAnsi" w:cstheme="minorBidi"/>
          <w:szCs w:val="22"/>
          <w:lang w:val="sr-Cyrl-RS"/>
        </w:rPr>
      </w:pPr>
    </w:p>
    <w:p w14:paraId="0A0D54DD" w14:textId="79CFD1C1" w:rsidR="001F32A0" w:rsidRPr="0052271C" w:rsidRDefault="001F32A0" w:rsidP="00D23B49">
      <w:pPr>
        <w:spacing w:line="276" w:lineRule="auto"/>
        <w:ind w:firstLine="567"/>
        <w:jc w:val="both"/>
        <w:rPr>
          <w:lang w:val="sr-Cyrl-RS"/>
        </w:rPr>
      </w:pPr>
      <w:r w:rsidRPr="0052271C">
        <w:rPr>
          <w:lang w:val="sr-Cyrl-RS"/>
        </w:rPr>
        <w:t xml:space="preserve">Мера 4: </w:t>
      </w:r>
      <w:r w:rsidR="00641B76" w:rsidRPr="0052271C">
        <w:rPr>
          <w:lang w:val="sr-Cyrl-RS"/>
        </w:rPr>
        <w:t>Одређивање критеријума</w:t>
      </w:r>
      <w:r w:rsidRPr="0052271C">
        <w:rPr>
          <w:lang w:val="sr-Cyrl-RS"/>
        </w:rPr>
        <w:t xml:space="preserve"> за дефи</w:t>
      </w:r>
      <w:r w:rsidR="00354073" w:rsidRPr="0052271C">
        <w:rPr>
          <w:lang w:val="sr-Cyrl-RS"/>
        </w:rPr>
        <w:t>нисање зарада/</w:t>
      </w:r>
      <w:r w:rsidR="009F7FBF" w:rsidRPr="0052271C">
        <w:rPr>
          <w:lang w:val="sr-Cyrl-RS"/>
        </w:rPr>
        <w:t>накнада према уч</w:t>
      </w:r>
      <w:r w:rsidRPr="0052271C">
        <w:rPr>
          <w:lang w:val="sr-Cyrl-RS"/>
        </w:rPr>
        <w:t>инцима и осталим показатељима</w:t>
      </w:r>
    </w:p>
    <w:p w14:paraId="4DDAE9C7" w14:textId="77777777" w:rsidR="00D23B49" w:rsidRPr="0052271C" w:rsidRDefault="00D23B49" w:rsidP="00D23B49">
      <w:pPr>
        <w:spacing w:line="276" w:lineRule="auto"/>
        <w:ind w:firstLine="567"/>
        <w:jc w:val="both"/>
        <w:rPr>
          <w:lang w:val="sr-Cyrl-RS"/>
        </w:rPr>
      </w:pPr>
    </w:p>
    <w:p w14:paraId="3522B75D" w14:textId="745986B0" w:rsidR="004C32EC" w:rsidRPr="0052271C" w:rsidRDefault="0003585E" w:rsidP="00D23B49">
      <w:pPr>
        <w:pStyle w:val="NeAdnumber-level1"/>
        <w:numPr>
          <w:ilvl w:val="0"/>
          <w:numId w:val="0"/>
        </w:numPr>
        <w:spacing w:before="0" w:after="0" w:line="276" w:lineRule="auto"/>
        <w:ind w:firstLine="567"/>
        <w:rPr>
          <w:rFonts w:ascii="Times New Roman" w:hAnsi="Times New Roman" w:cs="Times New Roman"/>
          <w:sz w:val="24"/>
          <w:szCs w:val="24"/>
          <w:lang w:val="sr-Cyrl-RS" w:eastAsia="en-GB"/>
        </w:rPr>
      </w:pPr>
      <w:r w:rsidRPr="0052271C">
        <w:rPr>
          <w:rFonts w:ascii="Times New Roman" w:hAnsi="Times New Roman" w:cs="Times New Roman"/>
          <w:sz w:val="24"/>
          <w:szCs w:val="24"/>
          <w:lang w:val="sr-Cyrl-RS"/>
        </w:rPr>
        <w:t>Потребно је п</w:t>
      </w:r>
      <w:r w:rsidRPr="0052271C">
        <w:rPr>
          <w:rFonts w:ascii="Times New Roman" w:hAnsi="Times New Roman" w:cs="Times New Roman"/>
          <w:bCs/>
          <w:sz w:val="24"/>
          <w:szCs w:val="24"/>
          <w:lang w:val="sr-Cyrl-RS"/>
        </w:rPr>
        <w:t xml:space="preserve">рописати критеријуме за дефинисање зарада/накнада према учинку и осталим показатељима. Критеријуми треба да буду </w:t>
      </w:r>
      <w:r w:rsidR="005F0F27" w:rsidRPr="0052271C">
        <w:rPr>
          <w:rFonts w:ascii="Times New Roman" w:hAnsi="Times New Roman" w:cs="Times New Roman"/>
          <w:bCs/>
          <w:sz w:val="24"/>
          <w:szCs w:val="24"/>
          <w:lang w:val="sr-Cyrl-RS"/>
        </w:rPr>
        <w:t xml:space="preserve">мотивациони, са циљем </w:t>
      </w:r>
      <w:r w:rsidRPr="0052271C">
        <w:rPr>
          <w:rFonts w:ascii="Times New Roman" w:hAnsi="Times New Roman" w:cs="Times New Roman"/>
          <w:bCs/>
          <w:sz w:val="24"/>
          <w:szCs w:val="24"/>
          <w:lang w:val="sr-Cyrl-RS"/>
        </w:rPr>
        <w:t xml:space="preserve">привлачења стручног и искусног кадра. Накнаде </w:t>
      </w:r>
      <w:r w:rsidRPr="0052271C">
        <w:rPr>
          <w:rFonts w:ascii="Times New Roman" w:hAnsi="Times New Roman" w:cs="Times New Roman"/>
          <w:sz w:val="24"/>
          <w:szCs w:val="24"/>
          <w:lang w:val="sr-Cyrl-RS"/>
        </w:rPr>
        <w:t xml:space="preserve">вишег руководства требало би да буду конкурентне, али такође и у складу са дугорочним интересом </w:t>
      </w:r>
      <w:r w:rsidR="004C32EC" w:rsidRPr="0052271C">
        <w:rPr>
          <w:rFonts w:ascii="Times New Roman" w:hAnsi="Times New Roman" w:cs="Times New Roman"/>
          <w:sz w:val="24"/>
          <w:szCs w:val="24"/>
          <w:lang w:val="sr-Cyrl-RS"/>
        </w:rPr>
        <w:t xml:space="preserve">државе и </w:t>
      </w:r>
      <w:r w:rsidR="0028040C" w:rsidRPr="0052271C">
        <w:rPr>
          <w:rFonts w:ascii="Times New Roman" w:hAnsi="Times New Roman" w:cs="Times New Roman"/>
          <w:sz w:val="24"/>
          <w:szCs w:val="24"/>
          <w:lang w:val="sr-Cyrl-RS"/>
        </w:rPr>
        <w:t>самог ПСРС</w:t>
      </w:r>
      <w:r w:rsidR="0028040C" w:rsidRPr="0052271C">
        <w:rPr>
          <w:rFonts w:ascii="Times New Roman" w:hAnsi="Times New Roman" w:cs="Times New Roman"/>
          <w:color w:val="FF0000"/>
          <w:sz w:val="24"/>
          <w:szCs w:val="24"/>
          <w:lang w:val="sr-Cyrl-RS"/>
        </w:rPr>
        <w:t xml:space="preserve">. </w:t>
      </w:r>
      <w:r w:rsidRPr="0052271C">
        <w:rPr>
          <w:rFonts w:ascii="Times New Roman" w:hAnsi="Times New Roman" w:cs="Times New Roman"/>
          <w:sz w:val="24"/>
          <w:szCs w:val="24"/>
          <w:lang w:val="sr-Cyrl-RS" w:eastAsia="en-GB"/>
        </w:rPr>
        <w:t xml:space="preserve">Поред тога, потребно је уредити и систем санкција у случају неодговорног и нестручног понашања у вршењу </w:t>
      </w:r>
      <w:r w:rsidR="00831B67" w:rsidRPr="0052271C">
        <w:rPr>
          <w:rFonts w:ascii="Times New Roman" w:hAnsi="Times New Roman" w:cs="Times New Roman"/>
          <w:sz w:val="24"/>
          <w:szCs w:val="24"/>
          <w:lang w:val="sr-Cyrl-RS" w:eastAsia="en-GB"/>
        </w:rPr>
        <w:t>функција</w:t>
      </w:r>
      <w:r w:rsidRPr="0052271C">
        <w:rPr>
          <w:rFonts w:ascii="Times New Roman" w:hAnsi="Times New Roman" w:cs="Times New Roman"/>
          <w:sz w:val="24"/>
          <w:szCs w:val="24"/>
          <w:lang w:val="sr-Cyrl-RS" w:eastAsia="en-GB"/>
        </w:rPr>
        <w:t xml:space="preserve">. </w:t>
      </w:r>
    </w:p>
    <w:p w14:paraId="66D6A9B9" w14:textId="77777777" w:rsidR="00D23B49" w:rsidRPr="0052271C" w:rsidRDefault="00D23B49" w:rsidP="00D23B49">
      <w:pPr>
        <w:pStyle w:val="NeAdnumber-level1"/>
        <w:numPr>
          <w:ilvl w:val="0"/>
          <w:numId w:val="0"/>
        </w:numPr>
        <w:spacing w:before="0" w:after="0" w:line="276" w:lineRule="auto"/>
        <w:ind w:firstLine="567"/>
        <w:rPr>
          <w:rFonts w:ascii="Times New Roman" w:hAnsi="Times New Roman" w:cs="Times New Roman"/>
          <w:sz w:val="24"/>
          <w:szCs w:val="24"/>
          <w:lang w:val="sr-Cyrl-RS" w:eastAsia="en-GB"/>
        </w:rPr>
      </w:pPr>
    </w:p>
    <w:p w14:paraId="061732E5" w14:textId="43C978E6" w:rsidR="008D4525" w:rsidRPr="0052271C" w:rsidRDefault="001F32A0" w:rsidP="00D23B49">
      <w:pPr>
        <w:tabs>
          <w:tab w:val="left" w:pos="5850"/>
        </w:tabs>
        <w:spacing w:line="276" w:lineRule="auto"/>
        <w:ind w:firstLine="567"/>
        <w:jc w:val="both"/>
        <w:rPr>
          <w:color w:val="0070C0"/>
          <w:lang w:val="sr-Cyrl-RS" w:eastAsia="en-US"/>
        </w:rPr>
      </w:pPr>
      <w:r w:rsidRPr="0052271C">
        <w:rPr>
          <w:lang w:val="sr-Cyrl-RS"/>
        </w:rPr>
        <w:t>Мера 5: Успостављање централизованих база података које прате корпоративно управљање</w:t>
      </w:r>
      <w:r w:rsidR="008D4525" w:rsidRPr="0052271C">
        <w:rPr>
          <w:color w:val="0070C0"/>
          <w:lang w:val="sr-Cyrl-RS" w:eastAsia="en-US"/>
        </w:rPr>
        <w:t xml:space="preserve"> </w:t>
      </w:r>
    </w:p>
    <w:p w14:paraId="232FE55A" w14:textId="77777777" w:rsidR="00D23B49" w:rsidRPr="0052271C" w:rsidRDefault="00D23B49" w:rsidP="00D23B49">
      <w:pPr>
        <w:tabs>
          <w:tab w:val="left" w:pos="5850"/>
        </w:tabs>
        <w:spacing w:line="276" w:lineRule="auto"/>
        <w:ind w:firstLine="567"/>
        <w:jc w:val="both"/>
        <w:rPr>
          <w:color w:val="0070C0"/>
          <w:lang w:val="sr-Cyrl-RS" w:eastAsia="en-US"/>
        </w:rPr>
      </w:pPr>
    </w:p>
    <w:p w14:paraId="29169772" w14:textId="19EDE2CB" w:rsidR="0003585E" w:rsidRPr="0052271C" w:rsidRDefault="0003585E" w:rsidP="00D23B49">
      <w:pPr>
        <w:tabs>
          <w:tab w:val="left" w:pos="5850"/>
        </w:tabs>
        <w:spacing w:line="276" w:lineRule="auto"/>
        <w:ind w:firstLine="567"/>
        <w:jc w:val="both"/>
        <w:rPr>
          <w:lang w:val="sr-Cyrl-RS" w:eastAsia="en-US"/>
        </w:rPr>
      </w:pPr>
      <w:r w:rsidRPr="0052271C">
        <w:rPr>
          <w:lang w:val="sr-Cyrl-RS" w:eastAsia="en-US"/>
        </w:rPr>
        <w:t>Потребно је да се Мини</w:t>
      </w:r>
      <w:r w:rsidR="009A1CA7" w:rsidRPr="0052271C">
        <w:rPr>
          <w:lang w:val="sr-Cyrl-RS" w:eastAsia="en-US"/>
        </w:rPr>
        <w:t xml:space="preserve">старство као централизовани </w:t>
      </w:r>
      <w:r w:rsidRPr="0052271C">
        <w:rPr>
          <w:lang w:val="sr-Cyrl-RS" w:eastAsia="en-US"/>
        </w:rPr>
        <w:t>власничк</w:t>
      </w:r>
      <w:r w:rsidR="009A1CA7" w:rsidRPr="0052271C">
        <w:rPr>
          <w:lang w:val="sr-Cyrl-RS" w:eastAsia="en-US"/>
        </w:rPr>
        <w:t>и ентитет</w:t>
      </w:r>
      <w:r w:rsidRPr="0052271C">
        <w:rPr>
          <w:lang w:val="sr-Cyrl-RS" w:eastAsia="en-US"/>
        </w:rPr>
        <w:t xml:space="preserve"> активно укључи у процес именовања и избора чланова органа у ПСРС. У току тог процеса биће </w:t>
      </w:r>
      <w:r w:rsidRPr="0052271C">
        <w:rPr>
          <w:lang w:val="sr-Cyrl-RS" w:eastAsia="en-US"/>
        </w:rPr>
        <w:lastRenderedPageBreak/>
        <w:t xml:space="preserve">уважене и специфичне потребе за вештинама у зависности од делатности </w:t>
      </w:r>
      <w:r w:rsidR="00A36BB7" w:rsidRPr="0052271C">
        <w:rPr>
          <w:lang w:val="sr-Cyrl-RS" w:eastAsia="en-US"/>
        </w:rPr>
        <w:t>ПСРС</w:t>
      </w:r>
      <w:r w:rsidRPr="0052271C">
        <w:rPr>
          <w:lang w:val="sr-Cyrl-RS" w:eastAsia="en-US"/>
        </w:rPr>
        <w:t xml:space="preserve">, а по потреби би могле бити формиране и комисије за </w:t>
      </w:r>
      <w:r w:rsidR="00037431" w:rsidRPr="0052271C">
        <w:rPr>
          <w:lang w:val="sr-Cyrl-RS" w:eastAsia="en-US"/>
        </w:rPr>
        <w:t>тражење</w:t>
      </w:r>
      <w:r w:rsidRPr="0052271C">
        <w:rPr>
          <w:lang w:val="sr-Cyrl-RS" w:eastAsia="en-US"/>
        </w:rPr>
        <w:t xml:space="preserve"> квалитетних кандидата. </w:t>
      </w:r>
    </w:p>
    <w:p w14:paraId="0C48315F" w14:textId="2C5BD65D" w:rsidR="001F32A0" w:rsidRPr="0052271C" w:rsidRDefault="008D4525" w:rsidP="00D23B49">
      <w:pPr>
        <w:tabs>
          <w:tab w:val="left" w:pos="5850"/>
        </w:tabs>
        <w:spacing w:line="276" w:lineRule="auto"/>
        <w:ind w:firstLine="567"/>
        <w:jc w:val="both"/>
        <w:rPr>
          <w:lang w:val="sr-Cyrl-RS"/>
        </w:rPr>
      </w:pPr>
      <w:r w:rsidRPr="0052271C">
        <w:rPr>
          <w:lang w:val="sr-Cyrl-RS" w:eastAsia="en-US"/>
        </w:rPr>
        <w:t>Министарство ће развити и одржавати</w:t>
      </w:r>
      <w:r w:rsidR="008E1543" w:rsidRPr="0052271C">
        <w:rPr>
          <w:lang w:val="sr-Cyrl-RS" w:eastAsia="en-US"/>
        </w:rPr>
        <w:t xml:space="preserve"> </w:t>
      </w:r>
      <w:r w:rsidR="008E1543" w:rsidRPr="0052271C">
        <w:rPr>
          <w:rFonts w:eastAsiaTheme="minorHAnsi"/>
          <w:lang w:val="sr-Cyrl-RS" w:eastAsia="en-US"/>
        </w:rPr>
        <w:t xml:space="preserve">евиденцију о додатном усавршавању у области корпоративног управљања и </w:t>
      </w:r>
      <w:r w:rsidR="008E1543" w:rsidRPr="0052271C">
        <w:rPr>
          <w:lang w:val="sr-Cyrl-RS"/>
        </w:rPr>
        <w:t>успоставити евиденцију сертификованих лица</w:t>
      </w:r>
      <w:r w:rsidR="008E1543" w:rsidRPr="0052271C">
        <w:rPr>
          <w:rFonts w:eastAsiaTheme="minorHAnsi"/>
          <w:lang w:val="sr-Cyrl-RS" w:eastAsia="en-US"/>
        </w:rPr>
        <w:t>, као и у</w:t>
      </w:r>
      <w:r w:rsidR="001F32A0" w:rsidRPr="0052271C">
        <w:rPr>
          <w:lang w:val="sr-Cyrl-RS"/>
        </w:rPr>
        <w:t>споставити евиденцију о кандидатима</w:t>
      </w:r>
      <w:r w:rsidR="008E1543" w:rsidRPr="0052271C">
        <w:rPr>
          <w:lang w:val="sr-Cyrl-RS"/>
        </w:rPr>
        <w:t>/именованим члановима органа.</w:t>
      </w:r>
    </w:p>
    <w:p w14:paraId="5A3B7797" w14:textId="77777777" w:rsidR="00D23B49" w:rsidRPr="0052271C" w:rsidRDefault="00D23B49" w:rsidP="00D23B49">
      <w:pPr>
        <w:tabs>
          <w:tab w:val="left" w:pos="5850"/>
        </w:tabs>
        <w:spacing w:line="276" w:lineRule="auto"/>
        <w:ind w:firstLine="567"/>
        <w:jc w:val="both"/>
        <w:rPr>
          <w:lang w:val="sr-Cyrl-RS"/>
        </w:rPr>
      </w:pPr>
    </w:p>
    <w:p w14:paraId="489AC0CF" w14:textId="27E322F9" w:rsidR="001F32A0" w:rsidRPr="0052271C" w:rsidRDefault="001F32A0" w:rsidP="00D23B49">
      <w:pPr>
        <w:spacing w:line="276" w:lineRule="auto"/>
        <w:ind w:firstLine="567"/>
        <w:jc w:val="both"/>
        <w:rPr>
          <w:lang w:val="sr-Cyrl-RS"/>
        </w:rPr>
      </w:pPr>
      <w:r w:rsidRPr="0052271C">
        <w:rPr>
          <w:lang w:val="sr-Cyrl-RS"/>
        </w:rPr>
        <w:t>Мера 6:</w:t>
      </w:r>
      <w:r w:rsidR="008E1543" w:rsidRPr="0052271C">
        <w:rPr>
          <w:lang w:val="sr-Cyrl-RS"/>
        </w:rPr>
        <w:t xml:space="preserve"> Јачање и у</w:t>
      </w:r>
      <w:r w:rsidRPr="0052271C">
        <w:rPr>
          <w:lang w:val="sr-Cyrl-RS"/>
        </w:rPr>
        <w:t>савршавање кадровских капацитета Министарства из области корпоративног управљања</w:t>
      </w:r>
    </w:p>
    <w:p w14:paraId="57DD2897" w14:textId="77777777" w:rsidR="00657C6E" w:rsidRPr="0052271C" w:rsidRDefault="00657C6E" w:rsidP="00D23B49">
      <w:pPr>
        <w:spacing w:line="276" w:lineRule="auto"/>
        <w:ind w:firstLine="360"/>
        <w:jc w:val="both"/>
        <w:rPr>
          <w:b/>
          <w:lang w:val="sr-Cyrl-RS"/>
        </w:rPr>
      </w:pPr>
    </w:p>
    <w:p w14:paraId="061BA3FE" w14:textId="4D9DDA30" w:rsidR="00D23B49" w:rsidRPr="0052271C" w:rsidRDefault="008E1543" w:rsidP="00D23B49">
      <w:pPr>
        <w:spacing w:line="276" w:lineRule="auto"/>
        <w:ind w:firstLine="567"/>
        <w:jc w:val="both"/>
        <w:rPr>
          <w:lang w:val="sr-Cyrl-RS" w:eastAsia="en-US"/>
        </w:rPr>
      </w:pPr>
      <w:r w:rsidRPr="0052271C">
        <w:rPr>
          <w:lang w:val="sr-Cyrl-RS" w:eastAsia="en-US"/>
        </w:rPr>
        <w:t xml:space="preserve">Услед повећања делокруга послова, потребно је </w:t>
      </w:r>
      <w:r w:rsidR="00F65C5C" w:rsidRPr="0052271C">
        <w:rPr>
          <w:lang w:val="sr-Cyrl-RS" w:eastAsia="en-US"/>
        </w:rPr>
        <w:t xml:space="preserve">извршити </w:t>
      </w:r>
      <w:r w:rsidRPr="0052271C">
        <w:rPr>
          <w:lang w:val="sr-Cyrl-RS" w:eastAsia="en-US"/>
        </w:rPr>
        <w:t xml:space="preserve">јачање и усавршавање кадровских капацитета </w:t>
      </w:r>
      <w:r w:rsidRPr="0052271C">
        <w:rPr>
          <w:lang w:val="sr-Cyrl-RS"/>
        </w:rPr>
        <w:t>из области корпоративног управљања</w:t>
      </w:r>
      <w:r w:rsidRPr="0052271C">
        <w:rPr>
          <w:b/>
          <w:lang w:val="sr-Cyrl-RS"/>
        </w:rPr>
        <w:t xml:space="preserve"> </w:t>
      </w:r>
      <w:r w:rsidRPr="0052271C">
        <w:rPr>
          <w:lang w:val="sr-Cyrl-RS" w:eastAsia="en-US"/>
        </w:rPr>
        <w:t>у Министарству, и то кроз унапређење организације, ојачавање кадровског капацитета</w:t>
      </w:r>
      <w:r w:rsidR="00DF5F71" w:rsidRPr="0052271C">
        <w:rPr>
          <w:lang w:val="sr-Cyrl-RS" w:eastAsia="en-US"/>
        </w:rPr>
        <w:t>,</w:t>
      </w:r>
      <w:r w:rsidRPr="0052271C">
        <w:rPr>
          <w:lang w:val="sr-Cyrl-RS" w:eastAsia="en-US"/>
        </w:rPr>
        <w:t xml:space="preserve"> као и к</w:t>
      </w:r>
      <w:r w:rsidR="00037431" w:rsidRPr="0052271C">
        <w:rPr>
          <w:lang w:val="sr-Cyrl-RS" w:eastAsia="en-US"/>
        </w:rPr>
        <w:t>онтинуиране едукације и стручно усавршавање</w:t>
      </w:r>
      <w:r w:rsidRPr="0052271C">
        <w:rPr>
          <w:lang w:val="sr-Cyrl-RS" w:eastAsia="en-US"/>
        </w:rPr>
        <w:t xml:space="preserve"> државних службеника.</w:t>
      </w:r>
    </w:p>
    <w:p w14:paraId="2CF79442" w14:textId="305C151B" w:rsidR="00810770" w:rsidRPr="0052271C" w:rsidRDefault="00D23B49" w:rsidP="00BC3B9F">
      <w:pPr>
        <w:spacing w:after="160" w:line="259" w:lineRule="auto"/>
        <w:rPr>
          <w:lang w:val="sr-Cyrl-RS" w:eastAsia="en-US"/>
        </w:rPr>
      </w:pPr>
      <w:r w:rsidRPr="0052271C">
        <w:rPr>
          <w:lang w:val="sr-Cyrl-RS" w:eastAsia="en-US"/>
        </w:rPr>
        <w:br w:type="page"/>
      </w:r>
    </w:p>
    <w:p w14:paraId="52888793" w14:textId="25E7D120" w:rsidR="001F32A0" w:rsidRPr="0052271C" w:rsidRDefault="00D23B49" w:rsidP="00D23B49">
      <w:pPr>
        <w:pStyle w:val="Heading1"/>
        <w:numPr>
          <w:ilvl w:val="0"/>
          <w:numId w:val="26"/>
        </w:numPr>
        <w:tabs>
          <w:tab w:val="left" w:pos="426"/>
        </w:tabs>
        <w:spacing w:line="276" w:lineRule="auto"/>
        <w:ind w:left="0" w:firstLine="0"/>
        <w:jc w:val="center"/>
        <w:rPr>
          <w:rFonts w:ascii="Times New Roman" w:hAnsi="Times New Roman"/>
          <w:b w:val="0"/>
          <w:sz w:val="24"/>
          <w:szCs w:val="24"/>
          <w:lang w:val="sr-Cyrl-RS"/>
        </w:rPr>
      </w:pPr>
      <w:bookmarkStart w:id="57" w:name="_Toc63452464"/>
      <w:bookmarkStart w:id="58" w:name="_Toc63587099"/>
      <w:r w:rsidRPr="0052271C">
        <w:rPr>
          <w:rFonts w:ascii="Times New Roman" w:hAnsi="Times New Roman"/>
          <w:b w:val="0"/>
          <w:sz w:val="24"/>
          <w:szCs w:val="24"/>
          <w:lang w:val="sr-Cyrl-RS"/>
        </w:rPr>
        <w:lastRenderedPageBreak/>
        <w:t>КЉУЧНИ ИНДИКАТОРИ УЧИНКА НА НИВОУ ОПШТИХ И ПОСЕБНИХ ЦИЉЕВА И МЕРА</w:t>
      </w:r>
      <w:bookmarkEnd w:id="57"/>
      <w:bookmarkEnd w:id="58"/>
    </w:p>
    <w:p w14:paraId="494E7BE9" w14:textId="5CA139D9" w:rsidR="00D23B49" w:rsidRPr="0052271C" w:rsidRDefault="00D23B49" w:rsidP="00D23B49">
      <w:pPr>
        <w:rPr>
          <w:lang w:val="sr-Cyrl-RS"/>
        </w:rPr>
      </w:pPr>
    </w:p>
    <w:p w14:paraId="30351D6A" w14:textId="77777777" w:rsidR="00D23B49" w:rsidRPr="0052271C" w:rsidRDefault="00D23B49" w:rsidP="00D23B49">
      <w:pPr>
        <w:rPr>
          <w:lang w:val="sr-Cyrl-RS"/>
        </w:rPr>
      </w:pPr>
    </w:p>
    <w:p w14:paraId="4F83A308" w14:textId="77FE3D23" w:rsidR="00D23B49" w:rsidRPr="0052271C" w:rsidRDefault="001F32A0" w:rsidP="000963D6">
      <w:pPr>
        <w:keepNext/>
        <w:jc w:val="center"/>
        <w:outlineLvl w:val="1"/>
        <w:rPr>
          <w:rFonts w:eastAsiaTheme="minorHAnsi"/>
          <w:bCs/>
          <w:iCs/>
          <w:lang w:val="sr-Cyrl-RS" w:eastAsia="en-US"/>
        </w:rPr>
      </w:pPr>
      <w:bookmarkStart w:id="59" w:name="_Toc63452465"/>
      <w:bookmarkStart w:id="60" w:name="_Toc63587100"/>
      <w:r w:rsidRPr="0052271C">
        <w:rPr>
          <w:rFonts w:eastAsiaTheme="minorHAnsi"/>
          <w:bCs/>
          <w:iCs/>
          <w:lang w:val="sr-Cyrl-RS" w:eastAsia="en-US"/>
        </w:rPr>
        <w:t>1</w:t>
      </w:r>
      <w:r w:rsidR="00D23B49" w:rsidRPr="0052271C">
        <w:rPr>
          <w:rFonts w:eastAsiaTheme="minorHAnsi"/>
          <w:bCs/>
          <w:iCs/>
          <w:lang w:val="sr-Cyrl-RS" w:eastAsia="en-US"/>
        </w:rPr>
        <w:t>.</w:t>
      </w:r>
      <w:r w:rsidRPr="0052271C">
        <w:rPr>
          <w:rFonts w:eastAsiaTheme="minorHAnsi"/>
          <w:bCs/>
          <w:iCs/>
          <w:lang w:val="sr-Cyrl-RS" w:eastAsia="en-US"/>
        </w:rPr>
        <w:t xml:space="preserve"> </w:t>
      </w:r>
      <w:r w:rsidR="000963D6" w:rsidRPr="0052271C">
        <w:rPr>
          <w:rFonts w:eastAsiaTheme="minorHAnsi"/>
          <w:bCs/>
          <w:iCs/>
          <w:lang w:val="sr-Cyrl-RS" w:eastAsia="en-US"/>
        </w:rPr>
        <w:t>Индикатор учинка за општи циљ одрживог и ефикасног управљања ПСРС</w:t>
      </w:r>
    </w:p>
    <w:p w14:paraId="648AA73B" w14:textId="5A7F29D4" w:rsidR="00D23B49" w:rsidRPr="0052271C" w:rsidRDefault="00D23B49" w:rsidP="00D23B49">
      <w:pPr>
        <w:keepNext/>
        <w:jc w:val="both"/>
        <w:outlineLvl w:val="1"/>
        <w:rPr>
          <w:rFonts w:eastAsiaTheme="minorHAnsi"/>
          <w:b/>
          <w:bCs/>
          <w:iCs/>
          <w:lang w:val="sr-Cyrl-RS" w:eastAsia="en-US"/>
        </w:rPr>
      </w:pPr>
    </w:p>
    <w:p w14:paraId="5B7491CA" w14:textId="77777777" w:rsidR="00D23B49" w:rsidRPr="0052271C" w:rsidRDefault="00D23B49" w:rsidP="00D23B49">
      <w:pPr>
        <w:keepNext/>
        <w:jc w:val="both"/>
        <w:outlineLvl w:val="1"/>
        <w:rPr>
          <w:rFonts w:eastAsiaTheme="minorHAnsi"/>
          <w:b/>
          <w:bCs/>
          <w:iCs/>
          <w:lang w:val="sr-Cyrl-RS" w:eastAsia="en-US"/>
        </w:rPr>
      </w:pPr>
    </w:p>
    <w:p w14:paraId="5AC5EC2A" w14:textId="30708CF7" w:rsidR="001F32A0" w:rsidRPr="0052271C" w:rsidRDefault="001F32A0" w:rsidP="00D23B49">
      <w:pPr>
        <w:keepNext/>
        <w:jc w:val="both"/>
        <w:outlineLvl w:val="1"/>
        <w:rPr>
          <w:rFonts w:eastAsiaTheme="minorHAnsi"/>
          <w:bCs/>
          <w:iCs/>
          <w:lang w:val="sr-Cyrl-RS" w:eastAsia="en-US"/>
        </w:rPr>
      </w:pPr>
      <w:r w:rsidRPr="0052271C">
        <w:rPr>
          <w:rFonts w:eastAsiaTheme="minorHAnsi"/>
          <w:bCs/>
          <w:iCs/>
          <w:lang w:val="sr-Cyrl-RS" w:eastAsia="en-US"/>
        </w:rPr>
        <w:t xml:space="preserve">На нивоу општег циља одрживог и ефикасног управљања ПСРС дефинисан је следећи кључни </w:t>
      </w:r>
      <w:r w:rsidR="00A87164" w:rsidRPr="0052271C">
        <w:rPr>
          <w:rFonts w:eastAsiaTheme="minorHAnsi"/>
          <w:bCs/>
          <w:iCs/>
          <w:lang w:val="sr-Cyrl-RS" w:eastAsia="en-US"/>
        </w:rPr>
        <w:t>индикатор</w:t>
      </w:r>
      <w:r w:rsidRPr="0052271C">
        <w:rPr>
          <w:rFonts w:eastAsiaTheme="minorHAnsi"/>
          <w:bCs/>
          <w:iCs/>
          <w:lang w:val="sr-Cyrl-RS" w:eastAsia="en-US"/>
        </w:rPr>
        <w:t xml:space="preserve"> учинка:</w:t>
      </w:r>
      <w:bookmarkEnd w:id="59"/>
      <w:bookmarkEnd w:id="60"/>
    </w:p>
    <w:p w14:paraId="7601F852" w14:textId="77777777" w:rsidR="001F32A0" w:rsidRPr="0052271C" w:rsidRDefault="001F32A0" w:rsidP="001F32A0">
      <w:pPr>
        <w:ind w:firstLine="573"/>
        <w:rPr>
          <w:rFonts w:eastAsiaTheme="minorHAnsi"/>
          <w:lang w:val="sr-Cyrl-RS" w:eastAsia="en-US"/>
        </w:rPr>
      </w:pPr>
    </w:p>
    <w:tbl>
      <w:tblPr>
        <w:tblStyle w:val="TableGrid5"/>
        <w:tblW w:w="0" w:type="auto"/>
        <w:tblLook w:val="04A0" w:firstRow="1" w:lastRow="0" w:firstColumn="1" w:lastColumn="0" w:noHBand="0" w:noVBand="1"/>
      </w:tblPr>
      <w:tblGrid>
        <w:gridCol w:w="3685"/>
        <w:gridCol w:w="5331"/>
      </w:tblGrid>
      <w:tr w:rsidR="001F32A0" w:rsidRPr="0052271C" w14:paraId="4E1647F2" w14:textId="77777777" w:rsidTr="00A709F3">
        <w:trPr>
          <w:trHeight w:val="567"/>
        </w:trPr>
        <w:tc>
          <w:tcPr>
            <w:tcW w:w="9016" w:type="dxa"/>
            <w:gridSpan w:val="2"/>
            <w:shd w:val="clear" w:color="auto" w:fill="DEEAF6" w:themeFill="accent1" w:themeFillTint="33"/>
            <w:vAlign w:val="center"/>
          </w:tcPr>
          <w:p w14:paraId="44A065AA" w14:textId="77777777" w:rsidR="001F32A0" w:rsidRPr="0052271C" w:rsidRDefault="001F32A0" w:rsidP="001F32A0">
            <w:pPr>
              <w:tabs>
                <w:tab w:val="num" w:pos="1134"/>
              </w:tabs>
              <w:rPr>
                <w:lang w:val="sr-Cyrl-RS"/>
              </w:rPr>
            </w:pPr>
            <w:r w:rsidRPr="0052271C">
              <w:rPr>
                <w:lang w:val="sr-Cyrl-RS"/>
              </w:rPr>
              <w:t>Проценат ПСРС над којима је успостављено ефикасно и одрживо управљање</w:t>
            </w:r>
          </w:p>
          <w:p w14:paraId="5868F89B" w14:textId="2487700C" w:rsidR="001F32A0" w:rsidRPr="0052271C" w:rsidRDefault="008571BC" w:rsidP="008571BC">
            <w:pPr>
              <w:tabs>
                <w:tab w:val="num" w:pos="34"/>
              </w:tabs>
              <w:rPr>
                <w:lang w:val="sr-Cyrl-RS"/>
              </w:rPr>
            </w:pPr>
            <w:r w:rsidRPr="0052271C">
              <w:rPr>
                <w:lang w:val="sr-Cyrl-RS"/>
              </w:rPr>
              <w:t>(извор: извештаји Министарства</w:t>
            </w:r>
            <w:r w:rsidR="001F32A0" w:rsidRPr="0052271C">
              <w:rPr>
                <w:lang w:val="sr-Cyrl-RS"/>
              </w:rPr>
              <w:t>)</w:t>
            </w:r>
          </w:p>
        </w:tc>
      </w:tr>
      <w:tr w:rsidR="001F32A0" w:rsidRPr="0052271C" w14:paraId="22040392" w14:textId="77777777" w:rsidTr="00C33400">
        <w:trPr>
          <w:trHeight w:val="567"/>
        </w:trPr>
        <w:tc>
          <w:tcPr>
            <w:tcW w:w="3685" w:type="dxa"/>
            <w:shd w:val="clear" w:color="auto" w:fill="DEEAF6" w:themeFill="accent1" w:themeFillTint="33"/>
            <w:vAlign w:val="center"/>
          </w:tcPr>
          <w:p w14:paraId="47D2EF7F" w14:textId="3BC85448" w:rsidR="001F32A0" w:rsidRPr="0052271C" w:rsidRDefault="001F32A0" w:rsidP="001F32A0">
            <w:pPr>
              <w:rPr>
                <w:i/>
                <w:iCs/>
                <w:lang w:val="sr-Cyrl-RS"/>
              </w:rPr>
            </w:pPr>
            <w:r w:rsidRPr="0052271C">
              <w:rPr>
                <w:i/>
                <w:iCs/>
                <w:lang w:val="sr-Cyrl-RS"/>
              </w:rPr>
              <w:t>Почетна вредност</w:t>
            </w:r>
            <w:r w:rsidR="00DF5F71" w:rsidRPr="0052271C">
              <w:rPr>
                <w:i/>
                <w:iCs/>
                <w:lang w:val="sr-Cyrl-RS"/>
              </w:rPr>
              <w:t>:</w:t>
            </w:r>
            <w:r w:rsidRPr="0052271C">
              <w:rPr>
                <w:i/>
                <w:iCs/>
                <w:lang w:val="sr-Cyrl-RS"/>
              </w:rPr>
              <w:t xml:space="preserve"> 0%</w:t>
            </w:r>
          </w:p>
        </w:tc>
        <w:tc>
          <w:tcPr>
            <w:tcW w:w="5331" w:type="dxa"/>
            <w:shd w:val="clear" w:color="auto" w:fill="DEEAF6" w:themeFill="accent1" w:themeFillTint="33"/>
            <w:vAlign w:val="center"/>
          </w:tcPr>
          <w:p w14:paraId="023ABA26" w14:textId="77777777" w:rsidR="001F32A0" w:rsidRPr="0052271C" w:rsidRDefault="001F32A0" w:rsidP="001F32A0">
            <w:pPr>
              <w:ind w:firstLine="38"/>
              <w:rPr>
                <w:i/>
                <w:iCs/>
                <w:lang w:val="sr-Cyrl-RS"/>
              </w:rPr>
            </w:pPr>
            <w:r w:rsidRPr="0052271C">
              <w:rPr>
                <w:i/>
                <w:iCs/>
                <w:lang w:val="sr-Cyrl-RS"/>
              </w:rPr>
              <w:t>2020. године</w:t>
            </w:r>
          </w:p>
        </w:tc>
      </w:tr>
      <w:tr w:rsidR="001F32A0" w:rsidRPr="0052271C" w14:paraId="6A1F298E" w14:textId="77777777" w:rsidTr="00C33400">
        <w:trPr>
          <w:trHeight w:val="567"/>
        </w:trPr>
        <w:tc>
          <w:tcPr>
            <w:tcW w:w="3685" w:type="dxa"/>
            <w:shd w:val="clear" w:color="auto" w:fill="DEEAF6" w:themeFill="accent1" w:themeFillTint="33"/>
            <w:vAlign w:val="center"/>
          </w:tcPr>
          <w:p w14:paraId="0F09C1A0" w14:textId="77777777" w:rsidR="001F32A0" w:rsidRPr="0052271C" w:rsidRDefault="001F32A0" w:rsidP="001F32A0">
            <w:pPr>
              <w:ind w:firstLine="34"/>
              <w:rPr>
                <w:i/>
                <w:lang w:val="sr-Cyrl-RS"/>
              </w:rPr>
            </w:pPr>
            <w:r w:rsidRPr="0052271C">
              <w:rPr>
                <w:i/>
                <w:iCs/>
                <w:lang w:val="sr-Cyrl-RS"/>
              </w:rPr>
              <w:t xml:space="preserve">Циљна вредност: 100% </w:t>
            </w:r>
          </w:p>
        </w:tc>
        <w:tc>
          <w:tcPr>
            <w:tcW w:w="5331" w:type="dxa"/>
            <w:shd w:val="clear" w:color="auto" w:fill="DEEAF6" w:themeFill="accent1" w:themeFillTint="33"/>
            <w:vAlign w:val="center"/>
          </w:tcPr>
          <w:p w14:paraId="0455C97B" w14:textId="77777777" w:rsidR="001F32A0" w:rsidRPr="0052271C" w:rsidRDefault="001F32A0" w:rsidP="001F32A0">
            <w:pPr>
              <w:ind w:firstLine="38"/>
              <w:rPr>
                <w:i/>
                <w:lang w:val="sr-Cyrl-RS"/>
              </w:rPr>
            </w:pPr>
            <w:r w:rsidRPr="0052271C">
              <w:rPr>
                <w:i/>
                <w:lang w:val="sr-Cyrl-RS"/>
              </w:rPr>
              <w:t>2027. године</w:t>
            </w:r>
          </w:p>
        </w:tc>
      </w:tr>
    </w:tbl>
    <w:p w14:paraId="488A1D6E" w14:textId="18DFDE98" w:rsidR="001F32A0" w:rsidRPr="0052271C" w:rsidRDefault="001F32A0" w:rsidP="001F32A0">
      <w:pPr>
        <w:rPr>
          <w:rFonts w:eastAsiaTheme="minorHAnsi"/>
          <w:i/>
          <w:lang w:val="sr-Cyrl-RS" w:eastAsia="en-US"/>
        </w:rPr>
      </w:pPr>
    </w:p>
    <w:p w14:paraId="29D95A7C" w14:textId="77777777" w:rsidR="00D23B49" w:rsidRPr="0052271C" w:rsidRDefault="00D23B49" w:rsidP="001F32A0">
      <w:pPr>
        <w:rPr>
          <w:rFonts w:eastAsiaTheme="minorHAnsi"/>
          <w:i/>
          <w:lang w:val="sr-Cyrl-RS" w:eastAsia="en-US"/>
        </w:rPr>
      </w:pPr>
    </w:p>
    <w:p w14:paraId="2CBD3C8D" w14:textId="26E1D7D0" w:rsidR="00D23B49" w:rsidRPr="0052271C" w:rsidRDefault="00AF3CCF" w:rsidP="00AF3CCF">
      <w:pPr>
        <w:keepNext/>
        <w:jc w:val="center"/>
        <w:outlineLvl w:val="1"/>
        <w:rPr>
          <w:rFonts w:eastAsiaTheme="minorHAnsi"/>
          <w:bCs/>
          <w:iCs/>
          <w:lang w:val="sr-Cyrl-RS" w:eastAsia="en-US"/>
        </w:rPr>
      </w:pPr>
      <w:bookmarkStart w:id="61" w:name="_Toc63452466"/>
      <w:bookmarkStart w:id="62" w:name="_Toc63587101"/>
      <w:r w:rsidRPr="0052271C">
        <w:rPr>
          <w:rFonts w:eastAsiaTheme="minorHAnsi"/>
          <w:bCs/>
          <w:iCs/>
          <w:lang w:val="sr-Cyrl-RS" w:eastAsia="en-US"/>
        </w:rPr>
        <w:t>2.</w:t>
      </w:r>
      <w:r w:rsidRPr="0052271C">
        <w:rPr>
          <w:rFonts w:eastAsiaTheme="minorHAnsi"/>
          <w:bCs/>
          <w:iCs/>
          <w:lang w:val="sr-Cyrl-RS"/>
        </w:rPr>
        <w:t xml:space="preserve"> Индикатори учинка првог посебног циља</w:t>
      </w:r>
    </w:p>
    <w:p w14:paraId="6A21E26F" w14:textId="5CFA22CA" w:rsidR="00D23B49" w:rsidRPr="0052271C" w:rsidRDefault="00D23B49" w:rsidP="00D23B49">
      <w:pPr>
        <w:keepNext/>
        <w:jc w:val="both"/>
        <w:outlineLvl w:val="1"/>
        <w:rPr>
          <w:rFonts w:eastAsiaTheme="minorHAnsi"/>
          <w:b/>
          <w:bCs/>
          <w:iCs/>
          <w:lang w:val="sr-Cyrl-RS" w:eastAsia="en-US"/>
        </w:rPr>
      </w:pPr>
    </w:p>
    <w:p w14:paraId="031575A1" w14:textId="77777777" w:rsidR="00D23B49" w:rsidRPr="0052271C" w:rsidRDefault="00D23B49" w:rsidP="00D23B49">
      <w:pPr>
        <w:keepNext/>
        <w:jc w:val="both"/>
        <w:outlineLvl w:val="1"/>
        <w:rPr>
          <w:rFonts w:eastAsiaTheme="minorHAnsi"/>
          <w:b/>
          <w:bCs/>
          <w:iCs/>
          <w:lang w:val="sr-Cyrl-RS" w:eastAsia="en-US"/>
        </w:rPr>
      </w:pPr>
    </w:p>
    <w:p w14:paraId="7597CD90" w14:textId="5E226FA5" w:rsidR="001F32A0" w:rsidRPr="0052271C" w:rsidRDefault="001F32A0" w:rsidP="00D23B49">
      <w:pPr>
        <w:keepNext/>
        <w:jc w:val="both"/>
        <w:outlineLvl w:val="1"/>
        <w:rPr>
          <w:rFonts w:eastAsiaTheme="minorHAnsi"/>
          <w:b/>
          <w:bCs/>
          <w:iCs/>
          <w:lang w:val="sr-Cyrl-RS" w:eastAsia="en-US"/>
        </w:rPr>
      </w:pPr>
      <w:r w:rsidRPr="0052271C">
        <w:rPr>
          <w:rFonts w:eastAsiaTheme="minorHAnsi"/>
          <w:b/>
          <w:bCs/>
          <w:iCs/>
          <w:lang w:val="sr-Cyrl-RS" w:eastAsia="en-US"/>
        </w:rPr>
        <w:t xml:space="preserve"> </w:t>
      </w:r>
      <w:r w:rsidRPr="0052271C">
        <w:rPr>
          <w:rFonts w:eastAsiaTheme="minorHAnsi"/>
          <w:bCs/>
          <w:iCs/>
          <w:lang w:val="sr-Cyrl-RS" w:eastAsia="en-US"/>
        </w:rPr>
        <w:t>На нивоу првог посебног циља</w:t>
      </w:r>
      <w:r w:rsidRPr="0052271C">
        <w:rPr>
          <w:rFonts w:eastAsiaTheme="minorHAnsi"/>
          <w:b/>
          <w:bCs/>
          <w:iCs/>
          <w:lang w:val="sr-Cyrl-RS" w:eastAsia="en-US"/>
        </w:rPr>
        <w:t xml:space="preserve"> </w:t>
      </w:r>
      <w:r w:rsidRPr="0052271C">
        <w:rPr>
          <w:rFonts w:eastAsiaTheme="minorHAnsi"/>
          <w:bCs/>
          <w:iCs/>
          <w:lang w:val="sr-Cyrl-RS" w:eastAsia="en-US"/>
        </w:rPr>
        <w:t>- развој јединственог оквира власништва и управљања за св</w:t>
      </w:r>
      <w:r w:rsidR="00143B28" w:rsidRPr="0052271C">
        <w:rPr>
          <w:rFonts w:eastAsiaTheme="minorHAnsi"/>
          <w:bCs/>
          <w:iCs/>
          <w:lang w:val="sr-Cyrl-RS" w:eastAsia="en-US"/>
        </w:rPr>
        <w:t>е</w:t>
      </w:r>
      <w:r w:rsidRPr="0052271C">
        <w:rPr>
          <w:rFonts w:eastAsiaTheme="minorHAnsi"/>
          <w:bCs/>
          <w:iCs/>
          <w:lang w:val="sr-Cyrl-RS" w:eastAsia="en-US"/>
        </w:rPr>
        <w:t xml:space="preserve"> ПСРС,</w:t>
      </w:r>
      <w:r w:rsidRPr="0052271C">
        <w:rPr>
          <w:rFonts w:eastAsiaTheme="minorHAnsi"/>
          <w:b/>
          <w:bCs/>
          <w:iCs/>
          <w:lang w:val="sr-Cyrl-RS" w:eastAsia="en-US"/>
        </w:rPr>
        <w:t xml:space="preserve"> </w:t>
      </w:r>
      <w:r w:rsidR="00A87164" w:rsidRPr="0052271C">
        <w:rPr>
          <w:rFonts w:eastAsiaTheme="minorHAnsi"/>
          <w:bCs/>
          <w:iCs/>
          <w:lang w:val="sr-Cyrl-RS" w:eastAsia="en-US"/>
        </w:rPr>
        <w:t>дефинисани су следећи кључни индикатор</w:t>
      </w:r>
      <w:r w:rsidRPr="0052271C">
        <w:rPr>
          <w:rFonts w:eastAsiaTheme="minorHAnsi"/>
          <w:bCs/>
          <w:iCs/>
          <w:lang w:val="sr-Cyrl-RS" w:eastAsia="en-US"/>
        </w:rPr>
        <w:t>и учинка:</w:t>
      </w:r>
      <w:bookmarkEnd w:id="61"/>
      <w:bookmarkEnd w:id="62"/>
    </w:p>
    <w:p w14:paraId="0956CD40" w14:textId="77777777" w:rsidR="00A948B6" w:rsidRPr="0052271C" w:rsidRDefault="00A948B6" w:rsidP="00A948B6">
      <w:pPr>
        <w:rPr>
          <w:rFonts w:eastAsiaTheme="minorHAnsi"/>
          <w:b/>
          <w:bCs/>
          <w:iCs/>
          <w:lang w:val="sr-Cyrl-RS" w:eastAsia="en-US"/>
        </w:rPr>
      </w:pPr>
    </w:p>
    <w:tbl>
      <w:tblPr>
        <w:tblStyle w:val="TableGrid5"/>
        <w:tblW w:w="0" w:type="auto"/>
        <w:tblLook w:val="04A0" w:firstRow="1" w:lastRow="0" w:firstColumn="1" w:lastColumn="0" w:noHBand="0" w:noVBand="1"/>
      </w:tblPr>
      <w:tblGrid>
        <w:gridCol w:w="3630"/>
        <w:gridCol w:w="5386"/>
      </w:tblGrid>
      <w:tr w:rsidR="00A948B6" w:rsidRPr="0052271C" w14:paraId="3F7BA714" w14:textId="77777777" w:rsidTr="001F6A59">
        <w:trPr>
          <w:trHeight w:val="567"/>
        </w:trPr>
        <w:tc>
          <w:tcPr>
            <w:tcW w:w="9016" w:type="dxa"/>
            <w:gridSpan w:val="2"/>
            <w:shd w:val="clear" w:color="auto" w:fill="DEEAF6" w:themeFill="accent1" w:themeFillTint="33"/>
          </w:tcPr>
          <w:p w14:paraId="222D50A6" w14:textId="5595385C" w:rsidR="00A948B6" w:rsidRPr="0052271C" w:rsidRDefault="00A948B6" w:rsidP="008571BC">
            <w:pPr>
              <w:tabs>
                <w:tab w:val="num" w:pos="1134"/>
              </w:tabs>
              <w:rPr>
                <w:lang w:val="sr-Cyrl-RS"/>
              </w:rPr>
            </w:pPr>
            <w:r w:rsidRPr="0052271C">
              <w:rPr>
                <w:lang w:val="sr-Cyrl-RS"/>
              </w:rPr>
              <w:t>Успостављен јединствен оквир власништва за св</w:t>
            </w:r>
            <w:r w:rsidR="00143B28" w:rsidRPr="0052271C">
              <w:rPr>
                <w:lang w:val="sr-Cyrl-RS"/>
              </w:rPr>
              <w:t>е</w:t>
            </w:r>
            <w:r w:rsidRPr="0052271C">
              <w:rPr>
                <w:lang w:val="sr-Cyrl-RS"/>
              </w:rPr>
              <w:t xml:space="preserve"> ПСРС                                                               (извор: извештаји Министарства)</w:t>
            </w:r>
          </w:p>
        </w:tc>
      </w:tr>
      <w:tr w:rsidR="00A948B6" w:rsidRPr="0052271C" w14:paraId="1A81776E" w14:textId="77777777" w:rsidTr="001F6A59">
        <w:trPr>
          <w:trHeight w:val="567"/>
        </w:trPr>
        <w:tc>
          <w:tcPr>
            <w:tcW w:w="3630" w:type="dxa"/>
            <w:shd w:val="clear" w:color="auto" w:fill="DEEAF6" w:themeFill="accent1" w:themeFillTint="33"/>
            <w:vAlign w:val="center"/>
          </w:tcPr>
          <w:p w14:paraId="05C57BA4" w14:textId="77777777" w:rsidR="00A948B6" w:rsidRPr="0052271C" w:rsidRDefault="00A948B6" w:rsidP="001F6A59">
            <w:pPr>
              <w:rPr>
                <w:i/>
                <w:iCs/>
                <w:lang w:val="sr-Cyrl-RS"/>
              </w:rPr>
            </w:pPr>
            <w:r w:rsidRPr="0052271C">
              <w:rPr>
                <w:i/>
                <w:iCs/>
                <w:lang w:val="sr-Cyrl-RS"/>
              </w:rPr>
              <w:t xml:space="preserve">Почетна вредност: </w:t>
            </w:r>
            <w:r w:rsidRPr="0052271C">
              <w:rPr>
                <w:i/>
                <w:lang w:val="sr-Cyrl-RS"/>
              </w:rPr>
              <w:t xml:space="preserve">не </w:t>
            </w:r>
          </w:p>
        </w:tc>
        <w:tc>
          <w:tcPr>
            <w:tcW w:w="5386" w:type="dxa"/>
            <w:shd w:val="clear" w:color="auto" w:fill="DEEAF6" w:themeFill="accent1" w:themeFillTint="33"/>
            <w:vAlign w:val="center"/>
          </w:tcPr>
          <w:p w14:paraId="04250019" w14:textId="77777777" w:rsidR="00A948B6" w:rsidRPr="0052271C" w:rsidRDefault="00A948B6" w:rsidP="001F6A59">
            <w:pPr>
              <w:rPr>
                <w:i/>
                <w:iCs/>
                <w:lang w:val="sr-Cyrl-RS"/>
              </w:rPr>
            </w:pPr>
            <w:r w:rsidRPr="0052271C">
              <w:rPr>
                <w:i/>
                <w:iCs/>
                <w:lang w:val="sr-Cyrl-RS"/>
              </w:rPr>
              <w:t>2020. године</w:t>
            </w:r>
          </w:p>
        </w:tc>
      </w:tr>
      <w:tr w:rsidR="00A948B6" w:rsidRPr="0052271C" w14:paraId="72718DB8" w14:textId="77777777" w:rsidTr="001F6A59">
        <w:trPr>
          <w:trHeight w:val="567"/>
        </w:trPr>
        <w:tc>
          <w:tcPr>
            <w:tcW w:w="3630" w:type="dxa"/>
            <w:shd w:val="clear" w:color="auto" w:fill="DEEAF6" w:themeFill="accent1" w:themeFillTint="33"/>
            <w:vAlign w:val="center"/>
          </w:tcPr>
          <w:p w14:paraId="73CF8136" w14:textId="77777777" w:rsidR="00A948B6" w:rsidRPr="0052271C" w:rsidRDefault="00A948B6" w:rsidP="001F6A59">
            <w:pPr>
              <w:rPr>
                <w:lang w:val="sr-Cyrl-RS"/>
              </w:rPr>
            </w:pPr>
            <w:r w:rsidRPr="0052271C">
              <w:rPr>
                <w:i/>
                <w:iCs/>
                <w:lang w:val="sr-Cyrl-RS"/>
              </w:rPr>
              <w:t xml:space="preserve">Циљна вредност: </w:t>
            </w:r>
            <w:r w:rsidRPr="0052271C">
              <w:rPr>
                <w:i/>
                <w:lang w:val="sr-Cyrl-RS"/>
              </w:rPr>
              <w:t>да</w:t>
            </w:r>
          </w:p>
        </w:tc>
        <w:tc>
          <w:tcPr>
            <w:tcW w:w="5386" w:type="dxa"/>
            <w:shd w:val="clear" w:color="auto" w:fill="DEEAF6" w:themeFill="accent1" w:themeFillTint="33"/>
            <w:vAlign w:val="center"/>
          </w:tcPr>
          <w:p w14:paraId="7A9CF50B" w14:textId="4B71D391" w:rsidR="00A948B6" w:rsidRPr="0052271C" w:rsidRDefault="00A948B6" w:rsidP="001F6A59">
            <w:pPr>
              <w:rPr>
                <w:i/>
                <w:lang w:val="sr-Cyrl-RS"/>
              </w:rPr>
            </w:pPr>
            <w:r w:rsidRPr="0052271C">
              <w:rPr>
                <w:i/>
                <w:lang w:val="sr-Cyrl-RS"/>
              </w:rPr>
              <w:t>2027. године</w:t>
            </w:r>
          </w:p>
        </w:tc>
      </w:tr>
    </w:tbl>
    <w:p w14:paraId="405487B8" w14:textId="77777777" w:rsidR="00810770" w:rsidRPr="0052271C" w:rsidRDefault="00810770" w:rsidP="00A948B6">
      <w:pPr>
        <w:rPr>
          <w:rFonts w:eastAsiaTheme="minorHAnsi"/>
          <w:b/>
          <w:bCs/>
          <w:iCs/>
          <w:lang w:val="sr-Cyrl-RS" w:eastAsia="en-US"/>
        </w:rPr>
      </w:pPr>
    </w:p>
    <w:p w14:paraId="177C6089" w14:textId="1E08C0A5" w:rsidR="00A948B6" w:rsidRPr="0052271C" w:rsidRDefault="00A948B6" w:rsidP="00197194">
      <w:pPr>
        <w:ind w:firstLine="567"/>
        <w:jc w:val="both"/>
        <w:rPr>
          <w:rFonts w:eastAsiaTheme="minorHAnsi"/>
          <w:b/>
          <w:bCs/>
          <w:iCs/>
          <w:lang w:val="sr-Cyrl-RS" w:eastAsia="en-US"/>
        </w:rPr>
      </w:pPr>
      <w:r w:rsidRPr="0052271C">
        <w:rPr>
          <w:rFonts w:eastAsiaTheme="minorHAnsi"/>
          <w:bCs/>
          <w:iCs/>
          <w:lang w:val="sr-Cyrl-RS" w:eastAsia="en-US"/>
        </w:rPr>
        <w:t>На нивоу мера првог посебног циља,</w:t>
      </w:r>
      <w:r w:rsidRPr="0052271C">
        <w:rPr>
          <w:rFonts w:eastAsiaTheme="minorHAnsi"/>
          <w:b/>
          <w:bCs/>
          <w:iCs/>
          <w:lang w:val="sr-Cyrl-RS" w:eastAsia="en-US"/>
        </w:rPr>
        <w:t xml:space="preserve"> </w:t>
      </w:r>
      <w:r w:rsidRPr="0052271C">
        <w:rPr>
          <w:rFonts w:eastAsiaTheme="minorHAnsi"/>
          <w:bCs/>
          <w:iCs/>
          <w:lang w:val="sr-Cyrl-RS" w:eastAsia="en-US"/>
        </w:rPr>
        <w:t xml:space="preserve">дефинисани су </w:t>
      </w:r>
      <w:r w:rsidR="00831B67" w:rsidRPr="0052271C">
        <w:rPr>
          <w:rFonts w:eastAsiaTheme="minorHAnsi"/>
          <w:bCs/>
          <w:iCs/>
          <w:lang w:val="sr-Cyrl-RS" w:eastAsia="en-US"/>
        </w:rPr>
        <w:t>следећи</w:t>
      </w:r>
      <w:r w:rsidRPr="0052271C">
        <w:rPr>
          <w:rFonts w:eastAsiaTheme="minorHAnsi"/>
          <w:bCs/>
          <w:iCs/>
          <w:lang w:val="sr-Cyrl-RS" w:eastAsia="en-US"/>
        </w:rPr>
        <w:t xml:space="preserve"> кључни </w:t>
      </w:r>
      <w:r w:rsidR="00A87164" w:rsidRPr="0052271C">
        <w:rPr>
          <w:rFonts w:eastAsiaTheme="minorHAnsi"/>
          <w:bCs/>
          <w:iCs/>
          <w:lang w:val="sr-Cyrl-RS" w:eastAsia="en-US"/>
        </w:rPr>
        <w:t>индикатори</w:t>
      </w:r>
      <w:r w:rsidRPr="0052271C">
        <w:rPr>
          <w:rFonts w:eastAsiaTheme="minorHAnsi"/>
          <w:bCs/>
          <w:iCs/>
          <w:lang w:val="sr-Cyrl-RS" w:eastAsia="en-US"/>
        </w:rPr>
        <w:t xml:space="preserve"> учинка:</w:t>
      </w:r>
    </w:p>
    <w:p w14:paraId="5BB60DE3" w14:textId="77777777" w:rsidR="001F32A0" w:rsidRPr="0052271C" w:rsidRDefault="001F32A0" w:rsidP="001F32A0">
      <w:pPr>
        <w:rPr>
          <w:rFonts w:eastAsiaTheme="minorHAnsi"/>
          <w:lang w:val="sr-Cyrl-RS" w:eastAsia="en-US"/>
        </w:rPr>
      </w:pPr>
    </w:p>
    <w:tbl>
      <w:tblPr>
        <w:tblStyle w:val="TableGrid5"/>
        <w:tblW w:w="0" w:type="auto"/>
        <w:tblLook w:val="04A0" w:firstRow="1" w:lastRow="0" w:firstColumn="1" w:lastColumn="0" w:noHBand="0" w:noVBand="1"/>
      </w:tblPr>
      <w:tblGrid>
        <w:gridCol w:w="3630"/>
        <w:gridCol w:w="51"/>
        <w:gridCol w:w="5335"/>
      </w:tblGrid>
      <w:tr w:rsidR="001F32A0" w:rsidRPr="0052271C" w14:paraId="109BAEF9" w14:textId="77777777" w:rsidTr="00A709F3">
        <w:trPr>
          <w:trHeight w:val="567"/>
        </w:trPr>
        <w:tc>
          <w:tcPr>
            <w:tcW w:w="9016" w:type="dxa"/>
            <w:gridSpan w:val="3"/>
            <w:shd w:val="clear" w:color="auto" w:fill="DEEAF6" w:themeFill="accent1" w:themeFillTint="33"/>
          </w:tcPr>
          <w:p w14:paraId="723FB1FA" w14:textId="74B4110D" w:rsidR="001F32A0" w:rsidRPr="0052271C" w:rsidRDefault="001F32A0" w:rsidP="00DF5F71">
            <w:pPr>
              <w:tabs>
                <w:tab w:val="num" w:pos="1134"/>
              </w:tabs>
              <w:jc w:val="both"/>
              <w:rPr>
                <w:lang w:val="sr-Cyrl-RS"/>
              </w:rPr>
            </w:pPr>
            <w:r w:rsidRPr="0052271C">
              <w:rPr>
                <w:lang w:val="sr-Cyrl-RS"/>
              </w:rPr>
              <w:t>Израђен нови правни оквир (закони и подзаконски акти) кој</w:t>
            </w:r>
            <w:r w:rsidR="00DF5F71" w:rsidRPr="0052271C">
              <w:rPr>
                <w:lang w:val="sr-Cyrl-RS"/>
              </w:rPr>
              <w:t>и</w:t>
            </w:r>
            <w:r w:rsidRPr="0052271C">
              <w:rPr>
                <w:lang w:val="sr-Cyrl-RS"/>
              </w:rPr>
              <w:t xml:space="preserve"> се примењује на св</w:t>
            </w:r>
            <w:r w:rsidR="00143B28" w:rsidRPr="0052271C">
              <w:rPr>
                <w:lang w:val="sr-Cyrl-RS"/>
              </w:rPr>
              <w:t>е</w:t>
            </w:r>
            <w:r w:rsidRPr="0052271C">
              <w:rPr>
                <w:lang w:val="sr-Cyrl-RS"/>
              </w:rPr>
              <w:t xml:space="preserve"> ПСРС (извор: </w:t>
            </w:r>
            <w:r w:rsidR="00AF3CCF" w:rsidRPr="0052271C">
              <w:rPr>
                <w:lang w:val="sr-Cyrl-RS"/>
              </w:rPr>
              <w:t>„</w:t>
            </w:r>
            <w:r w:rsidRPr="0052271C">
              <w:rPr>
                <w:lang w:val="sr-Cyrl-RS"/>
              </w:rPr>
              <w:t>Службени гласник Републике Србије</w:t>
            </w:r>
            <w:r w:rsidR="00AF3CCF" w:rsidRPr="0052271C">
              <w:rPr>
                <w:lang w:val="sr-Cyrl-RS"/>
              </w:rPr>
              <w:t>ˮ</w:t>
            </w:r>
            <w:r w:rsidRPr="0052271C">
              <w:rPr>
                <w:lang w:val="sr-Cyrl-RS"/>
              </w:rPr>
              <w:t>)</w:t>
            </w:r>
          </w:p>
        </w:tc>
      </w:tr>
      <w:tr w:rsidR="001F32A0" w:rsidRPr="0052271C" w14:paraId="71178A85" w14:textId="77777777" w:rsidTr="00C33400">
        <w:trPr>
          <w:trHeight w:val="567"/>
        </w:trPr>
        <w:tc>
          <w:tcPr>
            <w:tcW w:w="3630" w:type="dxa"/>
            <w:shd w:val="clear" w:color="auto" w:fill="DEEAF6" w:themeFill="accent1" w:themeFillTint="33"/>
            <w:vAlign w:val="center"/>
          </w:tcPr>
          <w:p w14:paraId="3F943058" w14:textId="77777777" w:rsidR="001F32A0" w:rsidRPr="0052271C" w:rsidRDefault="001F32A0" w:rsidP="001F32A0">
            <w:pPr>
              <w:rPr>
                <w:i/>
                <w:iCs/>
                <w:lang w:val="sr-Cyrl-RS"/>
              </w:rPr>
            </w:pPr>
            <w:r w:rsidRPr="0052271C">
              <w:rPr>
                <w:i/>
                <w:iCs/>
                <w:lang w:val="sr-Cyrl-RS"/>
              </w:rPr>
              <w:t xml:space="preserve">Почетна вредност: </w:t>
            </w:r>
            <w:r w:rsidRPr="0052271C">
              <w:rPr>
                <w:i/>
                <w:lang w:val="sr-Cyrl-RS"/>
              </w:rPr>
              <w:t xml:space="preserve">не </w:t>
            </w:r>
          </w:p>
        </w:tc>
        <w:tc>
          <w:tcPr>
            <w:tcW w:w="5386" w:type="dxa"/>
            <w:gridSpan w:val="2"/>
            <w:shd w:val="clear" w:color="auto" w:fill="DEEAF6" w:themeFill="accent1" w:themeFillTint="33"/>
            <w:vAlign w:val="center"/>
          </w:tcPr>
          <w:p w14:paraId="330F680D" w14:textId="2E24F797" w:rsidR="001F32A0" w:rsidRPr="0052271C" w:rsidRDefault="004F52CE" w:rsidP="001F32A0">
            <w:pPr>
              <w:rPr>
                <w:i/>
                <w:iCs/>
                <w:lang w:val="sr-Cyrl-RS"/>
              </w:rPr>
            </w:pPr>
            <w:r w:rsidRPr="0052271C">
              <w:rPr>
                <w:i/>
                <w:iCs/>
                <w:lang w:val="sr-Cyrl-RS"/>
              </w:rPr>
              <w:t>2020</w:t>
            </w:r>
            <w:r w:rsidR="001F32A0" w:rsidRPr="0052271C">
              <w:rPr>
                <w:i/>
                <w:iCs/>
                <w:lang w:val="sr-Cyrl-RS"/>
              </w:rPr>
              <w:t>. године</w:t>
            </w:r>
          </w:p>
        </w:tc>
      </w:tr>
      <w:tr w:rsidR="001F32A0" w:rsidRPr="0052271C" w14:paraId="7071A73D" w14:textId="77777777" w:rsidTr="00C33400">
        <w:trPr>
          <w:trHeight w:val="567"/>
        </w:trPr>
        <w:tc>
          <w:tcPr>
            <w:tcW w:w="3630" w:type="dxa"/>
            <w:shd w:val="clear" w:color="auto" w:fill="DEEAF6" w:themeFill="accent1" w:themeFillTint="33"/>
            <w:vAlign w:val="center"/>
          </w:tcPr>
          <w:p w14:paraId="2F29FB51" w14:textId="77777777" w:rsidR="001F32A0" w:rsidRPr="0052271C" w:rsidRDefault="001F32A0" w:rsidP="001F32A0">
            <w:pPr>
              <w:rPr>
                <w:lang w:val="sr-Cyrl-RS"/>
              </w:rPr>
            </w:pPr>
            <w:r w:rsidRPr="0052271C">
              <w:rPr>
                <w:i/>
                <w:iCs/>
                <w:lang w:val="sr-Cyrl-RS"/>
              </w:rPr>
              <w:t xml:space="preserve">Циљна вредност: </w:t>
            </w:r>
            <w:r w:rsidRPr="0052271C">
              <w:rPr>
                <w:i/>
                <w:lang w:val="sr-Cyrl-RS"/>
              </w:rPr>
              <w:t>да</w:t>
            </w:r>
          </w:p>
        </w:tc>
        <w:tc>
          <w:tcPr>
            <w:tcW w:w="5386" w:type="dxa"/>
            <w:gridSpan w:val="2"/>
            <w:shd w:val="clear" w:color="auto" w:fill="DEEAF6" w:themeFill="accent1" w:themeFillTint="33"/>
            <w:vAlign w:val="center"/>
          </w:tcPr>
          <w:p w14:paraId="789B1496" w14:textId="036E4972" w:rsidR="001F32A0" w:rsidRPr="0052271C" w:rsidRDefault="004F52CE" w:rsidP="001F32A0">
            <w:pPr>
              <w:rPr>
                <w:i/>
                <w:lang w:val="sr-Cyrl-RS"/>
              </w:rPr>
            </w:pPr>
            <w:r w:rsidRPr="0052271C">
              <w:rPr>
                <w:i/>
                <w:lang w:val="sr-Cyrl-RS"/>
              </w:rPr>
              <w:t>2022</w:t>
            </w:r>
            <w:r w:rsidR="001F32A0" w:rsidRPr="0052271C">
              <w:rPr>
                <w:i/>
                <w:lang w:val="sr-Cyrl-RS"/>
              </w:rPr>
              <w:t>. године</w:t>
            </w:r>
          </w:p>
        </w:tc>
      </w:tr>
      <w:tr w:rsidR="007A09D5" w:rsidRPr="0052271C" w14:paraId="26E1FFEF" w14:textId="77777777" w:rsidTr="00810770">
        <w:trPr>
          <w:trHeight w:val="567"/>
        </w:trPr>
        <w:tc>
          <w:tcPr>
            <w:tcW w:w="9016" w:type="dxa"/>
            <w:gridSpan w:val="3"/>
            <w:tcBorders>
              <w:left w:val="nil"/>
              <w:right w:val="nil"/>
            </w:tcBorders>
            <w:shd w:val="clear" w:color="auto" w:fill="auto"/>
            <w:vAlign w:val="center"/>
          </w:tcPr>
          <w:p w14:paraId="7A97A6AC" w14:textId="77777777" w:rsidR="007A09D5" w:rsidRPr="0052271C" w:rsidRDefault="007A09D5" w:rsidP="001F32A0">
            <w:pPr>
              <w:rPr>
                <w:i/>
                <w:lang w:val="sr-Cyrl-RS"/>
              </w:rPr>
            </w:pPr>
          </w:p>
        </w:tc>
      </w:tr>
      <w:tr w:rsidR="001F32A0" w:rsidRPr="0052271C" w14:paraId="3E58A943" w14:textId="77777777" w:rsidTr="00A709F3">
        <w:trPr>
          <w:trHeight w:val="567"/>
        </w:trPr>
        <w:tc>
          <w:tcPr>
            <w:tcW w:w="9016" w:type="dxa"/>
            <w:gridSpan w:val="3"/>
            <w:shd w:val="clear" w:color="auto" w:fill="DEEAF6" w:themeFill="accent1" w:themeFillTint="33"/>
          </w:tcPr>
          <w:p w14:paraId="05A8F8AD" w14:textId="2E6DD019" w:rsidR="001F32A0" w:rsidRPr="0052271C" w:rsidRDefault="001F32A0" w:rsidP="008571BC">
            <w:pPr>
              <w:rPr>
                <w:rFonts w:eastAsiaTheme="minorHAnsi"/>
                <w:lang w:val="sr-Cyrl-RS" w:eastAsia="en-US"/>
              </w:rPr>
            </w:pPr>
            <w:r w:rsidRPr="0052271C">
              <w:rPr>
                <w:rFonts w:eastAsiaTheme="minorHAnsi"/>
                <w:lang w:val="sr-Cyrl-RS" w:eastAsia="en-US"/>
              </w:rPr>
              <w:t>Број јавних предузећа која нису корпоративизована</w:t>
            </w:r>
            <w:r w:rsidR="00A948B6" w:rsidRPr="0052271C">
              <w:rPr>
                <w:rFonts w:eastAsiaTheme="minorHAnsi"/>
                <w:lang w:val="sr-Cyrl-RS" w:eastAsia="en-US"/>
              </w:rPr>
              <w:t xml:space="preserve">                                                           </w:t>
            </w:r>
            <w:r w:rsidR="008571BC" w:rsidRPr="0052271C">
              <w:rPr>
                <w:rFonts w:eastAsiaTheme="minorHAnsi"/>
                <w:lang w:val="sr-Cyrl-RS" w:eastAsia="en-US"/>
              </w:rPr>
              <w:t xml:space="preserve"> (извор: извештаји Министарства</w:t>
            </w:r>
            <w:r w:rsidRPr="0052271C">
              <w:rPr>
                <w:rFonts w:eastAsiaTheme="minorHAnsi"/>
                <w:lang w:val="sr-Cyrl-RS" w:eastAsia="en-US"/>
              </w:rPr>
              <w:t>)</w:t>
            </w:r>
          </w:p>
        </w:tc>
      </w:tr>
      <w:tr w:rsidR="001F32A0" w:rsidRPr="0052271C" w14:paraId="1767B478" w14:textId="77777777" w:rsidTr="00A709F3">
        <w:trPr>
          <w:trHeight w:val="567"/>
        </w:trPr>
        <w:tc>
          <w:tcPr>
            <w:tcW w:w="3681" w:type="dxa"/>
            <w:gridSpan w:val="2"/>
            <w:shd w:val="clear" w:color="auto" w:fill="DEEAF6" w:themeFill="accent1" w:themeFillTint="33"/>
            <w:vAlign w:val="center"/>
          </w:tcPr>
          <w:p w14:paraId="6A6253D1" w14:textId="77777777" w:rsidR="001F32A0" w:rsidRPr="0052271C" w:rsidRDefault="001F32A0" w:rsidP="001F32A0">
            <w:pPr>
              <w:rPr>
                <w:rFonts w:eastAsiaTheme="minorHAnsi"/>
                <w:i/>
                <w:iCs/>
                <w:lang w:val="sr-Cyrl-RS" w:eastAsia="en-US"/>
              </w:rPr>
            </w:pPr>
            <w:r w:rsidRPr="0052271C">
              <w:rPr>
                <w:rFonts w:eastAsiaTheme="minorHAnsi"/>
                <w:i/>
                <w:iCs/>
                <w:lang w:val="sr-Cyrl-RS" w:eastAsia="en-US"/>
              </w:rPr>
              <w:t xml:space="preserve">Почетна вредност: 26 </w:t>
            </w:r>
          </w:p>
        </w:tc>
        <w:tc>
          <w:tcPr>
            <w:tcW w:w="5335" w:type="dxa"/>
            <w:shd w:val="clear" w:color="auto" w:fill="DEEAF6" w:themeFill="accent1" w:themeFillTint="33"/>
            <w:vAlign w:val="center"/>
          </w:tcPr>
          <w:p w14:paraId="59366904" w14:textId="77777777" w:rsidR="001F32A0" w:rsidRPr="0052271C" w:rsidRDefault="001F32A0" w:rsidP="001F32A0">
            <w:pPr>
              <w:rPr>
                <w:rFonts w:eastAsiaTheme="minorHAnsi"/>
                <w:i/>
                <w:iCs/>
                <w:lang w:val="sr-Cyrl-RS" w:eastAsia="en-US"/>
              </w:rPr>
            </w:pPr>
            <w:r w:rsidRPr="0052271C">
              <w:rPr>
                <w:rFonts w:eastAsiaTheme="minorHAnsi"/>
                <w:i/>
                <w:iCs/>
                <w:lang w:val="sr-Cyrl-RS" w:eastAsia="en-US"/>
              </w:rPr>
              <w:t>2020. године</w:t>
            </w:r>
          </w:p>
        </w:tc>
      </w:tr>
      <w:tr w:rsidR="001F32A0" w:rsidRPr="0052271C" w14:paraId="1C14994F" w14:textId="77777777" w:rsidTr="00A709F3">
        <w:trPr>
          <w:trHeight w:val="567"/>
        </w:trPr>
        <w:tc>
          <w:tcPr>
            <w:tcW w:w="3681" w:type="dxa"/>
            <w:gridSpan w:val="2"/>
            <w:shd w:val="clear" w:color="auto" w:fill="DEEAF6" w:themeFill="accent1" w:themeFillTint="33"/>
            <w:vAlign w:val="center"/>
          </w:tcPr>
          <w:p w14:paraId="0083164C" w14:textId="77777777" w:rsidR="001F32A0" w:rsidRPr="0052271C" w:rsidRDefault="001F32A0" w:rsidP="001F32A0">
            <w:pPr>
              <w:rPr>
                <w:rFonts w:eastAsiaTheme="minorHAnsi"/>
                <w:lang w:val="sr-Cyrl-RS" w:eastAsia="en-US"/>
              </w:rPr>
            </w:pPr>
            <w:r w:rsidRPr="0052271C">
              <w:rPr>
                <w:rFonts w:eastAsiaTheme="minorHAnsi"/>
                <w:i/>
                <w:iCs/>
                <w:lang w:val="sr-Cyrl-RS" w:eastAsia="en-US"/>
              </w:rPr>
              <w:t xml:space="preserve">Циљна вредност: 0 </w:t>
            </w:r>
          </w:p>
        </w:tc>
        <w:tc>
          <w:tcPr>
            <w:tcW w:w="5335" w:type="dxa"/>
            <w:shd w:val="clear" w:color="auto" w:fill="DEEAF6" w:themeFill="accent1" w:themeFillTint="33"/>
            <w:vAlign w:val="center"/>
          </w:tcPr>
          <w:p w14:paraId="3FFB05A6" w14:textId="77777777" w:rsidR="001F32A0" w:rsidRPr="0052271C" w:rsidRDefault="001F32A0" w:rsidP="001F32A0">
            <w:pPr>
              <w:rPr>
                <w:rFonts w:eastAsiaTheme="minorHAnsi"/>
                <w:lang w:val="sr-Cyrl-RS" w:eastAsia="en-US"/>
              </w:rPr>
            </w:pPr>
            <w:r w:rsidRPr="0052271C">
              <w:rPr>
                <w:rFonts w:eastAsiaTheme="minorHAnsi"/>
                <w:i/>
                <w:iCs/>
                <w:lang w:val="sr-Cyrl-RS" w:eastAsia="en-US"/>
              </w:rPr>
              <w:t>2027. године</w:t>
            </w:r>
          </w:p>
        </w:tc>
      </w:tr>
    </w:tbl>
    <w:p w14:paraId="5D4A2F22" w14:textId="77777777" w:rsidR="001F32A0" w:rsidRPr="0052271C" w:rsidRDefault="001F32A0" w:rsidP="001F32A0">
      <w:pPr>
        <w:rPr>
          <w:rFonts w:eastAsiaTheme="minorHAnsi"/>
          <w:lang w:val="sr-Cyrl-RS" w:eastAsia="en-US"/>
        </w:rPr>
      </w:pPr>
    </w:p>
    <w:p w14:paraId="1A0879D1" w14:textId="77777777" w:rsidR="009D23DA" w:rsidRPr="0052271C" w:rsidRDefault="009D23DA" w:rsidP="001F32A0">
      <w:pPr>
        <w:rPr>
          <w:rFonts w:eastAsiaTheme="minorHAnsi"/>
          <w:lang w:val="sr-Cyrl-RS" w:eastAsia="en-US"/>
        </w:rPr>
      </w:pPr>
    </w:p>
    <w:tbl>
      <w:tblPr>
        <w:tblStyle w:val="TableGrid5"/>
        <w:tblW w:w="0" w:type="auto"/>
        <w:tblLook w:val="04A0" w:firstRow="1" w:lastRow="0" w:firstColumn="1" w:lastColumn="0" w:noHBand="0" w:noVBand="1"/>
      </w:tblPr>
      <w:tblGrid>
        <w:gridCol w:w="3681"/>
        <w:gridCol w:w="5335"/>
      </w:tblGrid>
      <w:tr w:rsidR="001F32A0" w:rsidRPr="0052271C" w14:paraId="32345AEB" w14:textId="77777777" w:rsidTr="00A709F3">
        <w:trPr>
          <w:trHeight w:val="567"/>
        </w:trPr>
        <w:tc>
          <w:tcPr>
            <w:tcW w:w="9016" w:type="dxa"/>
            <w:gridSpan w:val="2"/>
            <w:shd w:val="clear" w:color="auto" w:fill="DEEAF6" w:themeFill="accent1" w:themeFillTint="33"/>
            <w:vAlign w:val="center"/>
          </w:tcPr>
          <w:p w14:paraId="01FF177A" w14:textId="0EF24E6F" w:rsidR="001F32A0" w:rsidRPr="0052271C" w:rsidRDefault="001F32A0" w:rsidP="008571BC">
            <w:pPr>
              <w:tabs>
                <w:tab w:val="num" w:pos="1134"/>
              </w:tabs>
              <w:jc w:val="both"/>
              <w:rPr>
                <w:lang w:val="sr-Cyrl-RS"/>
              </w:rPr>
            </w:pPr>
            <w:r w:rsidRPr="0052271C">
              <w:rPr>
                <w:lang w:val="sr-Cyrl-RS"/>
              </w:rPr>
              <w:t>Проценат ПСРС обухваћених централизованом власничком функцијом у оквиру Министарства (извор: извештаји Министарства)</w:t>
            </w:r>
          </w:p>
        </w:tc>
      </w:tr>
      <w:tr w:rsidR="001F32A0" w:rsidRPr="0052271C" w14:paraId="07FE010A" w14:textId="77777777" w:rsidTr="00A709F3">
        <w:trPr>
          <w:trHeight w:val="567"/>
        </w:trPr>
        <w:tc>
          <w:tcPr>
            <w:tcW w:w="3681" w:type="dxa"/>
            <w:shd w:val="clear" w:color="auto" w:fill="DEEAF6" w:themeFill="accent1" w:themeFillTint="33"/>
            <w:vAlign w:val="center"/>
          </w:tcPr>
          <w:p w14:paraId="1D90BAAC" w14:textId="77777777" w:rsidR="001F32A0" w:rsidRPr="0052271C" w:rsidRDefault="001F32A0" w:rsidP="001F32A0">
            <w:pPr>
              <w:rPr>
                <w:i/>
                <w:iCs/>
                <w:lang w:val="sr-Cyrl-RS"/>
              </w:rPr>
            </w:pPr>
            <w:r w:rsidRPr="0052271C">
              <w:rPr>
                <w:i/>
                <w:iCs/>
                <w:lang w:val="sr-Cyrl-RS"/>
              </w:rPr>
              <w:t>Почетна вредност: 32%</w:t>
            </w:r>
          </w:p>
        </w:tc>
        <w:tc>
          <w:tcPr>
            <w:tcW w:w="5335" w:type="dxa"/>
            <w:shd w:val="clear" w:color="auto" w:fill="DEEAF6" w:themeFill="accent1" w:themeFillTint="33"/>
            <w:vAlign w:val="center"/>
          </w:tcPr>
          <w:p w14:paraId="54562609" w14:textId="77777777" w:rsidR="001F32A0" w:rsidRPr="0052271C" w:rsidRDefault="001F32A0" w:rsidP="001F32A0">
            <w:pPr>
              <w:rPr>
                <w:i/>
                <w:iCs/>
                <w:lang w:val="sr-Cyrl-RS"/>
              </w:rPr>
            </w:pPr>
            <w:r w:rsidRPr="0052271C">
              <w:rPr>
                <w:i/>
                <w:iCs/>
                <w:lang w:val="sr-Cyrl-RS"/>
              </w:rPr>
              <w:t>2020. године</w:t>
            </w:r>
          </w:p>
        </w:tc>
      </w:tr>
      <w:tr w:rsidR="001F32A0" w:rsidRPr="0052271C" w14:paraId="25C8D0F2" w14:textId="77777777" w:rsidTr="00A709F3">
        <w:trPr>
          <w:trHeight w:val="567"/>
        </w:trPr>
        <w:tc>
          <w:tcPr>
            <w:tcW w:w="3681" w:type="dxa"/>
            <w:shd w:val="clear" w:color="auto" w:fill="DEEAF6" w:themeFill="accent1" w:themeFillTint="33"/>
            <w:vAlign w:val="center"/>
          </w:tcPr>
          <w:p w14:paraId="367A80F9" w14:textId="77777777" w:rsidR="001F32A0" w:rsidRPr="0052271C" w:rsidRDefault="001F32A0" w:rsidP="001F32A0">
            <w:pPr>
              <w:rPr>
                <w:lang w:val="sr-Cyrl-RS"/>
              </w:rPr>
            </w:pPr>
            <w:r w:rsidRPr="0052271C">
              <w:rPr>
                <w:i/>
                <w:iCs/>
                <w:lang w:val="sr-Cyrl-RS"/>
              </w:rPr>
              <w:t xml:space="preserve">Циљна вредност: 100% </w:t>
            </w:r>
          </w:p>
        </w:tc>
        <w:tc>
          <w:tcPr>
            <w:tcW w:w="5335" w:type="dxa"/>
            <w:shd w:val="clear" w:color="auto" w:fill="DEEAF6" w:themeFill="accent1" w:themeFillTint="33"/>
            <w:vAlign w:val="center"/>
          </w:tcPr>
          <w:p w14:paraId="14B2ADF8" w14:textId="77777777" w:rsidR="001F32A0" w:rsidRPr="0052271C" w:rsidRDefault="001F32A0" w:rsidP="001F32A0">
            <w:pPr>
              <w:rPr>
                <w:lang w:val="sr-Cyrl-RS"/>
              </w:rPr>
            </w:pPr>
            <w:r w:rsidRPr="0052271C">
              <w:rPr>
                <w:i/>
                <w:iCs/>
                <w:lang w:val="sr-Cyrl-RS"/>
              </w:rPr>
              <w:t>2027. године</w:t>
            </w:r>
          </w:p>
        </w:tc>
      </w:tr>
    </w:tbl>
    <w:p w14:paraId="2404A331" w14:textId="77777777" w:rsidR="001F32A0" w:rsidRPr="0052271C" w:rsidRDefault="001F32A0" w:rsidP="001F32A0">
      <w:pPr>
        <w:tabs>
          <w:tab w:val="num" w:pos="1134"/>
        </w:tabs>
        <w:spacing w:after="160" w:line="259" w:lineRule="auto"/>
        <w:jc w:val="both"/>
        <w:rPr>
          <w:rFonts w:eastAsiaTheme="minorHAnsi"/>
          <w:lang w:val="sr-Cyrl-RS" w:eastAsia="en-US"/>
        </w:rPr>
      </w:pPr>
    </w:p>
    <w:tbl>
      <w:tblPr>
        <w:tblStyle w:val="TableGrid5"/>
        <w:tblW w:w="0" w:type="auto"/>
        <w:tblLook w:val="04A0" w:firstRow="1" w:lastRow="0" w:firstColumn="1" w:lastColumn="0" w:noHBand="0" w:noVBand="1"/>
      </w:tblPr>
      <w:tblGrid>
        <w:gridCol w:w="3685"/>
        <w:gridCol w:w="5331"/>
      </w:tblGrid>
      <w:tr w:rsidR="001F32A0" w:rsidRPr="0052271C" w14:paraId="3CFF23D3" w14:textId="77777777" w:rsidTr="00A709F3">
        <w:trPr>
          <w:trHeight w:val="567"/>
        </w:trPr>
        <w:tc>
          <w:tcPr>
            <w:tcW w:w="9016" w:type="dxa"/>
            <w:gridSpan w:val="2"/>
            <w:shd w:val="clear" w:color="auto" w:fill="DEEAF6" w:themeFill="accent1" w:themeFillTint="33"/>
            <w:vAlign w:val="center"/>
          </w:tcPr>
          <w:p w14:paraId="60F54905" w14:textId="2CE1CF46" w:rsidR="001F32A0" w:rsidRPr="0052271C" w:rsidRDefault="001F32A0" w:rsidP="008571BC">
            <w:pPr>
              <w:tabs>
                <w:tab w:val="num" w:pos="1134"/>
              </w:tabs>
              <w:rPr>
                <w:lang w:val="sr-Cyrl-RS"/>
              </w:rPr>
            </w:pPr>
            <w:r w:rsidRPr="0052271C">
              <w:rPr>
                <w:lang w:val="sr-Cyrl-RS"/>
              </w:rPr>
              <w:t>Успостављана база подат</w:t>
            </w:r>
            <w:r w:rsidR="008571BC" w:rsidRPr="0052271C">
              <w:rPr>
                <w:lang w:val="sr-Cyrl-RS"/>
              </w:rPr>
              <w:t>ака о ПСРС (извор: Министарство</w:t>
            </w:r>
            <w:r w:rsidRPr="0052271C">
              <w:rPr>
                <w:lang w:val="sr-Cyrl-RS"/>
              </w:rPr>
              <w:t>)</w:t>
            </w:r>
          </w:p>
        </w:tc>
      </w:tr>
      <w:tr w:rsidR="001F32A0" w:rsidRPr="0052271C" w14:paraId="5F25B2DF" w14:textId="77777777" w:rsidTr="00D35327">
        <w:trPr>
          <w:trHeight w:val="567"/>
        </w:trPr>
        <w:tc>
          <w:tcPr>
            <w:tcW w:w="3685" w:type="dxa"/>
            <w:shd w:val="clear" w:color="auto" w:fill="DEEAF6" w:themeFill="accent1" w:themeFillTint="33"/>
            <w:vAlign w:val="center"/>
          </w:tcPr>
          <w:p w14:paraId="230E3BC8" w14:textId="77777777" w:rsidR="001F32A0" w:rsidRPr="0052271C" w:rsidRDefault="001F32A0" w:rsidP="001F32A0">
            <w:pPr>
              <w:rPr>
                <w:i/>
                <w:iCs/>
                <w:lang w:val="sr-Cyrl-RS"/>
              </w:rPr>
            </w:pPr>
            <w:r w:rsidRPr="0052271C">
              <w:rPr>
                <w:i/>
                <w:iCs/>
                <w:lang w:val="sr-Cyrl-RS"/>
              </w:rPr>
              <w:t>Почетна вредност: не</w:t>
            </w:r>
          </w:p>
        </w:tc>
        <w:tc>
          <w:tcPr>
            <w:tcW w:w="5331" w:type="dxa"/>
            <w:shd w:val="clear" w:color="auto" w:fill="DEEAF6" w:themeFill="accent1" w:themeFillTint="33"/>
            <w:vAlign w:val="center"/>
          </w:tcPr>
          <w:p w14:paraId="7418313C" w14:textId="77777777" w:rsidR="001F32A0" w:rsidRPr="0052271C" w:rsidRDefault="001F32A0" w:rsidP="001F32A0">
            <w:pPr>
              <w:rPr>
                <w:i/>
                <w:iCs/>
                <w:lang w:val="sr-Cyrl-RS"/>
              </w:rPr>
            </w:pPr>
            <w:r w:rsidRPr="0052271C">
              <w:rPr>
                <w:i/>
                <w:iCs/>
                <w:lang w:val="sr-Cyrl-RS"/>
              </w:rPr>
              <w:t>2020. године</w:t>
            </w:r>
          </w:p>
        </w:tc>
      </w:tr>
      <w:tr w:rsidR="001F32A0" w:rsidRPr="0052271C" w14:paraId="51CBBB33" w14:textId="77777777" w:rsidTr="00D35327">
        <w:trPr>
          <w:trHeight w:val="567"/>
        </w:trPr>
        <w:tc>
          <w:tcPr>
            <w:tcW w:w="3685" w:type="dxa"/>
            <w:shd w:val="clear" w:color="auto" w:fill="DEEAF6" w:themeFill="accent1" w:themeFillTint="33"/>
            <w:vAlign w:val="center"/>
          </w:tcPr>
          <w:p w14:paraId="444BFA64" w14:textId="77777777" w:rsidR="001F32A0" w:rsidRPr="0052271C" w:rsidRDefault="001F32A0" w:rsidP="001F32A0">
            <w:pPr>
              <w:rPr>
                <w:lang w:val="sr-Cyrl-RS"/>
              </w:rPr>
            </w:pPr>
            <w:r w:rsidRPr="0052271C">
              <w:rPr>
                <w:i/>
                <w:iCs/>
                <w:lang w:val="sr-Cyrl-RS"/>
              </w:rPr>
              <w:t xml:space="preserve">Циљна вредност: да </w:t>
            </w:r>
          </w:p>
        </w:tc>
        <w:tc>
          <w:tcPr>
            <w:tcW w:w="5331" w:type="dxa"/>
            <w:shd w:val="clear" w:color="auto" w:fill="DEEAF6" w:themeFill="accent1" w:themeFillTint="33"/>
            <w:vAlign w:val="center"/>
          </w:tcPr>
          <w:p w14:paraId="31D19EF4" w14:textId="77777777" w:rsidR="001F32A0" w:rsidRPr="0052271C" w:rsidRDefault="001F32A0" w:rsidP="001F32A0">
            <w:pPr>
              <w:rPr>
                <w:i/>
                <w:lang w:val="sr-Cyrl-RS"/>
              </w:rPr>
            </w:pPr>
            <w:r w:rsidRPr="0052271C">
              <w:rPr>
                <w:i/>
                <w:lang w:val="sr-Cyrl-RS"/>
              </w:rPr>
              <w:t>2022. године</w:t>
            </w:r>
          </w:p>
        </w:tc>
      </w:tr>
    </w:tbl>
    <w:p w14:paraId="0FD97516" w14:textId="77777777" w:rsidR="001F32A0" w:rsidRPr="0052271C" w:rsidRDefault="001F32A0" w:rsidP="001F32A0">
      <w:pPr>
        <w:rPr>
          <w:rFonts w:eastAsiaTheme="minorHAnsi"/>
          <w:lang w:val="sr-Cyrl-RS" w:eastAsia="en-US"/>
        </w:rPr>
      </w:pPr>
    </w:p>
    <w:p w14:paraId="246D9380" w14:textId="77777777" w:rsidR="001F32A0" w:rsidRPr="0052271C" w:rsidRDefault="001F32A0" w:rsidP="001F32A0">
      <w:pPr>
        <w:rPr>
          <w:rFonts w:eastAsiaTheme="minorHAnsi"/>
          <w:lang w:val="sr-Cyrl-RS" w:eastAsia="en-US"/>
        </w:rPr>
      </w:pPr>
    </w:p>
    <w:tbl>
      <w:tblPr>
        <w:tblStyle w:val="TableGrid5"/>
        <w:tblW w:w="0" w:type="auto"/>
        <w:tblLook w:val="04A0" w:firstRow="1" w:lastRow="0" w:firstColumn="1" w:lastColumn="0" w:noHBand="0" w:noVBand="1"/>
      </w:tblPr>
      <w:tblGrid>
        <w:gridCol w:w="3660"/>
        <w:gridCol w:w="5356"/>
      </w:tblGrid>
      <w:tr w:rsidR="001F32A0" w:rsidRPr="0052271C" w14:paraId="614E1172" w14:textId="77777777" w:rsidTr="00A709F3">
        <w:trPr>
          <w:trHeight w:val="567"/>
        </w:trPr>
        <w:tc>
          <w:tcPr>
            <w:tcW w:w="9016" w:type="dxa"/>
            <w:gridSpan w:val="2"/>
            <w:shd w:val="clear" w:color="auto" w:fill="DEEAF6" w:themeFill="accent1" w:themeFillTint="33"/>
          </w:tcPr>
          <w:p w14:paraId="1AC06C6B" w14:textId="77777777" w:rsidR="001F32A0" w:rsidRPr="0052271C" w:rsidRDefault="001F32A0" w:rsidP="001F32A0">
            <w:pPr>
              <w:tabs>
                <w:tab w:val="num" w:pos="1134"/>
              </w:tabs>
              <w:jc w:val="both"/>
              <w:rPr>
                <w:lang w:val="sr-Cyrl-RS"/>
              </w:rPr>
            </w:pPr>
            <w:r w:rsidRPr="0052271C">
              <w:rPr>
                <w:lang w:val="sr-Cyrl-RS"/>
              </w:rPr>
              <w:t xml:space="preserve">Проценат </w:t>
            </w:r>
            <w:r w:rsidRPr="0052271C">
              <w:rPr>
                <w:rFonts w:eastAsiaTheme="minorHAnsi" w:cstheme="minorBidi"/>
                <w:szCs w:val="22"/>
                <w:lang w:val="sr-Cyrl-RS" w:eastAsia="en-US"/>
              </w:rPr>
              <w:t>ПСРС</w:t>
            </w:r>
            <w:r w:rsidRPr="0052271C">
              <w:rPr>
                <w:lang w:val="sr-Cyrl-RS"/>
              </w:rPr>
              <w:t xml:space="preserve"> класификованих према дефинисаним критеријумима </w:t>
            </w:r>
          </w:p>
          <w:p w14:paraId="630C1352" w14:textId="6DD9767C" w:rsidR="001F32A0" w:rsidRPr="0052271C" w:rsidRDefault="001F32A0" w:rsidP="008571BC">
            <w:pPr>
              <w:tabs>
                <w:tab w:val="num" w:pos="1134"/>
              </w:tabs>
              <w:jc w:val="both"/>
              <w:rPr>
                <w:lang w:val="sr-Cyrl-RS"/>
              </w:rPr>
            </w:pPr>
            <w:r w:rsidRPr="0052271C">
              <w:rPr>
                <w:lang w:val="sr-Cyrl-RS"/>
              </w:rPr>
              <w:t>(извор: извештаји Министарства)</w:t>
            </w:r>
          </w:p>
        </w:tc>
      </w:tr>
      <w:tr w:rsidR="001F32A0" w:rsidRPr="0052271C" w14:paraId="2FD4BB33" w14:textId="77777777" w:rsidTr="00A709F3">
        <w:trPr>
          <w:trHeight w:val="567"/>
        </w:trPr>
        <w:tc>
          <w:tcPr>
            <w:tcW w:w="3660" w:type="dxa"/>
            <w:shd w:val="clear" w:color="auto" w:fill="DEEAF6" w:themeFill="accent1" w:themeFillTint="33"/>
            <w:vAlign w:val="center"/>
          </w:tcPr>
          <w:p w14:paraId="0B002865" w14:textId="77777777" w:rsidR="001F32A0" w:rsidRPr="0052271C" w:rsidRDefault="001F32A0" w:rsidP="001F32A0">
            <w:pPr>
              <w:rPr>
                <w:i/>
                <w:iCs/>
                <w:lang w:val="sr-Cyrl-RS"/>
              </w:rPr>
            </w:pPr>
            <w:r w:rsidRPr="0052271C">
              <w:rPr>
                <w:i/>
                <w:iCs/>
                <w:lang w:val="sr-Cyrl-RS"/>
              </w:rPr>
              <w:t>Почетна вредност: 0</w:t>
            </w:r>
          </w:p>
        </w:tc>
        <w:tc>
          <w:tcPr>
            <w:tcW w:w="5356" w:type="dxa"/>
            <w:shd w:val="clear" w:color="auto" w:fill="DEEAF6" w:themeFill="accent1" w:themeFillTint="33"/>
            <w:vAlign w:val="center"/>
          </w:tcPr>
          <w:p w14:paraId="201A6656" w14:textId="77777777" w:rsidR="001F32A0" w:rsidRPr="0052271C" w:rsidRDefault="001F32A0" w:rsidP="001F32A0">
            <w:pPr>
              <w:rPr>
                <w:i/>
                <w:iCs/>
                <w:lang w:val="sr-Cyrl-RS"/>
              </w:rPr>
            </w:pPr>
            <w:r w:rsidRPr="0052271C">
              <w:rPr>
                <w:i/>
                <w:iCs/>
                <w:lang w:val="sr-Cyrl-RS"/>
              </w:rPr>
              <w:t>2020. године</w:t>
            </w:r>
          </w:p>
        </w:tc>
      </w:tr>
      <w:tr w:rsidR="001F32A0" w:rsidRPr="0052271C" w14:paraId="271A3007" w14:textId="77777777" w:rsidTr="00A709F3">
        <w:trPr>
          <w:trHeight w:val="567"/>
        </w:trPr>
        <w:tc>
          <w:tcPr>
            <w:tcW w:w="3660" w:type="dxa"/>
            <w:shd w:val="clear" w:color="auto" w:fill="DEEAF6" w:themeFill="accent1" w:themeFillTint="33"/>
            <w:vAlign w:val="center"/>
          </w:tcPr>
          <w:p w14:paraId="0F1E51B9" w14:textId="77777777" w:rsidR="001F32A0" w:rsidRPr="0052271C" w:rsidRDefault="001F32A0" w:rsidP="001F32A0">
            <w:pPr>
              <w:rPr>
                <w:lang w:val="sr-Cyrl-RS"/>
              </w:rPr>
            </w:pPr>
            <w:r w:rsidRPr="0052271C">
              <w:rPr>
                <w:i/>
                <w:iCs/>
                <w:lang w:val="sr-Cyrl-RS"/>
              </w:rPr>
              <w:t xml:space="preserve">Циљна вредност: 100% </w:t>
            </w:r>
          </w:p>
        </w:tc>
        <w:tc>
          <w:tcPr>
            <w:tcW w:w="5356" w:type="dxa"/>
            <w:shd w:val="clear" w:color="auto" w:fill="DEEAF6" w:themeFill="accent1" w:themeFillTint="33"/>
            <w:vAlign w:val="center"/>
          </w:tcPr>
          <w:p w14:paraId="1931D08B" w14:textId="73B7464F" w:rsidR="001F32A0" w:rsidRPr="0052271C" w:rsidRDefault="004F52CE" w:rsidP="001F32A0">
            <w:pPr>
              <w:rPr>
                <w:i/>
                <w:lang w:val="sr-Cyrl-RS"/>
              </w:rPr>
            </w:pPr>
            <w:r w:rsidRPr="0052271C">
              <w:rPr>
                <w:i/>
                <w:lang w:val="sr-Cyrl-RS"/>
              </w:rPr>
              <w:t>2022</w:t>
            </w:r>
            <w:r w:rsidR="001F32A0" w:rsidRPr="0052271C">
              <w:rPr>
                <w:i/>
                <w:lang w:val="sr-Cyrl-RS"/>
              </w:rPr>
              <w:t>. године</w:t>
            </w:r>
          </w:p>
        </w:tc>
      </w:tr>
    </w:tbl>
    <w:p w14:paraId="32B1339E" w14:textId="77777777" w:rsidR="001F32A0" w:rsidRPr="0052271C" w:rsidRDefault="001F32A0" w:rsidP="001F32A0">
      <w:pPr>
        <w:tabs>
          <w:tab w:val="num" w:pos="1134"/>
        </w:tabs>
        <w:spacing w:after="160" w:line="259" w:lineRule="auto"/>
        <w:jc w:val="both"/>
        <w:rPr>
          <w:rFonts w:eastAsiaTheme="minorHAnsi"/>
          <w:lang w:val="sr-Cyrl-RS" w:eastAsia="en-US"/>
        </w:rPr>
      </w:pPr>
    </w:p>
    <w:tbl>
      <w:tblPr>
        <w:tblStyle w:val="TableGrid5"/>
        <w:tblW w:w="0" w:type="auto"/>
        <w:tblLook w:val="04A0" w:firstRow="1" w:lastRow="0" w:firstColumn="1" w:lastColumn="0" w:noHBand="0" w:noVBand="1"/>
      </w:tblPr>
      <w:tblGrid>
        <w:gridCol w:w="3690"/>
        <w:gridCol w:w="5326"/>
      </w:tblGrid>
      <w:tr w:rsidR="001F32A0" w:rsidRPr="0052271C" w14:paraId="2F951D6F" w14:textId="77777777" w:rsidTr="00A709F3">
        <w:trPr>
          <w:trHeight w:val="567"/>
        </w:trPr>
        <w:tc>
          <w:tcPr>
            <w:tcW w:w="9016" w:type="dxa"/>
            <w:gridSpan w:val="2"/>
            <w:shd w:val="clear" w:color="auto" w:fill="DEEAF6" w:themeFill="accent1" w:themeFillTint="33"/>
          </w:tcPr>
          <w:p w14:paraId="5315FB48" w14:textId="77777777" w:rsidR="001F32A0" w:rsidRPr="0052271C" w:rsidRDefault="001F32A0" w:rsidP="001F32A0">
            <w:pPr>
              <w:tabs>
                <w:tab w:val="num" w:pos="1134"/>
              </w:tabs>
              <w:jc w:val="both"/>
              <w:rPr>
                <w:lang w:val="sr-Cyrl-RS"/>
              </w:rPr>
            </w:pPr>
            <w:r w:rsidRPr="0052271C">
              <w:rPr>
                <w:lang w:val="sr-Cyrl-RS"/>
              </w:rPr>
              <w:t>Развијен софтвер за систем надзора и извештавања ПСРС</w:t>
            </w:r>
          </w:p>
          <w:p w14:paraId="0D55CC8E" w14:textId="3F5EAE8C" w:rsidR="001F32A0" w:rsidRPr="0052271C" w:rsidRDefault="008571BC" w:rsidP="008571BC">
            <w:pPr>
              <w:tabs>
                <w:tab w:val="num" w:pos="1134"/>
              </w:tabs>
              <w:jc w:val="both"/>
              <w:rPr>
                <w:lang w:val="sr-Cyrl-RS"/>
              </w:rPr>
            </w:pPr>
            <w:r w:rsidRPr="0052271C">
              <w:rPr>
                <w:lang w:val="sr-Cyrl-RS"/>
              </w:rPr>
              <w:t xml:space="preserve"> (извор: извештаји Министарства</w:t>
            </w:r>
            <w:r w:rsidR="001F32A0" w:rsidRPr="0052271C">
              <w:rPr>
                <w:lang w:val="sr-Cyrl-RS"/>
              </w:rPr>
              <w:t>)</w:t>
            </w:r>
          </w:p>
        </w:tc>
      </w:tr>
      <w:tr w:rsidR="001F32A0" w:rsidRPr="0052271C" w14:paraId="18A1D027" w14:textId="77777777" w:rsidTr="00A709F3">
        <w:trPr>
          <w:trHeight w:val="567"/>
        </w:trPr>
        <w:tc>
          <w:tcPr>
            <w:tcW w:w="3690" w:type="dxa"/>
            <w:shd w:val="clear" w:color="auto" w:fill="DEEAF6" w:themeFill="accent1" w:themeFillTint="33"/>
            <w:vAlign w:val="center"/>
          </w:tcPr>
          <w:p w14:paraId="0696E77F" w14:textId="77777777" w:rsidR="001F32A0" w:rsidRPr="0052271C" w:rsidRDefault="001F32A0" w:rsidP="001F32A0">
            <w:pPr>
              <w:rPr>
                <w:i/>
                <w:iCs/>
                <w:lang w:val="sr-Cyrl-RS"/>
              </w:rPr>
            </w:pPr>
            <w:r w:rsidRPr="0052271C">
              <w:rPr>
                <w:i/>
                <w:iCs/>
                <w:lang w:val="sr-Cyrl-RS"/>
              </w:rPr>
              <w:t>Почетна вредност: не</w:t>
            </w:r>
          </w:p>
        </w:tc>
        <w:tc>
          <w:tcPr>
            <w:tcW w:w="5326" w:type="dxa"/>
            <w:shd w:val="clear" w:color="auto" w:fill="DEEAF6" w:themeFill="accent1" w:themeFillTint="33"/>
            <w:vAlign w:val="center"/>
          </w:tcPr>
          <w:p w14:paraId="663BA124" w14:textId="77777777" w:rsidR="001F32A0" w:rsidRPr="0052271C" w:rsidRDefault="001F32A0" w:rsidP="001F32A0">
            <w:pPr>
              <w:rPr>
                <w:i/>
                <w:iCs/>
                <w:lang w:val="sr-Cyrl-RS"/>
              </w:rPr>
            </w:pPr>
            <w:r w:rsidRPr="0052271C">
              <w:rPr>
                <w:i/>
                <w:iCs/>
                <w:lang w:val="sr-Cyrl-RS"/>
              </w:rPr>
              <w:t>2020. године</w:t>
            </w:r>
          </w:p>
        </w:tc>
      </w:tr>
      <w:tr w:rsidR="001F32A0" w:rsidRPr="0052271C" w14:paraId="0D5315F1" w14:textId="77777777" w:rsidTr="00A709F3">
        <w:trPr>
          <w:trHeight w:val="567"/>
        </w:trPr>
        <w:tc>
          <w:tcPr>
            <w:tcW w:w="3690" w:type="dxa"/>
            <w:shd w:val="clear" w:color="auto" w:fill="DEEAF6" w:themeFill="accent1" w:themeFillTint="33"/>
            <w:vAlign w:val="center"/>
          </w:tcPr>
          <w:p w14:paraId="12BB1521" w14:textId="77777777" w:rsidR="001F32A0" w:rsidRPr="0052271C" w:rsidRDefault="001F32A0" w:rsidP="001F32A0">
            <w:pPr>
              <w:rPr>
                <w:i/>
                <w:lang w:val="sr-Cyrl-RS"/>
              </w:rPr>
            </w:pPr>
            <w:r w:rsidRPr="0052271C">
              <w:rPr>
                <w:i/>
                <w:iCs/>
                <w:lang w:val="sr-Cyrl-RS"/>
              </w:rPr>
              <w:t xml:space="preserve">Циљна вредност: да </w:t>
            </w:r>
          </w:p>
        </w:tc>
        <w:tc>
          <w:tcPr>
            <w:tcW w:w="5326" w:type="dxa"/>
            <w:shd w:val="clear" w:color="auto" w:fill="DEEAF6" w:themeFill="accent1" w:themeFillTint="33"/>
            <w:vAlign w:val="center"/>
          </w:tcPr>
          <w:p w14:paraId="2E2645DE" w14:textId="77777777" w:rsidR="001F32A0" w:rsidRPr="0052271C" w:rsidRDefault="001F32A0" w:rsidP="001F32A0">
            <w:pPr>
              <w:rPr>
                <w:i/>
                <w:lang w:val="sr-Cyrl-RS"/>
              </w:rPr>
            </w:pPr>
            <w:r w:rsidRPr="0052271C">
              <w:rPr>
                <w:i/>
                <w:lang w:val="sr-Cyrl-RS"/>
              </w:rPr>
              <w:t>2023. године</w:t>
            </w:r>
          </w:p>
        </w:tc>
      </w:tr>
    </w:tbl>
    <w:p w14:paraId="0D331F2B" w14:textId="77777777" w:rsidR="00D23B49" w:rsidRPr="0052271C" w:rsidRDefault="00D23B49" w:rsidP="00D23B49">
      <w:pPr>
        <w:keepNext/>
        <w:jc w:val="both"/>
        <w:outlineLvl w:val="1"/>
        <w:rPr>
          <w:rFonts w:eastAsiaTheme="minorHAnsi"/>
          <w:b/>
          <w:bCs/>
          <w:iCs/>
          <w:lang w:val="sr-Cyrl-RS" w:eastAsia="en-US"/>
        </w:rPr>
      </w:pPr>
      <w:bookmarkStart w:id="63" w:name="_Toc63452467"/>
      <w:bookmarkStart w:id="64" w:name="_Toc63587102"/>
    </w:p>
    <w:p w14:paraId="2E4C5B54" w14:textId="77777777" w:rsidR="00D23B49" w:rsidRPr="0052271C" w:rsidRDefault="00D23B49" w:rsidP="00D23B49">
      <w:pPr>
        <w:keepNext/>
        <w:jc w:val="both"/>
        <w:outlineLvl w:val="1"/>
        <w:rPr>
          <w:rFonts w:eastAsiaTheme="minorHAnsi"/>
          <w:b/>
          <w:bCs/>
          <w:iCs/>
          <w:lang w:val="sr-Cyrl-RS" w:eastAsia="en-US"/>
        </w:rPr>
      </w:pPr>
    </w:p>
    <w:p w14:paraId="13AB242E" w14:textId="2F1B8ED2" w:rsidR="00D23B49" w:rsidRPr="0052271C" w:rsidRDefault="00AF3CCF" w:rsidP="00AF3CCF">
      <w:pPr>
        <w:keepNext/>
        <w:jc w:val="center"/>
        <w:outlineLvl w:val="1"/>
        <w:rPr>
          <w:rFonts w:eastAsiaTheme="minorHAnsi"/>
          <w:bCs/>
          <w:iCs/>
          <w:lang w:val="sr-Cyrl-RS" w:eastAsia="en-US"/>
        </w:rPr>
      </w:pPr>
      <w:r w:rsidRPr="0052271C">
        <w:rPr>
          <w:rFonts w:eastAsiaTheme="minorHAnsi"/>
          <w:bCs/>
          <w:iCs/>
          <w:lang w:val="sr-Cyrl-RS" w:eastAsia="en-US"/>
        </w:rPr>
        <w:t>3.</w:t>
      </w:r>
      <w:r w:rsidRPr="0052271C">
        <w:rPr>
          <w:rFonts w:eastAsiaTheme="minorHAnsi"/>
          <w:bCs/>
          <w:iCs/>
          <w:lang w:val="sr-Cyrl-RS"/>
        </w:rPr>
        <w:t xml:space="preserve"> Индикатори учинка другог посебног циља</w:t>
      </w:r>
    </w:p>
    <w:p w14:paraId="6877CEA6" w14:textId="77777777" w:rsidR="00D23B49" w:rsidRPr="0052271C" w:rsidRDefault="00D23B49" w:rsidP="00D23B49">
      <w:pPr>
        <w:keepNext/>
        <w:jc w:val="both"/>
        <w:outlineLvl w:val="1"/>
        <w:rPr>
          <w:rFonts w:eastAsiaTheme="minorHAnsi"/>
          <w:b/>
          <w:bCs/>
          <w:iCs/>
          <w:lang w:val="sr-Cyrl-RS" w:eastAsia="en-US"/>
        </w:rPr>
      </w:pPr>
    </w:p>
    <w:p w14:paraId="68979E59" w14:textId="77777777" w:rsidR="00D23B49" w:rsidRPr="0052271C" w:rsidRDefault="00D23B49" w:rsidP="00D23B49">
      <w:pPr>
        <w:keepNext/>
        <w:jc w:val="both"/>
        <w:outlineLvl w:val="1"/>
        <w:rPr>
          <w:rFonts w:eastAsiaTheme="minorHAnsi"/>
          <w:bCs/>
          <w:iCs/>
          <w:lang w:val="sr-Cyrl-RS" w:eastAsia="en-US"/>
        </w:rPr>
      </w:pPr>
    </w:p>
    <w:p w14:paraId="31AC124E" w14:textId="5945DF62" w:rsidR="001F32A0" w:rsidRPr="0052271C" w:rsidRDefault="001F32A0" w:rsidP="00D23B49">
      <w:pPr>
        <w:keepNext/>
        <w:jc w:val="both"/>
        <w:outlineLvl w:val="1"/>
        <w:rPr>
          <w:rFonts w:eastAsiaTheme="minorHAnsi"/>
          <w:bCs/>
          <w:iCs/>
          <w:lang w:val="sr-Cyrl-RS" w:eastAsia="en-US"/>
        </w:rPr>
      </w:pPr>
      <w:r w:rsidRPr="0052271C">
        <w:rPr>
          <w:rFonts w:eastAsiaTheme="minorHAnsi"/>
          <w:bCs/>
          <w:iCs/>
          <w:lang w:val="sr-Cyrl-RS" w:eastAsia="en-US"/>
        </w:rPr>
        <w:t xml:space="preserve"> На нивоу другог посебног циља</w:t>
      </w:r>
      <w:r w:rsidRPr="0052271C">
        <w:rPr>
          <w:rFonts w:eastAsiaTheme="minorHAnsi"/>
          <w:b/>
          <w:bCs/>
          <w:iCs/>
          <w:lang w:val="sr-Cyrl-RS" w:eastAsia="en-US"/>
        </w:rPr>
        <w:t xml:space="preserve"> -</w:t>
      </w:r>
      <w:r w:rsidRPr="0052271C">
        <w:rPr>
          <w:rFonts w:eastAsiaTheme="minorHAnsi"/>
          <w:bCs/>
          <w:iCs/>
          <w:lang w:val="sr-Cyrl-RS" w:eastAsia="en-US"/>
        </w:rPr>
        <w:t xml:space="preserve"> успостављање, развој и унапређење корпоративног управљања у ПСРС, дефинисани су следећи кључни </w:t>
      </w:r>
      <w:r w:rsidR="00A87164" w:rsidRPr="0052271C">
        <w:rPr>
          <w:rFonts w:eastAsiaTheme="minorHAnsi"/>
          <w:bCs/>
          <w:iCs/>
          <w:lang w:val="sr-Cyrl-RS" w:eastAsia="en-US"/>
        </w:rPr>
        <w:t>индикатори</w:t>
      </w:r>
      <w:r w:rsidRPr="0052271C">
        <w:rPr>
          <w:rFonts w:eastAsiaTheme="minorHAnsi"/>
          <w:bCs/>
          <w:iCs/>
          <w:lang w:val="sr-Cyrl-RS" w:eastAsia="en-US"/>
        </w:rPr>
        <w:t xml:space="preserve"> учинка:</w:t>
      </w:r>
      <w:bookmarkEnd w:id="63"/>
      <w:bookmarkEnd w:id="64"/>
    </w:p>
    <w:p w14:paraId="77C05E5F" w14:textId="77777777" w:rsidR="00257C22" w:rsidRPr="0052271C" w:rsidRDefault="00257C22" w:rsidP="00257C22">
      <w:pPr>
        <w:rPr>
          <w:rFonts w:eastAsiaTheme="minorHAnsi"/>
          <w:bCs/>
          <w:iCs/>
          <w:lang w:val="sr-Cyrl-RS" w:eastAsia="en-US"/>
        </w:rPr>
      </w:pPr>
    </w:p>
    <w:tbl>
      <w:tblPr>
        <w:tblStyle w:val="TableGrid5"/>
        <w:tblW w:w="0" w:type="auto"/>
        <w:tblLook w:val="04A0" w:firstRow="1" w:lastRow="0" w:firstColumn="1" w:lastColumn="0" w:noHBand="0" w:noVBand="1"/>
      </w:tblPr>
      <w:tblGrid>
        <w:gridCol w:w="3675"/>
        <w:gridCol w:w="5341"/>
      </w:tblGrid>
      <w:tr w:rsidR="00257C22" w:rsidRPr="0052271C" w14:paraId="43541B2C" w14:textId="77777777" w:rsidTr="00606814">
        <w:trPr>
          <w:trHeight w:val="567"/>
        </w:trPr>
        <w:tc>
          <w:tcPr>
            <w:tcW w:w="9016" w:type="dxa"/>
            <w:gridSpan w:val="2"/>
            <w:shd w:val="clear" w:color="auto" w:fill="DEEAF6" w:themeFill="accent1" w:themeFillTint="33"/>
          </w:tcPr>
          <w:p w14:paraId="39EFE5EA" w14:textId="2E5B03BB" w:rsidR="00257C22" w:rsidRPr="0052271C" w:rsidRDefault="00257C22" w:rsidP="008571BC">
            <w:pPr>
              <w:keepNext/>
              <w:spacing w:after="60"/>
              <w:jc w:val="both"/>
              <w:outlineLvl w:val="1"/>
              <w:rPr>
                <w:rFonts w:eastAsiaTheme="minorHAnsi"/>
                <w:bCs/>
                <w:iCs/>
                <w:lang w:val="sr-Cyrl-RS" w:eastAsia="en-US"/>
              </w:rPr>
            </w:pPr>
            <w:r w:rsidRPr="0052271C">
              <w:rPr>
                <w:rFonts w:eastAsiaTheme="minorHAnsi"/>
                <w:bCs/>
                <w:iCs/>
                <w:lang w:val="sr-Cyrl-RS" w:eastAsia="en-US"/>
              </w:rPr>
              <w:t>Проценат ПСРС у којима је успостављен јединствен систем корпоративног управљања (извор: извештаји Министарства)</w:t>
            </w:r>
          </w:p>
        </w:tc>
      </w:tr>
      <w:tr w:rsidR="00257C22" w:rsidRPr="0052271C" w14:paraId="5EBF7D03" w14:textId="77777777" w:rsidTr="00606814">
        <w:trPr>
          <w:trHeight w:val="567"/>
        </w:trPr>
        <w:tc>
          <w:tcPr>
            <w:tcW w:w="3675" w:type="dxa"/>
            <w:shd w:val="clear" w:color="auto" w:fill="DEEAF6" w:themeFill="accent1" w:themeFillTint="33"/>
            <w:vAlign w:val="center"/>
          </w:tcPr>
          <w:p w14:paraId="0CA346AC" w14:textId="2C547E83" w:rsidR="00257C22" w:rsidRPr="0052271C" w:rsidRDefault="00161999" w:rsidP="00EF1D51">
            <w:pPr>
              <w:ind w:left="2047" w:hanging="2047"/>
              <w:rPr>
                <w:i/>
                <w:iCs/>
                <w:lang w:val="sr-Cyrl-RS"/>
              </w:rPr>
            </w:pPr>
            <w:r w:rsidRPr="0052271C">
              <w:rPr>
                <w:i/>
                <w:iCs/>
                <w:lang w:val="sr-Cyrl-RS"/>
              </w:rPr>
              <w:t>Почетна вредност: недоступни    подаци</w:t>
            </w:r>
          </w:p>
        </w:tc>
        <w:tc>
          <w:tcPr>
            <w:tcW w:w="5341" w:type="dxa"/>
            <w:shd w:val="clear" w:color="auto" w:fill="DEEAF6" w:themeFill="accent1" w:themeFillTint="33"/>
            <w:vAlign w:val="center"/>
          </w:tcPr>
          <w:p w14:paraId="6EDAE63C" w14:textId="77777777" w:rsidR="00257C22" w:rsidRPr="0052271C" w:rsidRDefault="00257C22" w:rsidP="00EF1D51">
            <w:pPr>
              <w:rPr>
                <w:i/>
                <w:iCs/>
                <w:lang w:val="sr-Cyrl-RS"/>
              </w:rPr>
            </w:pPr>
            <w:r w:rsidRPr="0052271C">
              <w:rPr>
                <w:i/>
                <w:iCs/>
                <w:lang w:val="sr-Cyrl-RS"/>
              </w:rPr>
              <w:t>2020. године</w:t>
            </w:r>
          </w:p>
        </w:tc>
      </w:tr>
      <w:tr w:rsidR="00257C22" w:rsidRPr="0052271C" w14:paraId="13F2B917" w14:textId="77777777" w:rsidTr="00161999">
        <w:trPr>
          <w:trHeight w:val="567"/>
        </w:trPr>
        <w:tc>
          <w:tcPr>
            <w:tcW w:w="3675" w:type="dxa"/>
            <w:shd w:val="clear" w:color="auto" w:fill="DEEAF6" w:themeFill="accent1" w:themeFillTint="33"/>
            <w:vAlign w:val="center"/>
          </w:tcPr>
          <w:p w14:paraId="732BC79C" w14:textId="32B91469" w:rsidR="00257C22" w:rsidRPr="0052271C" w:rsidRDefault="00257C22" w:rsidP="00161999">
            <w:pPr>
              <w:rPr>
                <w:i/>
                <w:iCs/>
                <w:lang w:val="sr-Cyrl-RS"/>
              </w:rPr>
            </w:pPr>
            <w:r w:rsidRPr="0052271C">
              <w:rPr>
                <w:i/>
                <w:iCs/>
                <w:lang w:val="sr-Cyrl-RS"/>
              </w:rPr>
              <w:t>Циљна вредност:</w:t>
            </w:r>
            <w:r w:rsidR="00161999" w:rsidRPr="0052271C">
              <w:rPr>
                <w:i/>
                <w:iCs/>
                <w:lang w:val="sr-Cyrl-RS"/>
              </w:rPr>
              <w:t xml:space="preserve"> 60%</w:t>
            </w:r>
          </w:p>
        </w:tc>
        <w:tc>
          <w:tcPr>
            <w:tcW w:w="5341" w:type="dxa"/>
            <w:shd w:val="clear" w:color="auto" w:fill="DEEAF6" w:themeFill="accent1" w:themeFillTint="33"/>
            <w:vAlign w:val="center"/>
          </w:tcPr>
          <w:p w14:paraId="71959E9C" w14:textId="61C3BEA0" w:rsidR="00257C22" w:rsidRPr="0052271C" w:rsidRDefault="00EF1D51" w:rsidP="00161999">
            <w:pPr>
              <w:rPr>
                <w:i/>
                <w:iCs/>
                <w:lang w:val="sr-Cyrl-RS"/>
              </w:rPr>
            </w:pPr>
            <w:r w:rsidRPr="0052271C">
              <w:rPr>
                <w:i/>
                <w:iCs/>
                <w:lang w:val="sr-Cyrl-RS"/>
              </w:rPr>
              <w:t>2027</w:t>
            </w:r>
            <w:r w:rsidR="00161999" w:rsidRPr="0052271C">
              <w:rPr>
                <w:i/>
                <w:iCs/>
                <w:lang w:val="sr-Cyrl-RS"/>
              </w:rPr>
              <w:t>. године</w:t>
            </w:r>
          </w:p>
        </w:tc>
      </w:tr>
    </w:tbl>
    <w:p w14:paraId="1BCF453E" w14:textId="77777777" w:rsidR="00257C22" w:rsidRPr="0052271C" w:rsidRDefault="00257C22" w:rsidP="00257C22">
      <w:pPr>
        <w:rPr>
          <w:rFonts w:eastAsiaTheme="minorHAnsi"/>
          <w:b/>
          <w:bCs/>
          <w:iCs/>
          <w:lang w:val="sr-Cyrl-RS" w:eastAsia="en-US"/>
        </w:rPr>
      </w:pPr>
    </w:p>
    <w:p w14:paraId="04C7080B" w14:textId="77777777" w:rsidR="00E90702" w:rsidRPr="0052271C" w:rsidRDefault="00E90702" w:rsidP="00257C22">
      <w:pPr>
        <w:rPr>
          <w:rFonts w:eastAsiaTheme="minorHAnsi"/>
          <w:b/>
          <w:bCs/>
          <w:iCs/>
          <w:lang w:val="sr-Cyrl-RS" w:eastAsia="en-US"/>
        </w:rPr>
      </w:pPr>
    </w:p>
    <w:p w14:paraId="2C2243C5" w14:textId="735C384F" w:rsidR="00257C22" w:rsidRPr="0052271C" w:rsidRDefault="00257C22" w:rsidP="00197194">
      <w:pPr>
        <w:ind w:firstLine="567"/>
        <w:jc w:val="both"/>
        <w:rPr>
          <w:rFonts w:eastAsiaTheme="minorHAnsi"/>
          <w:b/>
          <w:bCs/>
          <w:iCs/>
          <w:lang w:val="sr-Cyrl-RS" w:eastAsia="en-US"/>
        </w:rPr>
      </w:pPr>
      <w:r w:rsidRPr="0052271C">
        <w:rPr>
          <w:rFonts w:eastAsiaTheme="minorHAnsi"/>
          <w:bCs/>
          <w:iCs/>
          <w:lang w:val="sr-Cyrl-RS" w:eastAsia="en-US"/>
        </w:rPr>
        <w:lastRenderedPageBreak/>
        <w:t>На нивоу мера другог посебног циља,</w:t>
      </w:r>
      <w:r w:rsidRPr="0052271C">
        <w:rPr>
          <w:rFonts w:eastAsiaTheme="minorHAnsi"/>
          <w:b/>
          <w:bCs/>
          <w:iCs/>
          <w:lang w:val="sr-Cyrl-RS" w:eastAsia="en-US"/>
        </w:rPr>
        <w:t xml:space="preserve"> </w:t>
      </w:r>
      <w:r w:rsidRPr="0052271C">
        <w:rPr>
          <w:rFonts w:eastAsiaTheme="minorHAnsi"/>
          <w:bCs/>
          <w:iCs/>
          <w:lang w:val="sr-Cyrl-RS" w:eastAsia="en-US"/>
        </w:rPr>
        <w:t xml:space="preserve">дефинисани су </w:t>
      </w:r>
      <w:r w:rsidR="00831B67" w:rsidRPr="0052271C">
        <w:rPr>
          <w:rFonts w:eastAsiaTheme="minorHAnsi"/>
          <w:bCs/>
          <w:iCs/>
          <w:lang w:val="sr-Cyrl-RS" w:eastAsia="en-US"/>
        </w:rPr>
        <w:t>следећи</w:t>
      </w:r>
      <w:r w:rsidRPr="0052271C">
        <w:rPr>
          <w:rFonts w:eastAsiaTheme="minorHAnsi"/>
          <w:bCs/>
          <w:iCs/>
          <w:lang w:val="sr-Cyrl-RS" w:eastAsia="en-US"/>
        </w:rPr>
        <w:t xml:space="preserve"> кључни </w:t>
      </w:r>
      <w:r w:rsidR="00161999" w:rsidRPr="0052271C">
        <w:rPr>
          <w:rFonts w:eastAsiaTheme="minorHAnsi"/>
          <w:bCs/>
          <w:iCs/>
          <w:lang w:val="sr-Cyrl-RS" w:eastAsia="en-US"/>
        </w:rPr>
        <w:t>индикатори</w:t>
      </w:r>
      <w:r w:rsidRPr="0052271C">
        <w:rPr>
          <w:rFonts w:eastAsiaTheme="minorHAnsi"/>
          <w:bCs/>
          <w:iCs/>
          <w:lang w:val="sr-Cyrl-RS" w:eastAsia="en-US"/>
        </w:rPr>
        <w:t xml:space="preserve"> учинка:</w:t>
      </w:r>
    </w:p>
    <w:p w14:paraId="3146FBE6" w14:textId="77777777" w:rsidR="001F32A0" w:rsidRPr="0052271C" w:rsidRDefault="001F32A0" w:rsidP="001F32A0">
      <w:pPr>
        <w:rPr>
          <w:rFonts w:eastAsiaTheme="minorHAnsi"/>
          <w:sz w:val="12"/>
          <w:szCs w:val="12"/>
          <w:lang w:val="sr-Cyrl-RS" w:eastAsia="en-US"/>
        </w:rPr>
      </w:pPr>
    </w:p>
    <w:tbl>
      <w:tblPr>
        <w:tblStyle w:val="TableGrid5"/>
        <w:tblW w:w="0" w:type="auto"/>
        <w:tblLook w:val="04A0" w:firstRow="1" w:lastRow="0" w:firstColumn="1" w:lastColumn="0" w:noHBand="0" w:noVBand="1"/>
      </w:tblPr>
      <w:tblGrid>
        <w:gridCol w:w="3675"/>
        <w:gridCol w:w="5341"/>
      </w:tblGrid>
      <w:tr w:rsidR="001F32A0" w:rsidRPr="0052271C" w14:paraId="5DFD98A1" w14:textId="77777777" w:rsidTr="00A709F3">
        <w:trPr>
          <w:trHeight w:val="567"/>
        </w:trPr>
        <w:tc>
          <w:tcPr>
            <w:tcW w:w="9016" w:type="dxa"/>
            <w:gridSpan w:val="2"/>
            <w:shd w:val="clear" w:color="auto" w:fill="DEEAF6" w:themeFill="accent1" w:themeFillTint="33"/>
          </w:tcPr>
          <w:p w14:paraId="0B3A7DED" w14:textId="74AAF2B9" w:rsidR="001F32A0" w:rsidRPr="0052271C" w:rsidRDefault="001F32A0" w:rsidP="008571BC">
            <w:pPr>
              <w:tabs>
                <w:tab w:val="num" w:pos="1134"/>
              </w:tabs>
              <w:jc w:val="both"/>
              <w:rPr>
                <w:lang w:val="sr-Cyrl-RS"/>
              </w:rPr>
            </w:pPr>
            <w:r w:rsidRPr="0052271C">
              <w:rPr>
                <w:lang w:val="sr-Cyrl-RS"/>
              </w:rPr>
              <w:t>Успостављена јединствена процедура избора органа управљања и директора у свим ПСРС (извор: извештаји Министарства)</w:t>
            </w:r>
          </w:p>
        </w:tc>
      </w:tr>
      <w:tr w:rsidR="001F32A0" w:rsidRPr="0052271C" w14:paraId="312400FB" w14:textId="77777777" w:rsidTr="00A709F3">
        <w:trPr>
          <w:trHeight w:val="567"/>
        </w:trPr>
        <w:tc>
          <w:tcPr>
            <w:tcW w:w="3675" w:type="dxa"/>
            <w:shd w:val="clear" w:color="auto" w:fill="DEEAF6" w:themeFill="accent1" w:themeFillTint="33"/>
            <w:vAlign w:val="center"/>
          </w:tcPr>
          <w:p w14:paraId="64D546C8" w14:textId="77777777" w:rsidR="001F32A0" w:rsidRPr="0052271C" w:rsidRDefault="001F32A0" w:rsidP="001F32A0">
            <w:pPr>
              <w:rPr>
                <w:i/>
                <w:iCs/>
                <w:lang w:val="sr-Cyrl-RS"/>
              </w:rPr>
            </w:pPr>
            <w:r w:rsidRPr="0052271C">
              <w:rPr>
                <w:i/>
                <w:iCs/>
                <w:lang w:val="sr-Cyrl-RS"/>
              </w:rPr>
              <w:t xml:space="preserve">Почетна вредност: 13%  </w:t>
            </w:r>
          </w:p>
        </w:tc>
        <w:tc>
          <w:tcPr>
            <w:tcW w:w="5341" w:type="dxa"/>
            <w:shd w:val="clear" w:color="auto" w:fill="DEEAF6" w:themeFill="accent1" w:themeFillTint="33"/>
            <w:vAlign w:val="center"/>
          </w:tcPr>
          <w:p w14:paraId="65094EE1" w14:textId="77777777" w:rsidR="001F32A0" w:rsidRPr="0052271C" w:rsidRDefault="001F32A0" w:rsidP="001F32A0">
            <w:pPr>
              <w:rPr>
                <w:i/>
                <w:iCs/>
                <w:lang w:val="sr-Cyrl-RS"/>
              </w:rPr>
            </w:pPr>
            <w:r w:rsidRPr="0052271C">
              <w:rPr>
                <w:i/>
                <w:iCs/>
                <w:lang w:val="sr-Cyrl-RS"/>
              </w:rPr>
              <w:t>2020. године</w:t>
            </w:r>
          </w:p>
        </w:tc>
      </w:tr>
      <w:tr w:rsidR="001F32A0" w:rsidRPr="0052271C" w14:paraId="05D6963C" w14:textId="77777777" w:rsidTr="00A709F3">
        <w:trPr>
          <w:trHeight w:val="567"/>
        </w:trPr>
        <w:tc>
          <w:tcPr>
            <w:tcW w:w="3675" w:type="dxa"/>
            <w:shd w:val="clear" w:color="auto" w:fill="DEEAF6" w:themeFill="accent1" w:themeFillTint="33"/>
            <w:vAlign w:val="center"/>
          </w:tcPr>
          <w:p w14:paraId="4D465E98" w14:textId="77777777" w:rsidR="001F32A0" w:rsidRPr="0052271C" w:rsidRDefault="001F32A0" w:rsidP="001F32A0">
            <w:pPr>
              <w:rPr>
                <w:lang w:val="sr-Cyrl-RS"/>
              </w:rPr>
            </w:pPr>
            <w:r w:rsidRPr="0052271C">
              <w:rPr>
                <w:i/>
                <w:iCs/>
                <w:lang w:val="sr-Cyrl-RS"/>
              </w:rPr>
              <w:t>Циљна вредност: 100%</w:t>
            </w:r>
          </w:p>
        </w:tc>
        <w:tc>
          <w:tcPr>
            <w:tcW w:w="5341" w:type="dxa"/>
            <w:shd w:val="clear" w:color="auto" w:fill="DEEAF6" w:themeFill="accent1" w:themeFillTint="33"/>
            <w:vAlign w:val="center"/>
          </w:tcPr>
          <w:p w14:paraId="1FA7DD04" w14:textId="77777777" w:rsidR="001F32A0" w:rsidRPr="0052271C" w:rsidRDefault="001F32A0" w:rsidP="001F32A0">
            <w:pPr>
              <w:rPr>
                <w:i/>
                <w:lang w:val="sr-Cyrl-RS"/>
              </w:rPr>
            </w:pPr>
            <w:r w:rsidRPr="0052271C">
              <w:rPr>
                <w:i/>
                <w:lang w:val="sr-Cyrl-RS"/>
              </w:rPr>
              <w:t>2025. године</w:t>
            </w:r>
          </w:p>
        </w:tc>
      </w:tr>
    </w:tbl>
    <w:p w14:paraId="4C8D51CE" w14:textId="77777777" w:rsidR="00C967C8" w:rsidRPr="0052271C" w:rsidRDefault="00C967C8" w:rsidP="001F32A0">
      <w:pPr>
        <w:tabs>
          <w:tab w:val="num" w:pos="1134"/>
        </w:tabs>
        <w:spacing w:after="160" w:line="259" w:lineRule="auto"/>
        <w:jc w:val="both"/>
        <w:rPr>
          <w:rFonts w:eastAsiaTheme="minorHAnsi"/>
          <w:sz w:val="18"/>
          <w:szCs w:val="18"/>
          <w:lang w:val="sr-Cyrl-RS" w:eastAsia="en-US"/>
        </w:rPr>
      </w:pPr>
    </w:p>
    <w:tbl>
      <w:tblPr>
        <w:tblStyle w:val="TableGrid5"/>
        <w:tblW w:w="0" w:type="auto"/>
        <w:tblLook w:val="04A0" w:firstRow="1" w:lastRow="0" w:firstColumn="1" w:lastColumn="0" w:noHBand="0" w:noVBand="1"/>
      </w:tblPr>
      <w:tblGrid>
        <w:gridCol w:w="3705"/>
        <w:gridCol w:w="5311"/>
      </w:tblGrid>
      <w:tr w:rsidR="001F32A0" w:rsidRPr="0052271C" w14:paraId="60DB5A0F" w14:textId="77777777" w:rsidTr="00A709F3">
        <w:trPr>
          <w:trHeight w:val="567"/>
        </w:trPr>
        <w:tc>
          <w:tcPr>
            <w:tcW w:w="9016" w:type="dxa"/>
            <w:gridSpan w:val="2"/>
            <w:shd w:val="clear" w:color="auto" w:fill="DEEAF6" w:themeFill="accent1" w:themeFillTint="33"/>
          </w:tcPr>
          <w:p w14:paraId="13ACA24F" w14:textId="689D6AEA" w:rsidR="001F32A0" w:rsidRPr="0052271C" w:rsidRDefault="001F32A0" w:rsidP="008571BC">
            <w:pPr>
              <w:tabs>
                <w:tab w:val="num" w:pos="1134"/>
              </w:tabs>
              <w:jc w:val="both"/>
              <w:rPr>
                <w:lang w:val="sr-Cyrl-RS"/>
              </w:rPr>
            </w:pPr>
            <w:r w:rsidRPr="0052271C">
              <w:rPr>
                <w:lang w:val="sr-Cyrl-RS"/>
              </w:rPr>
              <w:t>Проценат ПСРС</w:t>
            </w:r>
            <w:r w:rsidR="00C057D9" w:rsidRPr="0052271C">
              <w:rPr>
                <w:rStyle w:val="FootnoteReference"/>
                <w:lang w:val="sr-Cyrl-RS"/>
              </w:rPr>
              <w:footnoteReference w:id="38"/>
            </w:r>
            <w:r w:rsidR="00577E9C" w:rsidRPr="0052271C">
              <w:rPr>
                <w:lang w:val="sr-Cyrl-RS"/>
              </w:rPr>
              <w:t xml:space="preserve"> са успостављено</w:t>
            </w:r>
            <w:r w:rsidRPr="0052271C">
              <w:rPr>
                <w:lang w:val="sr-Cyrl-RS"/>
              </w:rPr>
              <w:t>м или повереном независном функцијом интерне ревизије (извор: Централна јединица</w:t>
            </w:r>
            <w:r w:rsidR="00577E9C" w:rsidRPr="0052271C">
              <w:rPr>
                <w:lang w:val="sr-Cyrl-RS"/>
              </w:rPr>
              <w:t xml:space="preserve"> за хармонизацију и</w:t>
            </w:r>
            <w:r w:rsidR="008571BC" w:rsidRPr="0052271C">
              <w:rPr>
                <w:lang w:val="sr-Cyrl-RS"/>
              </w:rPr>
              <w:t xml:space="preserve"> Министарство</w:t>
            </w:r>
            <w:r w:rsidRPr="0052271C">
              <w:rPr>
                <w:lang w:val="sr-Cyrl-RS"/>
              </w:rPr>
              <w:t>)</w:t>
            </w:r>
          </w:p>
        </w:tc>
      </w:tr>
      <w:tr w:rsidR="001F32A0" w:rsidRPr="0052271C" w14:paraId="10920D1C" w14:textId="77777777" w:rsidTr="00A709F3">
        <w:trPr>
          <w:trHeight w:val="567"/>
        </w:trPr>
        <w:tc>
          <w:tcPr>
            <w:tcW w:w="3705" w:type="dxa"/>
            <w:shd w:val="clear" w:color="auto" w:fill="DEEAF6" w:themeFill="accent1" w:themeFillTint="33"/>
            <w:vAlign w:val="center"/>
          </w:tcPr>
          <w:p w14:paraId="5A1AD57A" w14:textId="6415AE54" w:rsidR="001F32A0" w:rsidRPr="0052271C" w:rsidRDefault="00C057D9" w:rsidP="001F32A0">
            <w:pPr>
              <w:rPr>
                <w:i/>
                <w:iCs/>
                <w:lang w:val="sr-Cyrl-RS"/>
              </w:rPr>
            </w:pPr>
            <w:r w:rsidRPr="0052271C">
              <w:rPr>
                <w:i/>
                <w:iCs/>
                <w:lang w:val="sr-Cyrl-RS"/>
              </w:rPr>
              <w:t>Почетна вредност: 19</w:t>
            </w:r>
            <w:r w:rsidR="001F32A0" w:rsidRPr="0052271C">
              <w:rPr>
                <w:i/>
                <w:iCs/>
                <w:lang w:val="sr-Cyrl-RS"/>
              </w:rPr>
              <w:t xml:space="preserve">% </w:t>
            </w:r>
          </w:p>
        </w:tc>
        <w:tc>
          <w:tcPr>
            <w:tcW w:w="5311" w:type="dxa"/>
            <w:shd w:val="clear" w:color="auto" w:fill="DEEAF6" w:themeFill="accent1" w:themeFillTint="33"/>
            <w:vAlign w:val="center"/>
          </w:tcPr>
          <w:p w14:paraId="527C95F7" w14:textId="77777777" w:rsidR="001F32A0" w:rsidRPr="0052271C" w:rsidRDefault="001F32A0" w:rsidP="001F32A0">
            <w:pPr>
              <w:rPr>
                <w:i/>
                <w:iCs/>
                <w:lang w:val="sr-Cyrl-RS"/>
              </w:rPr>
            </w:pPr>
            <w:r w:rsidRPr="0052271C">
              <w:rPr>
                <w:i/>
                <w:iCs/>
                <w:lang w:val="sr-Cyrl-RS"/>
              </w:rPr>
              <w:t>2020. године</w:t>
            </w:r>
          </w:p>
        </w:tc>
      </w:tr>
      <w:tr w:rsidR="001F32A0" w:rsidRPr="0052271C" w14:paraId="62140BC9" w14:textId="77777777" w:rsidTr="00A709F3">
        <w:trPr>
          <w:trHeight w:val="567"/>
        </w:trPr>
        <w:tc>
          <w:tcPr>
            <w:tcW w:w="3705" w:type="dxa"/>
            <w:shd w:val="clear" w:color="auto" w:fill="DEEAF6" w:themeFill="accent1" w:themeFillTint="33"/>
            <w:vAlign w:val="center"/>
          </w:tcPr>
          <w:p w14:paraId="4E0D9F9F" w14:textId="77777777" w:rsidR="001F32A0" w:rsidRPr="0052271C" w:rsidRDefault="001F32A0" w:rsidP="001F32A0">
            <w:pPr>
              <w:rPr>
                <w:lang w:val="sr-Cyrl-RS"/>
              </w:rPr>
            </w:pPr>
            <w:r w:rsidRPr="0052271C">
              <w:rPr>
                <w:i/>
                <w:iCs/>
                <w:lang w:val="sr-Cyrl-RS"/>
              </w:rPr>
              <w:t>Циљна вредност: 100%</w:t>
            </w:r>
          </w:p>
        </w:tc>
        <w:tc>
          <w:tcPr>
            <w:tcW w:w="5311" w:type="dxa"/>
            <w:shd w:val="clear" w:color="auto" w:fill="DEEAF6" w:themeFill="accent1" w:themeFillTint="33"/>
            <w:vAlign w:val="center"/>
          </w:tcPr>
          <w:p w14:paraId="7BB1764B" w14:textId="268733C9" w:rsidR="001F32A0" w:rsidRPr="0052271C" w:rsidRDefault="00C057D9" w:rsidP="001F32A0">
            <w:pPr>
              <w:rPr>
                <w:i/>
                <w:lang w:val="sr-Cyrl-RS"/>
              </w:rPr>
            </w:pPr>
            <w:r w:rsidRPr="0052271C">
              <w:rPr>
                <w:i/>
                <w:lang w:val="sr-Cyrl-RS"/>
              </w:rPr>
              <w:t>2027</w:t>
            </w:r>
            <w:r w:rsidR="001F32A0" w:rsidRPr="0052271C">
              <w:rPr>
                <w:i/>
                <w:lang w:val="sr-Cyrl-RS"/>
              </w:rPr>
              <w:t>. године</w:t>
            </w:r>
          </w:p>
        </w:tc>
      </w:tr>
    </w:tbl>
    <w:p w14:paraId="361517A1" w14:textId="77777777" w:rsidR="001F32A0" w:rsidRPr="0052271C" w:rsidRDefault="001F32A0" w:rsidP="001F32A0">
      <w:pPr>
        <w:spacing w:after="160" w:line="259" w:lineRule="auto"/>
        <w:jc w:val="both"/>
        <w:rPr>
          <w:rFonts w:eastAsiaTheme="minorHAnsi"/>
          <w:sz w:val="18"/>
          <w:szCs w:val="18"/>
          <w:lang w:val="sr-Cyrl-RS" w:eastAsia="en-US"/>
        </w:rPr>
      </w:pPr>
    </w:p>
    <w:tbl>
      <w:tblPr>
        <w:tblStyle w:val="TableGrid5"/>
        <w:tblW w:w="0" w:type="auto"/>
        <w:tblLook w:val="04A0" w:firstRow="1" w:lastRow="0" w:firstColumn="1" w:lastColumn="0" w:noHBand="0" w:noVBand="1"/>
      </w:tblPr>
      <w:tblGrid>
        <w:gridCol w:w="3705"/>
        <w:gridCol w:w="5311"/>
      </w:tblGrid>
      <w:tr w:rsidR="001F32A0" w:rsidRPr="0052271C" w14:paraId="56F2C8DE" w14:textId="77777777" w:rsidTr="00A709F3">
        <w:trPr>
          <w:trHeight w:val="567"/>
        </w:trPr>
        <w:tc>
          <w:tcPr>
            <w:tcW w:w="9016" w:type="dxa"/>
            <w:gridSpan w:val="2"/>
            <w:shd w:val="clear" w:color="auto" w:fill="DEEAF6" w:themeFill="accent1" w:themeFillTint="33"/>
          </w:tcPr>
          <w:p w14:paraId="62384DC2" w14:textId="5911431A" w:rsidR="001F32A0" w:rsidRPr="0052271C" w:rsidRDefault="001F32A0" w:rsidP="001F32A0">
            <w:pPr>
              <w:tabs>
                <w:tab w:val="num" w:pos="1134"/>
              </w:tabs>
              <w:jc w:val="both"/>
              <w:rPr>
                <w:lang w:val="sr-Cyrl-RS"/>
              </w:rPr>
            </w:pPr>
            <w:r w:rsidRPr="0052271C">
              <w:rPr>
                <w:lang w:val="sr-Cyrl-RS"/>
              </w:rPr>
              <w:t>Проценат великих ПСРС код којих је успостављена комисија за рев</w:t>
            </w:r>
            <w:r w:rsidR="004F52CE" w:rsidRPr="0052271C">
              <w:rPr>
                <w:lang w:val="sr-Cyrl-RS"/>
              </w:rPr>
              <w:t>и</w:t>
            </w:r>
            <w:r w:rsidRPr="0052271C">
              <w:rPr>
                <w:lang w:val="sr-Cyrl-RS"/>
              </w:rPr>
              <w:t xml:space="preserve">зију          </w:t>
            </w:r>
          </w:p>
          <w:p w14:paraId="250BF640" w14:textId="27DDB55D" w:rsidR="001F32A0" w:rsidRPr="0052271C" w:rsidRDefault="001F32A0" w:rsidP="008571BC">
            <w:pPr>
              <w:tabs>
                <w:tab w:val="num" w:pos="1134"/>
              </w:tabs>
              <w:jc w:val="both"/>
              <w:rPr>
                <w:lang w:val="sr-Cyrl-RS"/>
              </w:rPr>
            </w:pPr>
            <w:r w:rsidRPr="0052271C">
              <w:rPr>
                <w:lang w:val="sr-Cyrl-RS"/>
              </w:rPr>
              <w:t>(извор: Министарство)</w:t>
            </w:r>
          </w:p>
        </w:tc>
      </w:tr>
      <w:tr w:rsidR="001F32A0" w:rsidRPr="0052271C" w14:paraId="6CEC3E38" w14:textId="77777777" w:rsidTr="00A709F3">
        <w:trPr>
          <w:trHeight w:val="567"/>
        </w:trPr>
        <w:tc>
          <w:tcPr>
            <w:tcW w:w="3705" w:type="dxa"/>
            <w:shd w:val="clear" w:color="auto" w:fill="DEEAF6" w:themeFill="accent1" w:themeFillTint="33"/>
            <w:vAlign w:val="center"/>
          </w:tcPr>
          <w:p w14:paraId="3B10E1C3" w14:textId="77777777" w:rsidR="001F32A0" w:rsidRPr="0052271C" w:rsidRDefault="001F32A0" w:rsidP="001F32A0">
            <w:pPr>
              <w:ind w:left="2160" w:hanging="2160"/>
              <w:rPr>
                <w:i/>
                <w:iCs/>
                <w:lang w:val="sr-Cyrl-RS"/>
              </w:rPr>
            </w:pPr>
            <w:r w:rsidRPr="0052271C">
              <w:rPr>
                <w:i/>
                <w:iCs/>
                <w:lang w:val="sr-Cyrl-RS"/>
              </w:rPr>
              <w:t>Почетна вредност: недоступни подаци</w:t>
            </w:r>
          </w:p>
        </w:tc>
        <w:tc>
          <w:tcPr>
            <w:tcW w:w="5311" w:type="dxa"/>
            <w:shd w:val="clear" w:color="auto" w:fill="DEEAF6" w:themeFill="accent1" w:themeFillTint="33"/>
            <w:vAlign w:val="center"/>
          </w:tcPr>
          <w:p w14:paraId="11B1CC03" w14:textId="77777777" w:rsidR="001F32A0" w:rsidRPr="0052271C" w:rsidRDefault="001F32A0" w:rsidP="001F32A0">
            <w:pPr>
              <w:rPr>
                <w:i/>
                <w:iCs/>
                <w:lang w:val="sr-Cyrl-RS"/>
              </w:rPr>
            </w:pPr>
            <w:r w:rsidRPr="0052271C">
              <w:rPr>
                <w:i/>
                <w:iCs/>
                <w:lang w:val="sr-Cyrl-RS"/>
              </w:rPr>
              <w:t>2020. године</w:t>
            </w:r>
          </w:p>
        </w:tc>
      </w:tr>
      <w:tr w:rsidR="001F32A0" w:rsidRPr="0052271C" w14:paraId="7504A4AB" w14:textId="77777777" w:rsidTr="00A709F3">
        <w:trPr>
          <w:trHeight w:val="567"/>
        </w:trPr>
        <w:tc>
          <w:tcPr>
            <w:tcW w:w="3705" w:type="dxa"/>
            <w:shd w:val="clear" w:color="auto" w:fill="DEEAF6" w:themeFill="accent1" w:themeFillTint="33"/>
            <w:vAlign w:val="center"/>
          </w:tcPr>
          <w:p w14:paraId="3E1BCDD9" w14:textId="77777777" w:rsidR="001F32A0" w:rsidRPr="0052271C" w:rsidRDefault="001F32A0" w:rsidP="001F32A0">
            <w:pPr>
              <w:rPr>
                <w:lang w:val="sr-Cyrl-RS"/>
              </w:rPr>
            </w:pPr>
            <w:r w:rsidRPr="0052271C">
              <w:rPr>
                <w:i/>
                <w:iCs/>
                <w:lang w:val="sr-Cyrl-RS"/>
              </w:rPr>
              <w:t>Циљна вредност: 100%</w:t>
            </w:r>
          </w:p>
        </w:tc>
        <w:tc>
          <w:tcPr>
            <w:tcW w:w="5311" w:type="dxa"/>
            <w:shd w:val="clear" w:color="auto" w:fill="DEEAF6" w:themeFill="accent1" w:themeFillTint="33"/>
            <w:vAlign w:val="center"/>
          </w:tcPr>
          <w:p w14:paraId="4BB4E010" w14:textId="77777777" w:rsidR="001F32A0" w:rsidRPr="0052271C" w:rsidRDefault="001F32A0" w:rsidP="001F32A0">
            <w:pPr>
              <w:rPr>
                <w:i/>
                <w:lang w:val="sr-Cyrl-RS"/>
              </w:rPr>
            </w:pPr>
            <w:r w:rsidRPr="0052271C">
              <w:rPr>
                <w:i/>
                <w:lang w:val="sr-Cyrl-RS"/>
              </w:rPr>
              <w:t>2025. године</w:t>
            </w:r>
          </w:p>
        </w:tc>
      </w:tr>
    </w:tbl>
    <w:p w14:paraId="4E2E32AD" w14:textId="77777777" w:rsidR="001F32A0" w:rsidRPr="0052271C" w:rsidRDefault="001F32A0" w:rsidP="001F32A0">
      <w:pPr>
        <w:spacing w:after="160" w:line="259" w:lineRule="auto"/>
        <w:jc w:val="both"/>
        <w:rPr>
          <w:rFonts w:eastAsiaTheme="minorHAnsi"/>
          <w:sz w:val="6"/>
          <w:szCs w:val="6"/>
          <w:lang w:val="sr-Cyrl-RS" w:eastAsia="en-US"/>
        </w:rPr>
      </w:pPr>
    </w:p>
    <w:tbl>
      <w:tblPr>
        <w:tblStyle w:val="TableGrid5"/>
        <w:tblW w:w="0" w:type="auto"/>
        <w:tblLook w:val="04A0" w:firstRow="1" w:lastRow="0" w:firstColumn="1" w:lastColumn="0" w:noHBand="0" w:noVBand="1"/>
      </w:tblPr>
      <w:tblGrid>
        <w:gridCol w:w="3705"/>
        <w:gridCol w:w="5311"/>
      </w:tblGrid>
      <w:tr w:rsidR="001F32A0" w:rsidRPr="0052271C" w14:paraId="20159EA7" w14:textId="77777777" w:rsidTr="00A709F3">
        <w:trPr>
          <w:trHeight w:val="567"/>
        </w:trPr>
        <w:tc>
          <w:tcPr>
            <w:tcW w:w="9016" w:type="dxa"/>
            <w:gridSpan w:val="2"/>
            <w:shd w:val="clear" w:color="auto" w:fill="DEEAF6" w:themeFill="accent1" w:themeFillTint="33"/>
          </w:tcPr>
          <w:p w14:paraId="5D5AE8BE" w14:textId="77777777" w:rsidR="001F32A0" w:rsidRPr="0052271C" w:rsidRDefault="001F32A0" w:rsidP="001F32A0">
            <w:pPr>
              <w:tabs>
                <w:tab w:val="num" w:pos="1134"/>
              </w:tabs>
              <w:jc w:val="both"/>
              <w:rPr>
                <w:lang w:val="sr-Cyrl-RS"/>
              </w:rPr>
            </w:pPr>
            <w:r w:rsidRPr="0052271C">
              <w:rPr>
                <w:lang w:val="sr-Cyrl-RS"/>
              </w:rPr>
              <w:t>Проценат великих ПСРС код којих је успостављена комисија за именовања и накнаде</w:t>
            </w:r>
          </w:p>
          <w:p w14:paraId="039FAF52" w14:textId="5CC90180" w:rsidR="001F32A0" w:rsidRPr="0052271C" w:rsidRDefault="008571BC" w:rsidP="008571BC">
            <w:pPr>
              <w:tabs>
                <w:tab w:val="num" w:pos="1134"/>
              </w:tabs>
              <w:jc w:val="both"/>
              <w:rPr>
                <w:lang w:val="sr-Cyrl-RS"/>
              </w:rPr>
            </w:pPr>
            <w:r w:rsidRPr="0052271C">
              <w:rPr>
                <w:lang w:val="sr-Cyrl-RS"/>
              </w:rPr>
              <w:t>(извор: Министарство</w:t>
            </w:r>
            <w:r w:rsidR="001F32A0" w:rsidRPr="0052271C">
              <w:rPr>
                <w:lang w:val="sr-Cyrl-RS"/>
              </w:rPr>
              <w:t>)</w:t>
            </w:r>
          </w:p>
        </w:tc>
      </w:tr>
      <w:tr w:rsidR="001F32A0" w:rsidRPr="0052271C" w14:paraId="609653EF" w14:textId="77777777" w:rsidTr="00A709F3">
        <w:trPr>
          <w:trHeight w:val="567"/>
        </w:trPr>
        <w:tc>
          <w:tcPr>
            <w:tcW w:w="3705" w:type="dxa"/>
            <w:shd w:val="clear" w:color="auto" w:fill="DEEAF6" w:themeFill="accent1" w:themeFillTint="33"/>
            <w:vAlign w:val="center"/>
          </w:tcPr>
          <w:p w14:paraId="7874398B" w14:textId="09F48EEF" w:rsidR="001F32A0" w:rsidRPr="0052271C" w:rsidRDefault="001F32A0" w:rsidP="007D54A6">
            <w:pPr>
              <w:ind w:left="2047" w:hanging="2047"/>
              <w:rPr>
                <w:i/>
                <w:iCs/>
                <w:lang w:val="sr-Cyrl-RS"/>
              </w:rPr>
            </w:pPr>
            <w:r w:rsidRPr="0052271C">
              <w:rPr>
                <w:i/>
                <w:iCs/>
                <w:lang w:val="sr-Cyrl-RS"/>
              </w:rPr>
              <w:t xml:space="preserve">Почетна вредност: недоступни </w:t>
            </w:r>
            <w:r w:rsidR="00A90835" w:rsidRPr="0052271C">
              <w:rPr>
                <w:i/>
                <w:iCs/>
                <w:lang w:val="sr-Cyrl-RS"/>
              </w:rPr>
              <w:t xml:space="preserve">  </w:t>
            </w:r>
            <w:r w:rsidRPr="0052271C">
              <w:rPr>
                <w:i/>
                <w:iCs/>
                <w:lang w:val="sr-Cyrl-RS"/>
              </w:rPr>
              <w:t>подаци</w:t>
            </w:r>
          </w:p>
        </w:tc>
        <w:tc>
          <w:tcPr>
            <w:tcW w:w="5311" w:type="dxa"/>
            <w:shd w:val="clear" w:color="auto" w:fill="DEEAF6" w:themeFill="accent1" w:themeFillTint="33"/>
            <w:vAlign w:val="center"/>
          </w:tcPr>
          <w:p w14:paraId="1DD07146" w14:textId="77777777" w:rsidR="001F32A0" w:rsidRPr="0052271C" w:rsidRDefault="001F32A0" w:rsidP="001F32A0">
            <w:pPr>
              <w:rPr>
                <w:i/>
                <w:iCs/>
                <w:lang w:val="sr-Cyrl-RS"/>
              </w:rPr>
            </w:pPr>
            <w:r w:rsidRPr="0052271C">
              <w:rPr>
                <w:i/>
                <w:iCs/>
                <w:lang w:val="sr-Cyrl-RS"/>
              </w:rPr>
              <w:t>2020. године</w:t>
            </w:r>
          </w:p>
        </w:tc>
      </w:tr>
      <w:tr w:rsidR="001F32A0" w:rsidRPr="0052271C" w14:paraId="4955CCBF" w14:textId="77777777" w:rsidTr="00265120">
        <w:trPr>
          <w:trHeight w:val="567"/>
        </w:trPr>
        <w:tc>
          <w:tcPr>
            <w:tcW w:w="3705" w:type="dxa"/>
            <w:tcBorders>
              <w:bottom w:val="single" w:sz="4" w:space="0" w:color="auto"/>
            </w:tcBorders>
            <w:shd w:val="clear" w:color="auto" w:fill="DEEAF6" w:themeFill="accent1" w:themeFillTint="33"/>
            <w:vAlign w:val="center"/>
          </w:tcPr>
          <w:p w14:paraId="021ED8EF" w14:textId="77777777" w:rsidR="001F32A0" w:rsidRPr="0052271C" w:rsidRDefault="001F32A0" w:rsidP="001F32A0">
            <w:pPr>
              <w:rPr>
                <w:lang w:val="sr-Cyrl-RS"/>
              </w:rPr>
            </w:pPr>
            <w:r w:rsidRPr="0052271C">
              <w:rPr>
                <w:i/>
                <w:iCs/>
                <w:lang w:val="sr-Cyrl-RS"/>
              </w:rPr>
              <w:t>Циљна вредност: 100%</w:t>
            </w:r>
          </w:p>
        </w:tc>
        <w:tc>
          <w:tcPr>
            <w:tcW w:w="5311" w:type="dxa"/>
            <w:tcBorders>
              <w:bottom w:val="single" w:sz="4" w:space="0" w:color="auto"/>
            </w:tcBorders>
            <w:shd w:val="clear" w:color="auto" w:fill="DEEAF6" w:themeFill="accent1" w:themeFillTint="33"/>
            <w:vAlign w:val="center"/>
          </w:tcPr>
          <w:p w14:paraId="74750BE2" w14:textId="190423BE" w:rsidR="001F32A0" w:rsidRPr="0052271C" w:rsidRDefault="001F32A0" w:rsidP="004F52CE">
            <w:pPr>
              <w:rPr>
                <w:i/>
                <w:lang w:val="sr-Cyrl-RS"/>
              </w:rPr>
            </w:pPr>
            <w:r w:rsidRPr="0052271C">
              <w:rPr>
                <w:i/>
                <w:lang w:val="sr-Cyrl-RS"/>
              </w:rPr>
              <w:t>202</w:t>
            </w:r>
            <w:r w:rsidR="004F52CE" w:rsidRPr="0052271C">
              <w:rPr>
                <w:i/>
                <w:lang w:val="sr-Cyrl-RS"/>
              </w:rPr>
              <w:t>5</w:t>
            </w:r>
            <w:r w:rsidRPr="0052271C">
              <w:rPr>
                <w:i/>
                <w:lang w:val="sr-Cyrl-RS"/>
              </w:rPr>
              <w:t>. године</w:t>
            </w:r>
          </w:p>
        </w:tc>
      </w:tr>
      <w:tr w:rsidR="00EB1EAE" w:rsidRPr="0052271C" w14:paraId="0A51EF69" w14:textId="77777777" w:rsidTr="00EB1EAE">
        <w:trPr>
          <w:trHeight w:val="567"/>
        </w:trPr>
        <w:tc>
          <w:tcPr>
            <w:tcW w:w="9016" w:type="dxa"/>
            <w:gridSpan w:val="2"/>
            <w:tcBorders>
              <w:top w:val="single" w:sz="4" w:space="0" w:color="auto"/>
              <w:left w:val="single" w:sz="4" w:space="0" w:color="FFFFFF" w:themeColor="background1"/>
              <w:bottom w:val="nil"/>
              <w:right w:val="single" w:sz="4" w:space="0" w:color="FFFFFF" w:themeColor="background1"/>
            </w:tcBorders>
            <w:shd w:val="clear" w:color="auto" w:fill="FFFFFF" w:themeFill="background1"/>
            <w:vAlign w:val="center"/>
          </w:tcPr>
          <w:p w14:paraId="69CD76C2" w14:textId="77777777" w:rsidR="00EB1EAE" w:rsidRPr="0052271C" w:rsidRDefault="00EB1EAE" w:rsidP="004F52CE">
            <w:pPr>
              <w:rPr>
                <w:i/>
                <w:sz w:val="6"/>
                <w:szCs w:val="6"/>
                <w:lang w:val="sr-Cyrl-RS"/>
              </w:rPr>
            </w:pPr>
          </w:p>
        </w:tc>
      </w:tr>
      <w:tr w:rsidR="001F32A0" w:rsidRPr="0052271C" w14:paraId="029E798C" w14:textId="77777777" w:rsidTr="00C23FDA">
        <w:trPr>
          <w:trHeight w:val="567"/>
        </w:trPr>
        <w:tc>
          <w:tcPr>
            <w:tcW w:w="9016" w:type="dxa"/>
            <w:gridSpan w:val="2"/>
            <w:tcBorders>
              <w:bottom w:val="nil"/>
            </w:tcBorders>
            <w:shd w:val="clear" w:color="auto" w:fill="DEEAF6" w:themeFill="accent1" w:themeFillTint="33"/>
          </w:tcPr>
          <w:p w14:paraId="3CDFA7A3" w14:textId="00B7B552" w:rsidR="001F32A0" w:rsidRPr="0052271C" w:rsidRDefault="001F32A0" w:rsidP="001F32A0">
            <w:pPr>
              <w:tabs>
                <w:tab w:val="num" w:pos="1134"/>
              </w:tabs>
              <w:jc w:val="both"/>
              <w:rPr>
                <w:lang w:val="sr-Cyrl-RS"/>
              </w:rPr>
            </w:pPr>
            <w:r w:rsidRPr="0052271C">
              <w:rPr>
                <w:lang w:val="sr-Cyrl-RS"/>
              </w:rPr>
              <w:t>Проценат ПСРС кој</w:t>
            </w:r>
            <w:r w:rsidR="00143B28" w:rsidRPr="0052271C">
              <w:rPr>
                <w:lang w:val="sr-Cyrl-RS"/>
              </w:rPr>
              <w:t>и</w:t>
            </w:r>
            <w:r w:rsidRPr="0052271C">
              <w:rPr>
                <w:lang w:val="sr-Cyrl-RS"/>
              </w:rPr>
              <w:t xml:space="preserve"> јавно објављују прописане информације и документа </w:t>
            </w:r>
          </w:p>
          <w:p w14:paraId="6B2EEF47" w14:textId="264B615F" w:rsidR="001F32A0" w:rsidRPr="0052271C" w:rsidRDefault="001F32A0" w:rsidP="008571BC">
            <w:pPr>
              <w:tabs>
                <w:tab w:val="num" w:pos="1134"/>
              </w:tabs>
              <w:jc w:val="both"/>
              <w:rPr>
                <w:lang w:val="sr-Cyrl-RS"/>
              </w:rPr>
            </w:pPr>
            <w:r w:rsidRPr="0052271C">
              <w:rPr>
                <w:lang w:val="sr-Cyrl-RS"/>
              </w:rPr>
              <w:t>(извор: Интернет странице ПСРС, Министарство)</w:t>
            </w:r>
          </w:p>
        </w:tc>
      </w:tr>
      <w:tr w:rsidR="001F32A0" w:rsidRPr="0052271C" w14:paraId="16D2EE5F" w14:textId="77777777" w:rsidTr="00A709F3">
        <w:trPr>
          <w:trHeight w:val="567"/>
        </w:trPr>
        <w:tc>
          <w:tcPr>
            <w:tcW w:w="3705" w:type="dxa"/>
            <w:shd w:val="clear" w:color="auto" w:fill="DEEAF6" w:themeFill="accent1" w:themeFillTint="33"/>
            <w:vAlign w:val="center"/>
          </w:tcPr>
          <w:p w14:paraId="14A9A1FD" w14:textId="77777777" w:rsidR="001F32A0" w:rsidRPr="0052271C" w:rsidRDefault="001F32A0" w:rsidP="001F32A0">
            <w:pPr>
              <w:ind w:left="2160" w:hanging="2160"/>
              <w:rPr>
                <w:i/>
                <w:iCs/>
                <w:lang w:val="sr-Cyrl-RS"/>
              </w:rPr>
            </w:pPr>
            <w:r w:rsidRPr="0052271C">
              <w:rPr>
                <w:i/>
                <w:iCs/>
                <w:lang w:val="sr-Cyrl-RS"/>
              </w:rPr>
              <w:t>Почетна вредност: недоступни подаци</w:t>
            </w:r>
          </w:p>
        </w:tc>
        <w:tc>
          <w:tcPr>
            <w:tcW w:w="5311" w:type="dxa"/>
            <w:shd w:val="clear" w:color="auto" w:fill="DEEAF6" w:themeFill="accent1" w:themeFillTint="33"/>
            <w:vAlign w:val="center"/>
          </w:tcPr>
          <w:p w14:paraId="4AB82E3E" w14:textId="77777777" w:rsidR="001F32A0" w:rsidRPr="0052271C" w:rsidRDefault="001F32A0" w:rsidP="001F32A0">
            <w:pPr>
              <w:rPr>
                <w:i/>
                <w:iCs/>
                <w:lang w:val="sr-Cyrl-RS"/>
              </w:rPr>
            </w:pPr>
            <w:r w:rsidRPr="0052271C">
              <w:rPr>
                <w:i/>
                <w:iCs/>
                <w:lang w:val="sr-Cyrl-RS"/>
              </w:rPr>
              <w:t>2020. године</w:t>
            </w:r>
          </w:p>
        </w:tc>
      </w:tr>
      <w:tr w:rsidR="001F32A0" w:rsidRPr="0052271C" w14:paraId="4A22CD8E" w14:textId="77777777" w:rsidTr="00A709F3">
        <w:trPr>
          <w:trHeight w:val="567"/>
        </w:trPr>
        <w:tc>
          <w:tcPr>
            <w:tcW w:w="3705" w:type="dxa"/>
            <w:shd w:val="clear" w:color="auto" w:fill="DEEAF6" w:themeFill="accent1" w:themeFillTint="33"/>
            <w:vAlign w:val="center"/>
          </w:tcPr>
          <w:p w14:paraId="350F70EE" w14:textId="77777777" w:rsidR="001F32A0" w:rsidRPr="0052271C" w:rsidRDefault="001F32A0" w:rsidP="001F32A0">
            <w:pPr>
              <w:rPr>
                <w:lang w:val="sr-Cyrl-RS"/>
              </w:rPr>
            </w:pPr>
            <w:r w:rsidRPr="0052271C">
              <w:rPr>
                <w:i/>
                <w:iCs/>
                <w:lang w:val="sr-Cyrl-RS"/>
              </w:rPr>
              <w:t>Циљна вредност: 100%</w:t>
            </w:r>
          </w:p>
        </w:tc>
        <w:tc>
          <w:tcPr>
            <w:tcW w:w="5311" w:type="dxa"/>
            <w:shd w:val="clear" w:color="auto" w:fill="DEEAF6" w:themeFill="accent1" w:themeFillTint="33"/>
            <w:vAlign w:val="center"/>
          </w:tcPr>
          <w:p w14:paraId="2C6C19B4" w14:textId="77777777" w:rsidR="001F32A0" w:rsidRPr="0052271C" w:rsidRDefault="001F32A0" w:rsidP="001F32A0">
            <w:pPr>
              <w:rPr>
                <w:i/>
                <w:lang w:val="sr-Cyrl-RS"/>
              </w:rPr>
            </w:pPr>
            <w:r w:rsidRPr="0052271C">
              <w:rPr>
                <w:i/>
                <w:lang w:val="sr-Cyrl-RS"/>
              </w:rPr>
              <w:t>2025. године</w:t>
            </w:r>
          </w:p>
        </w:tc>
      </w:tr>
    </w:tbl>
    <w:p w14:paraId="4DEF2B79" w14:textId="77777777" w:rsidR="005D5655" w:rsidRPr="0052271C" w:rsidRDefault="005D5655" w:rsidP="001F32A0">
      <w:pPr>
        <w:spacing w:after="160" w:line="259" w:lineRule="auto"/>
        <w:jc w:val="both"/>
        <w:rPr>
          <w:rFonts w:eastAsiaTheme="minorHAnsi"/>
          <w:sz w:val="6"/>
          <w:szCs w:val="6"/>
          <w:lang w:val="sr-Cyrl-RS" w:eastAsia="en-US"/>
        </w:rPr>
      </w:pPr>
    </w:p>
    <w:tbl>
      <w:tblPr>
        <w:tblStyle w:val="TableGrid5"/>
        <w:tblW w:w="0" w:type="auto"/>
        <w:tblLook w:val="04A0" w:firstRow="1" w:lastRow="0" w:firstColumn="1" w:lastColumn="0" w:noHBand="0" w:noVBand="1"/>
      </w:tblPr>
      <w:tblGrid>
        <w:gridCol w:w="3690"/>
        <w:gridCol w:w="5326"/>
      </w:tblGrid>
      <w:tr w:rsidR="001F32A0" w:rsidRPr="0052271C" w14:paraId="24CB5492" w14:textId="77777777" w:rsidTr="00A709F3">
        <w:trPr>
          <w:trHeight w:val="567"/>
        </w:trPr>
        <w:tc>
          <w:tcPr>
            <w:tcW w:w="9016" w:type="dxa"/>
            <w:gridSpan w:val="2"/>
            <w:shd w:val="clear" w:color="auto" w:fill="DEEAF6" w:themeFill="accent1" w:themeFillTint="33"/>
          </w:tcPr>
          <w:p w14:paraId="61CA311F" w14:textId="34E33322" w:rsidR="001F32A0" w:rsidRPr="0052271C" w:rsidRDefault="001F32A0" w:rsidP="008571BC">
            <w:pPr>
              <w:tabs>
                <w:tab w:val="num" w:pos="1134"/>
              </w:tabs>
              <w:jc w:val="both"/>
              <w:rPr>
                <w:lang w:val="sr-Cyrl-RS"/>
              </w:rPr>
            </w:pPr>
            <w:r w:rsidRPr="0052271C">
              <w:rPr>
                <w:lang w:val="sr-Cyrl-RS"/>
              </w:rPr>
              <w:t>Проценат ПСРС са дефинисаним циљевима и кључним показатељима успеха одређеним у писмима очекивања (извор: извештаји Министарства)</w:t>
            </w:r>
          </w:p>
        </w:tc>
      </w:tr>
      <w:tr w:rsidR="001F32A0" w:rsidRPr="0052271C" w14:paraId="47B76F05" w14:textId="77777777" w:rsidTr="00A709F3">
        <w:trPr>
          <w:trHeight w:val="567"/>
        </w:trPr>
        <w:tc>
          <w:tcPr>
            <w:tcW w:w="3690" w:type="dxa"/>
            <w:shd w:val="clear" w:color="auto" w:fill="DEEAF6" w:themeFill="accent1" w:themeFillTint="33"/>
            <w:vAlign w:val="center"/>
          </w:tcPr>
          <w:p w14:paraId="27782481" w14:textId="77777777" w:rsidR="001F32A0" w:rsidRPr="0052271C" w:rsidRDefault="001F32A0" w:rsidP="001F32A0">
            <w:pPr>
              <w:rPr>
                <w:i/>
                <w:iCs/>
                <w:lang w:val="sr-Cyrl-RS"/>
              </w:rPr>
            </w:pPr>
            <w:r w:rsidRPr="0052271C">
              <w:rPr>
                <w:i/>
                <w:iCs/>
                <w:lang w:val="sr-Cyrl-RS"/>
              </w:rPr>
              <w:t xml:space="preserve">Почетна вредност: 0 </w:t>
            </w:r>
          </w:p>
        </w:tc>
        <w:tc>
          <w:tcPr>
            <w:tcW w:w="5326" w:type="dxa"/>
            <w:shd w:val="clear" w:color="auto" w:fill="DEEAF6" w:themeFill="accent1" w:themeFillTint="33"/>
            <w:vAlign w:val="center"/>
          </w:tcPr>
          <w:p w14:paraId="471D3CEF" w14:textId="77777777" w:rsidR="001F32A0" w:rsidRPr="0052271C" w:rsidRDefault="001F32A0" w:rsidP="001F32A0">
            <w:pPr>
              <w:rPr>
                <w:i/>
                <w:iCs/>
                <w:lang w:val="sr-Cyrl-RS"/>
              </w:rPr>
            </w:pPr>
            <w:r w:rsidRPr="0052271C">
              <w:rPr>
                <w:i/>
                <w:iCs/>
                <w:lang w:val="sr-Cyrl-RS"/>
              </w:rPr>
              <w:t>2020. године</w:t>
            </w:r>
          </w:p>
        </w:tc>
      </w:tr>
      <w:tr w:rsidR="001F32A0" w:rsidRPr="0052271C" w14:paraId="072D683E" w14:textId="77777777" w:rsidTr="00A709F3">
        <w:trPr>
          <w:trHeight w:val="567"/>
        </w:trPr>
        <w:tc>
          <w:tcPr>
            <w:tcW w:w="3690" w:type="dxa"/>
            <w:shd w:val="clear" w:color="auto" w:fill="DEEAF6" w:themeFill="accent1" w:themeFillTint="33"/>
            <w:vAlign w:val="center"/>
          </w:tcPr>
          <w:p w14:paraId="632AF69E" w14:textId="77777777" w:rsidR="001F32A0" w:rsidRPr="0052271C" w:rsidRDefault="001F32A0" w:rsidP="001F32A0">
            <w:pPr>
              <w:rPr>
                <w:i/>
                <w:lang w:val="sr-Cyrl-RS"/>
              </w:rPr>
            </w:pPr>
            <w:r w:rsidRPr="0052271C">
              <w:rPr>
                <w:i/>
                <w:iCs/>
                <w:lang w:val="sr-Cyrl-RS"/>
              </w:rPr>
              <w:t xml:space="preserve">Циљна вредност: 100% </w:t>
            </w:r>
          </w:p>
        </w:tc>
        <w:tc>
          <w:tcPr>
            <w:tcW w:w="5326" w:type="dxa"/>
            <w:shd w:val="clear" w:color="auto" w:fill="DEEAF6" w:themeFill="accent1" w:themeFillTint="33"/>
            <w:vAlign w:val="center"/>
          </w:tcPr>
          <w:p w14:paraId="02440982" w14:textId="77777777" w:rsidR="001F32A0" w:rsidRPr="0052271C" w:rsidRDefault="001F32A0" w:rsidP="001F32A0">
            <w:pPr>
              <w:rPr>
                <w:i/>
                <w:lang w:val="sr-Cyrl-RS"/>
              </w:rPr>
            </w:pPr>
            <w:r w:rsidRPr="0052271C">
              <w:rPr>
                <w:i/>
                <w:lang w:val="sr-Cyrl-RS"/>
              </w:rPr>
              <w:t>2027. године</w:t>
            </w:r>
          </w:p>
        </w:tc>
      </w:tr>
    </w:tbl>
    <w:p w14:paraId="7404C5D9" w14:textId="77777777" w:rsidR="001F32A0" w:rsidRPr="0052271C" w:rsidRDefault="001F32A0" w:rsidP="001F32A0">
      <w:pPr>
        <w:spacing w:after="160" w:line="259" w:lineRule="auto"/>
        <w:jc w:val="both"/>
        <w:rPr>
          <w:rFonts w:eastAsiaTheme="minorHAnsi"/>
          <w:lang w:val="sr-Cyrl-RS" w:eastAsia="en-US"/>
        </w:rPr>
      </w:pPr>
    </w:p>
    <w:tbl>
      <w:tblPr>
        <w:tblStyle w:val="TableGrid5"/>
        <w:tblW w:w="0" w:type="auto"/>
        <w:tblLook w:val="04A0" w:firstRow="1" w:lastRow="0" w:firstColumn="1" w:lastColumn="0" w:noHBand="0" w:noVBand="1"/>
      </w:tblPr>
      <w:tblGrid>
        <w:gridCol w:w="3690"/>
        <w:gridCol w:w="5326"/>
      </w:tblGrid>
      <w:tr w:rsidR="001F32A0" w:rsidRPr="0052271C" w14:paraId="54A74B74" w14:textId="77777777" w:rsidTr="00A709F3">
        <w:trPr>
          <w:trHeight w:val="567"/>
        </w:trPr>
        <w:tc>
          <w:tcPr>
            <w:tcW w:w="9016" w:type="dxa"/>
            <w:gridSpan w:val="2"/>
            <w:shd w:val="clear" w:color="auto" w:fill="DEEAF6" w:themeFill="accent1" w:themeFillTint="33"/>
          </w:tcPr>
          <w:p w14:paraId="762716EC" w14:textId="0F31A63C" w:rsidR="001F32A0" w:rsidRPr="0052271C" w:rsidRDefault="001F32A0" w:rsidP="008571BC">
            <w:pPr>
              <w:tabs>
                <w:tab w:val="num" w:pos="1134"/>
              </w:tabs>
              <w:jc w:val="both"/>
              <w:rPr>
                <w:lang w:val="sr-Cyrl-RS"/>
              </w:rPr>
            </w:pPr>
            <w:r w:rsidRPr="0052271C">
              <w:rPr>
                <w:lang w:val="sr-Cyrl-RS"/>
              </w:rPr>
              <w:t>Израђени к</w:t>
            </w:r>
            <w:r w:rsidR="00EC45A7" w:rsidRPr="0052271C">
              <w:rPr>
                <w:lang w:val="sr-Cyrl-RS"/>
              </w:rPr>
              <w:t>ритеријуми за дефинисање зарада/</w:t>
            </w:r>
            <w:r w:rsidRPr="0052271C">
              <w:rPr>
                <w:lang w:val="sr-Cyrl-RS"/>
              </w:rPr>
              <w:t xml:space="preserve">накнада према </w:t>
            </w:r>
            <w:r w:rsidR="00554EE0" w:rsidRPr="0052271C">
              <w:rPr>
                <w:lang w:val="sr-Cyrl-RS"/>
              </w:rPr>
              <w:t>учинцима</w:t>
            </w:r>
            <w:r w:rsidRPr="0052271C">
              <w:rPr>
                <w:lang w:val="sr-Cyrl-RS"/>
              </w:rPr>
              <w:t xml:space="preserve"> и осталим показатељима (извор: извештаји Министарства)</w:t>
            </w:r>
          </w:p>
        </w:tc>
      </w:tr>
      <w:tr w:rsidR="001F32A0" w:rsidRPr="0052271C" w14:paraId="5CC70491" w14:textId="77777777" w:rsidTr="00A709F3">
        <w:trPr>
          <w:trHeight w:val="567"/>
        </w:trPr>
        <w:tc>
          <w:tcPr>
            <w:tcW w:w="3690" w:type="dxa"/>
            <w:shd w:val="clear" w:color="auto" w:fill="DEEAF6" w:themeFill="accent1" w:themeFillTint="33"/>
            <w:vAlign w:val="center"/>
          </w:tcPr>
          <w:p w14:paraId="31067463" w14:textId="77777777" w:rsidR="001F32A0" w:rsidRPr="0052271C" w:rsidRDefault="001F32A0" w:rsidP="001F32A0">
            <w:pPr>
              <w:rPr>
                <w:i/>
                <w:iCs/>
                <w:lang w:val="sr-Cyrl-RS"/>
              </w:rPr>
            </w:pPr>
            <w:r w:rsidRPr="0052271C">
              <w:rPr>
                <w:i/>
                <w:iCs/>
                <w:lang w:val="sr-Cyrl-RS"/>
              </w:rPr>
              <w:t>Почетна вредност: не</w:t>
            </w:r>
          </w:p>
        </w:tc>
        <w:tc>
          <w:tcPr>
            <w:tcW w:w="5326" w:type="dxa"/>
            <w:shd w:val="clear" w:color="auto" w:fill="DEEAF6" w:themeFill="accent1" w:themeFillTint="33"/>
            <w:vAlign w:val="center"/>
          </w:tcPr>
          <w:p w14:paraId="5FABCC3C" w14:textId="77777777" w:rsidR="001F32A0" w:rsidRPr="0052271C" w:rsidRDefault="001F32A0" w:rsidP="001F32A0">
            <w:pPr>
              <w:rPr>
                <w:i/>
                <w:iCs/>
                <w:lang w:val="sr-Cyrl-RS"/>
              </w:rPr>
            </w:pPr>
            <w:r w:rsidRPr="0052271C">
              <w:rPr>
                <w:i/>
                <w:iCs/>
                <w:lang w:val="sr-Cyrl-RS"/>
              </w:rPr>
              <w:t>2020. године</w:t>
            </w:r>
          </w:p>
        </w:tc>
      </w:tr>
      <w:tr w:rsidR="001F32A0" w:rsidRPr="0052271C" w14:paraId="711F239B" w14:textId="77777777" w:rsidTr="00A709F3">
        <w:trPr>
          <w:trHeight w:val="567"/>
        </w:trPr>
        <w:tc>
          <w:tcPr>
            <w:tcW w:w="3690" w:type="dxa"/>
            <w:shd w:val="clear" w:color="auto" w:fill="DEEAF6" w:themeFill="accent1" w:themeFillTint="33"/>
            <w:vAlign w:val="center"/>
          </w:tcPr>
          <w:p w14:paraId="5A0728A8" w14:textId="77777777" w:rsidR="001F32A0" w:rsidRPr="0052271C" w:rsidRDefault="001F32A0" w:rsidP="001F32A0">
            <w:pPr>
              <w:rPr>
                <w:i/>
                <w:lang w:val="sr-Cyrl-RS"/>
              </w:rPr>
            </w:pPr>
            <w:r w:rsidRPr="0052271C">
              <w:rPr>
                <w:i/>
                <w:iCs/>
                <w:lang w:val="sr-Cyrl-RS"/>
              </w:rPr>
              <w:t>Циљна вредност: да</w:t>
            </w:r>
          </w:p>
        </w:tc>
        <w:tc>
          <w:tcPr>
            <w:tcW w:w="5326" w:type="dxa"/>
            <w:shd w:val="clear" w:color="auto" w:fill="DEEAF6" w:themeFill="accent1" w:themeFillTint="33"/>
            <w:vAlign w:val="center"/>
          </w:tcPr>
          <w:p w14:paraId="5FAFAA24" w14:textId="77777777" w:rsidR="001F32A0" w:rsidRPr="0052271C" w:rsidRDefault="001F32A0" w:rsidP="001F32A0">
            <w:pPr>
              <w:rPr>
                <w:i/>
                <w:lang w:val="sr-Cyrl-RS"/>
              </w:rPr>
            </w:pPr>
            <w:r w:rsidRPr="0052271C">
              <w:rPr>
                <w:i/>
                <w:lang w:val="sr-Cyrl-RS"/>
              </w:rPr>
              <w:t>2025. године</w:t>
            </w:r>
          </w:p>
        </w:tc>
      </w:tr>
    </w:tbl>
    <w:p w14:paraId="64881DCE" w14:textId="77777777" w:rsidR="00C967C8" w:rsidRPr="0052271C" w:rsidRDefault="00C967C8" w:rsidP="001F32A0">
      <w:pPr>
        <w:spacing w:after="160" w:line="259" w:lineRule="auto"/>
        <w:jc w:val="both"/>
        <w:rPr>
          <w:rFonts w:eastAsiaTheme="minorHAnsi"/>
          <w:lang w:val="sr-Cyrl-RS" w:eastAsia="en-US"/>
        </w:rPr>
      </w:pPr>
    </w:p>
    <w:tbl>
      <w:tblPr>
        <w:tblStyle w:val="TableGrid5"/>
        <w:tblW w:w="0" w:type="auto"/>
        <w:tblLook w:val="04A0" w:firstRow="1" w:lastRow="0" w:firstColumn="1" w:lastColumn="0" w:noHBand="0" w:noVBand="1"/>
      </w:tblPr>
      <w:tblGrid>
        <w:gridCol w:w="3681"/>
        <w:gridCol w:w="5335"/>
      </w:tblGrid>
      <w:tr w:rsidR="001F32A0" w:rsidRPr="0052271C" w14:paraId="7A0E8949" w14:textId="77777777" w:rsidTr="00A709F3">
        <w:trPr>
          <w:trHeight w:val="567"/>
        </w:trPr>
        <w:tc>
          <w:tcPr>
            <w:tcW w:w="9016" w:type="dxa"/>
            <w:gridSpan w:val="2"/>
            <w:shd w:val="clear" w:color="auto" w:fill="DEEAF6" w:themeFill="accent1" w:themeFillTint="33"/>
          </w:tcPr>
          <w:p w14:paraId="428847D6" w14:textId="77777777" w:rsidR="001F32A0" w:rsidRPr="0052271C" w:rsidRDefault="001F32A0" w:rsidP="001F32A0">
            <w:pPr>
              <w:tabs>
                <w:tab w:val="num" w:pos="1134"/>
              </w:tabs>
              <w:jc w:val="both"/>
              <w:rPr>
                <w:lang w:val="sr-Cyrl-RS"/>
              </w:rPr>
            </w:pPr>
            <w:r w:rsidRPr="0052271C">
              <w:rPr>
                <w:lang w:val="sr-Cyrl-RS"/>
              </w:rPr>
              <w:t xml:space="preserve">Успостављене базе података из области корпоративног управљања </w:t>
            </w:r>
          </w:p>
          <w:p w14:paraId="0138C5F2" w14:textId="68BA938D" w:rsidR="001F32A0" w:rsidRPr="0052271C" w:rsidRDefault="001F32A0" w:rsidP="008571BC">
            <w:pPr>
              <w:tabs>
                <w:tab w:val="num" w:pos="1134"/>
              </w:tabs>
              <w:jc w:val="both"/>
              <w:rPr>
                <w:lang w:val="sr-Cyrl-RS"/>
              </w:rPr>
            </w:pPr>
            <w:r w:rsidRPr="0052271C">
              <w:rPr>
                <w:lang w:val="sr-Cyrl-RS"/>
              </w:rPr>
              <w:t>(извор: извештаји Министарства)</w:t>
            </w:r>
          </w:p>
        </w:tc>
      </w:tr>
      <w:tr w:rsidR="001F32A0" w:rsidRPr="0052271C" w14:paraId="56BE7412" w14:textId="77777777" w:rsidTr="00A709F3">
        <w:trPr>
          <w:trHeight w:val="567"/>
        </w:trPr>
        <w:tc>
          <w:tcPr>
            <w:tcW w:w="3681" w:type="dxa"/>
            <w:shd w:val="clear" w:color="auto" w:fill="DEEAF6" w:themeFill="accent1" w:themeFillTint="33"/>
            <w:vAlign w:val="center"/>
          </w:tcPr>
          <w:p w14:paraId="1AB5B474" w14:textId="77777777" w:rsidR="001F32A0" w:rsidRPr="0052271C" w:rsidRDefault="001F32A0" w:rsidP="001F32A0">
            <w:pPr>
              <w:rPr>
                <w:i/>
                <w:iCs/>
                <w:lang w:val="sr-Cyrl-RS"/>
              </w:rPr>
            </w:pPr>
            <w:r w:rsidRPr="0052271C">
              <w:rPr>
                <w:i/>
                <w:iCs/>
                <w:lang w:val="sr-Cyrl-RS"/>
              </w:rPr>
              <w:t>Почетна вредност: не</w:t>
            </w:r>
          </w:p>
        </w:tc>
        <w:tc>
          <w:tcPr>
            <w:tcW w:w="5335" w:type="dxa"/>
            <w:shd w:val="clear" w:color="auto" w:fill="DEEAF6" w:themeFill="accent1" w:themeFillTint="33"/>
            <w:vAlign w:val="center"/>
          </w:tcPr>
          <w:p w14:paraId="47D8799E" w14:textId="77777777" w:rsidR="001F32A0" w:rsidRPr="0052271C" w:rsidRDefault="001F32A0" w:rsidP="001F32A0">
            <w:pPr>
              <w:rPr>
                <w:i/>
                <w:iCs/>
                <w:lang w:val="sr-Cyrl-RS"/>
              </w:rPr>
            </w:pPr>
            <w:r w:rsidRPr="0052271C">
              <w:rPr>
                <w:i/>
                <w:iCs/>
                <w:lang w:val="sr-Cyrl-RS"/>
              </w:rPr>
              <w:t>2020. године</w:t>
            </w:r>
          </w:p>
        </w:tc>
      </w:tr>
      <w:tr w:rsidR="001F32A0" w:rsidRPr="0052271C" w14:paraId="33BE2AB1" w14:textId="77777777" w:rsidTr="00A709F3">
        <w:trPr>
          <w:trHeight w:val="567"/>
        </w:trPr>
        <w:tc>
          <w:tcPr>
            <w:tcW w:w="3681" w:type="dxa"/>
            <w:shd w:val="clear" w:color="auto" w:fill="DEEAF6" w:themeFill="accent1" w:themeFillTint="33"/>
            <w:vAlign w:val="center"/>
          </w:tcPr>
          <w:p w14:paraId="6377AFED" w14:textId="77777777" w:rsidR="001F32A0" w:rsidRPr="0052271C" w:rsidRDefault="001F32A0" w:rsidP="001F32A0">
            <w:pPr>
              <w:rPr>
                <w:lang w:val="sr-Cyrl-RS"/>
              </w:rPr>
            </w:pPr>
            <w:r w:rsidRPr="0052271C">
              <w:rPr>
                <w:i/>
                <w:iCs/>
                <w:lang w:val="sr-Cyrl-RS"/>
              </w:rPr>
              <w:t xml:space="preserve">Циљна вредност: да </w:t>
            </w:r>
          </w:p>
        </w:tc>
        <w:tc>
          <w:tcPr>
            <w:tcW w:w="5335" w:type="dxa"/>
            <w:shd w:val="clear" w:color="auto" w:fill="DEEAF6" w:themeFill="accent1" w:themeFillTint="33"/>
            <w:vAlign w:val="center"/>
          </w:tcPr>
          <w:p w14:paraId="01A50BB1" w14:textId="77777777" w:rsidR="001F32A0" w:rsidRPr="0052271C" w:rsidRDefault="001F32A0" w:rsidP="001F32A0">
            <w:pPr>
              <w:rPr>
                <w:lang w:val="sr-Cyrl-RS"/>
              </w:rPr>
            </w:pPr>
            <w:r w:rsidRPr="0052271C">
              <w:rPr>
                <w:i/>
                <w:iCs/>
                <w:lang w:val="sr-Cyrl-RS"/>
              </w:rPr>
              <w:t>2025. године</w:t>
            </w:r>
          </w:p>
        </w:tc>
      </w:tr>
    </w:tbl>
    <w:p w14:paraId="29DD542E" w14:textId="6DA45592" w:rsidR="001F32A0" w:rsidRPr="0052271C" w:rsidRDefault="001F32A0" w:rsidP="001F32A0">
      <w:pPr>
        <w:spacing w:after="160" w:line="259" w:lineRule="auto"/>
        <w:jc w:val="both"/>
        <w:rPr>
          <w:rFonts w:eastAsiaTheme="minorHAnsi"/>
          <w:lang w:val="sr-Cyrl-RS" w:eastAsia="en-US"/>
        </w:rPr>
      </w:pPr>
    </w:p>
    <w:p w14:paraId="2AF32584" w14:textId="7F0E5DDD" w:rsidR="001F32A0" w:rsidRPr="0052271C" w:rsidRDefault="00161999" w:rsidP="00657C6E">
      <w:pPr>
        <w:spacing w:after="160" w:line="276" w:lineRule="auto"/>
        <w:ind w:firstLine="567"/>
        <w:jc w:val="both"/>
        <w:rPr>
          <w:rFonts w:eastAsiaTheme="minorHAnsi"/>
          <w:lang w:val="sr-Cyrl-RS" w:eastAsia="en-US"/>
        </w:rPr>
      </w:pPr>
      <w:r w:rsidRPr="0052271C">
        <w:rPr>
          <w:rFonts w:eastAsiaTheme="minorHAnsi"/>
          <w:lang w:val="sr-Cyrl-RS" w:eastAsia="en-US"/>
        </w:rPr>
        <w:t>Индикатори</w:t>
      </w:r>
      <w:r w:rsidR="001F32A0" w:rsidRPr="0052271C">
        <w:rPr>
          <w:rFonts w:eastAsiaTheme="minorHAnsi"/>
          <w:lang w:val="sr-Cyrl-RS" w:eastAsia="en-US"/>
        </w:rPr>
        <w:t xml:space="preserve"> учинка на нивоу мера</w:t>
      </w:r>
      <w:r w:rsidR="007A6BA5" w:rsidRPr="0052271C">
        <w:rPr>
          <w:rFonts w:eastAsiaTheme="minorHAnsi"/>
          <w:lang w:val="sr-Cyrl-RS" w:eastAsia="en-US"/>
        </w:rPr>
        <w:t>:</w:t>
      </w:r>
      <w:r w:rsidR="001F32A0" w:rsidRPr="0052271C">
        <w:rPr>
          <w:rFonts w:eastAsiaTheme="minorHAnsi"/>
          <w:lang w:val="sr-Cyrl-RS" w:eastAsia="en-US"/>
        </w:rPr>
        <w:t xml:space="preserve"> јачање и усавршавање кад</w:t>
      </w:r>
      <w:r w:rsidR="008571BC" w:rsidRPr="0052271C">
        <w:rPr>
          <w:rFonts w:eastAsiaTheme="minorHAnsi"/>
          <w:lang w:val="sr-Cyrl-RS" w:eastAsia="en-US"/>
        </w:rPr>
        <w:t>ровских капацитета Министарства</w:t>
      </w:r>
      <w:r w:rsidR="007A6BA5" w:rsidRPr="0052271C">
        <w:rPr>
          <w:rFonts w:eastAsiaTheme="minorHAnsi"/>
          <w:lang w:val="sr-Cyrl-RS" w:eastAsia="en-US"/>
        </w:rPr>
        <w:t>,</w:t>
      </w:r>
      <w:r w:rsidR="001F32A0" w:rsidRPr="0052271C">
        <w:rPr>
          <w:rFonts w:eastAsiaTheme="minorHAnsi"/>
          <w:lang w:val="sr-Cyrl-RS" w:eastAsia="en-US"/>
        </w:rPr>
        <w:t xml:space="preserve"> као и </w:t>
      </w:r>
      <w:r w:rsidR="007A6BA5" w:rsidRPr="0052271C">
        <w:rPr>
          <w:rFonts w:eastAsiaTheme="minorHAnsi"/>
          <w:lang w:val="sr-Cyrl-RS" w:eastAsia="en-US"/>
        </w:rPr>
        <w:t>јачање и усавршавање кадровских капацитета</w:t>
      </w:r>
      <w:r w:rsidR="001F32A0" w:rsidRPr="0052271C">
        <w:rPr>
          <w:rFonts w:eastAsiaTheme="minorHAnsi"/>
          <w:lang w:val="sr-Cyrl-RS" w:eastAsia="en-US"/>
        </w:rPr>
        <w:t xml:space="preserve"> Министарства из области корпоративно</w:t>
      </w:r>
      <w:r w:rsidR="00AF3CCF" w:rsidRPr="0052271C">
        <w:rPr>
          <w:rFonts w:eastAsiaTheme="minorHAnsi"/>
          <w:lang w:val="sr-Cyrl-RS" w:eastAsia="en-US"/>
        </w:rPr>
        <w:t>г управљања, биће дефинисани у а</w:t>
      </w:r>
      <w:r w:rsidR="001F32A0" w:rsidRPr="0052271C">
        <w:rPr>
          <w:rFonts w:eastAsiaTheme="minorHAnsi"/>
          <w:lang w:val="sr-Cyrl-RS" w:eastAsia="en-US"/>
        </w:rPr>
        <w:t>кционом плану који ће бити усвојен у року од 90 дана од дана усвајања Стратегије.</w:t>
      </w:r>
    </w:p>
    <w:p w14:paraId="4CF30F02" w14:textId="77777777" w:rsidR="001F32A0" w:rsidRPr="0052271C" w:rsidRDefault="001F32A0" w:rsidP="001F32A0">
      <w:pPr>
        <w:spacing w:after="160" w:line="259" w:lineRule="auto"/>
        <w:ind w:firstLine="567"/>
        <w:jc w:val="both"/>
        <w:rPr>
          <w:rFonts w:eastAsiaTheme="minorHAnsi"/>
          <w:lang w:val="sr-Cyrl-RS" w:eastAsia="en-US"/>
        </w:rPr>
      </w:pPr>
    </w:p>
    <w:p w14:paraId="23939DF3" w14:textId="77777777" w:rsidR="001F32A0" w:rsidRPr="0052271C" w:rsidRDefault="001F32A0" w:rsidP="001F32A0">
      <w:pPr>
        <w:spacing w:after="160" w:line="259" w:lineRule="auto"/>
        <w:ind w:firstLine="567"/>
        <w:jc w:val="both"/>
        <w:rPr>
          <w:rFonts w:eastAsiaTheme="minorHAnsi"/>
          <w:lang w:val="sr-Cyrl-RS" w:eastAsia="en-US"/>
        </w:rPr>
      </w:pPr>
    </w:p>
    <w:p w14:paraId="711F49BE" w14:textId="77777777" w:rsidR="001F32A0" w:rsidRPr="0052271C" w:rsidRDefault="001F32A0" w:rsidP="001F32A0">
      <w:pPr>
        <w:spacing w:after="160" w:line="259" w:lineRule="auto"/>
        <w:ind w:firstLine="567"/>
        <w:jc w:val="both"/>
        <w:rPr>
          <w:rFonts w:eastAsiaTheme="minorHAnsi"/>
          <w:lang w:val="sr-Cyrl-RS" w:eastAsia="en-US"/>
        </w:rPr>
      </w:pPr>
    </w:p>
    <w:p w14:paraId="585CEF64" w14:textId="77777777" w:rsidR="001F32A0" w:rsidRPr="0052271C" w:rsidRDefault="001F32A0" w:rsidP="001F32A0">
      <w:pPr>
        <w:spacing w:after="160" w:line="259" w:lineRule="auto"/>
        <w:ind w:firstLine="567"/>
        <w:jc w:val="both"/>
        <w:rPr>
          <w:rFonts w:eastAsiaTheme="minorHAnsi"/>
          <w:lang w:val="sr-Cyrl-RS" w:eastAsia="en-US"/>
        </w:rPr>
      </w:pPr>
    </w:p>
    <w:p w14:paraId="0058A26E" w14:textId="77777777" w:rsidR="001F32A0" w:rsidRPr="0052271C" w:rsidRDefault="001F32A0" w:rsidP="001F32A0">
      <w:pPr>
        <w:spacing w:after="160" w:line="259" w:lineRule="auto"/>
        <w:ind w:firstLine="567"/>
        <w:jc w:val="both"/>
        <w:rPr>
          <w:rFonts w:eastAsiaTheme="minorHAnsi"/>
          <w:lang w:val="sr-Cyrl-RS" w:eastAsia="en-US"/>
        </w:rPr>
        <w:sectPr w:rsidR="001F32A0" w:rsidRPr="0052271C" w:rsidSect="00211B44">
          <w:headerReference w:type="even" r:id="rId12"/>
          <w:headerReference w:type="default" r:id="rId13"/>
          <w:footerReference w:type="even" r:id="rId14"/>
          <w:footerReference w:type="default" r:id="rId15"/>
          <w:headerReference w:type="first" r:id="rId16"/>
          <w:footerReference w:type="first" r:id="rId17"/>
          <w:type w:val="continuous"/>
          <w:pgSz w:w="11907" w:h="16839" w:code="9"/>
          <w:pgMar w:top="1440" w:right="1417" w:bottom="1440" w:left="1440" w:header="0" w:footer="113" w:gutter="0"/>
          <w:cols w:space="708"/>
          <w:titlePg/>
          <w:docGrid w:linePitch="360"/>
        </w:sectPr>
      </w:pPr>
    </w:p>
    <w:p w14:paraId="635BF3EE" w14:textId="77777777" w:rsidR="001F32A0" w:rsidRPr="0052271C" w:rsidRDefault="001F32A0" w:rsidP="001F32A0">
      <w:pPr>
        <w:spacing w:after="160" w:line="259" w:lineRule="auto"/>
        <w:jc w:val="center"/>
        <w:rPr>
          <w:rFonts w:eastAsiaTheme="minorHAnsi"/>
          <w:b/>
          <w:bCs/>
          <w:sz w:val="22"/>
          <w:szCs w:val="22"/>
          <w:lang w:val="sr-Cyrl-RS" w:eastAsia="en-US"/>
        </w:rPr>
      </w:pPr>
      <w:r w:rsidRPr="0052271C">
        <w:rPr>
          <w:rFonts w:eastAsiaTheme="minorHAnsi"/>
          <w:b/>
          <w:sz w:val="22"/>
          <w:szCs w:val="22"/>
          <w:lang w:val="sr-Cyrl-RS" w:eastAsia="en-US"/>
        </w:rPr>
        <w:lastRenderedPageBreak/>
        <w:t xml:space="preserve">ЦИЉЕВИ, МЕРЕ И ИНДИКАТОРИ СТРАТЕГИЈЕ </w:t>
      </w:r>
      <w:r w:rsidRPr="0052271C">
        <w:rPr>
          <w:rFonts w:eastAsiaTheme="minorHAnsi"/>
          <w:b/>
          <w:bCs/>
          <w:sz w:val="22"/>
          <w:szCs w:val="22"/>
          <w:lang w:val="sr-Cyrl-RS" w:eastAsia="en-US"/>
        </w:rPr>
        <w:t>ДРЖАВНОГ ВЛАСНИШТВА И УПРАВЉАЊА ПРИВРЕДНИМ СУБЈЕКТИМА КОЈИ СУ У ВЛАСНИШТВУ РЕПУБЛИКЕ СРБИЈЕ</w:t>
      </w:r>
    </w:p>
    <w:tbl>
      <w:tblPr>
        <w:tblStyle w:val="TableGrid7"/>
        <w:tblW w:w="14596" w:type="dxa"/>
        <w:tblLook w:val="04A0" w:firstRow="1" w:lastRow="0" w:firstColumn="1" w:lastColumn="0" w:noHBand="0" w:noVBand="1"/>
      </w:tblPr>
      <w:tblGrid>
        <w:gridCol w:w="3405"/>
        <w:gridCol w:w="2401"/>
        <w:gridCol w:w="2553"/>
        <w:gridCol w:w="6237"/>
      </w:tblGrid>
      <w:tr w:rsidR="001F32A0" w:rsidRPr="0052271C" w14:paraId="0542E7C4" w14:textId="77777777" w:rsidTr="00DC35D3">
        <w:trPr>
          <w:trHeight w:val="558"/>
        </w:trPr>
        <w:tc>
          <w:tcPr>
            <w:tcW w:w="5806" w:type="dxa"/>
            <w:gridSpan w:val="2"/>
            <w:shd w:val="clear" w:color="auto" w:fill="E7E6E6" w:themeFill="background2"/>
            <w:vAlign w:val="center"/>
          </w:tcPr>
          <w:p w14:paraId="59A9E47A" w14:textId="77777777" w:rsidR="001F32A0" w:rsidRPr="0052271C" w:rsidRDefault="001F32A0" w:rsidP="001F32A0">
            <w:pPr>
              <w:rPr>
                <w:rFonts w:eastAsiaTheme="minorHAnsi"/>
                <w:sz w:val="22"/>
                <w:szCs w:val="22"/>
                <w:lang w:val="sr-Cyrl-RS" w:eastAsia="en-US"/>
              </w:rPr>
            </w:pPr>
            <w:r w:rsidRPr="0052271C">
              <w:rPr>
                <w:rFonts w:eastAsiaTheme="minorHAnsi"/>
                <w:b/>
                <w:bCs/>
                <w:sz w:val="22"/>
                <w:szCs w:val="22"/>
                <w:lang w:val="sr-Cyrl-RS" w:eastAsia="en-US"/>
              </w:rPr>
              <w:t>Општи циљ:</w:t>
            </w:r>
          </w:p>
        </w:tc>
        <w:tc>
          <w:tcPr>
            <w:tcW w:w="8790" w:type="dxa"/>
            <w:gridSpan w:val="2"/>
            <w:shd w:val="clear" w:color="auto" w:fill="E7E6E6" w:themeFill="background2"/>
            <w:vAlign w:val="center"/>
          </w:tcPr>
          <w:p w14:paraId="65AEFD93" w14:textId="77777777" w:rsidR="001F32A0" w:rsidRPr="0052271C" w:rsidRDefault="001F32A0" w:rsidP="001F32A0">
            <w:pPr>
              <w:rPr>
                <w:rFonts w:eastAsiaTheme="minorHAnsi"/>
                <w:b/>
                <w:sz w:val="22"/>
                <w:szCs w:val="22"/>
                <w:lang w:val="sr-Cyrl-RS" w:eastAsia="en-US"/>
              </w:rPr>
            </w:pPr>
            <w:r w:rsidRPr="0052271C">
              <w:rPr>
                <w:rFonts w:eastAsiaTheme="minorHAnsi"/>
                <w:b/>
                <w:sz w:val="22"/>
                <w:szCs w:val="22"/>
                <w:lang w:val="sr-Cyrl-RS" w:eastAsia="en-US"/>
              </w:rPr>
              <w:t>Индикатор:</w:t>
            </w:r>
          </w:p>
        </w:tc>
      </w:tr>
      <w:tr w:rsidR="001F32A0" w:rsidRPr="0052271C" w14:paraId="58841B6E" w14:textId="77777777" w:rsidTr="00DC35D3">
        <w:trPr>
          <w:trHeight w:val="693"/>
        </w:trPr>
        <w:tc>
          <w:tcPr>
            <w:tcW w:w="5806" w:type="dxa"/>
            <w:gridSpan w:val="2"/>
            <w:vAlign w:val="center"/>
          </w:tcPr>
          <w:p w14:paraId="72C20B3D" w14:textId="77777777" w:rsidR="001F32A0" w:rsidRPr="0052271C" w:rsidRDefault="001F32A0" w:rsidP="001F32A0">
            <w:pPr>
              <w:rPr>
                <w:rFonts w:eastAsiaTheme="minorHAnsi"/>
                <w:sz w:val="22"/>
                <w:szCs w:val="22"/>
                <w:lang w:val="sr-Cyrl-RS" w:eastAsia="en-US"/>
              </w:rPr>
            </w:pPr>
            <w:r w:rsidRPr="0052271C">
              <w:rPr>
                <w:rFonts w:eastAsiaTheme="minorHAnsi"/>
                <w:sz w:val="22"/>
                <w:szCs w:val="22"/>
                <w:lang w:val="sr-Cyrl-RS" w:eastAsia="en-US"/>
              </w:rPr>
              <w:t xml:space="preserve">Одрживо и ефикасно управљање ПСРС </w:t>
            </w:r>
          </w:p>
        </w:tc>
        <w:tc>
          <w:tcPr>
            <w:tcW w:w="8790" w:type="dxa"/>
            <w:gridSpan w:val="2"/>
            <w:vAlign w:val="center"/>
          </w:tcPr>
          <w:p w14:paraId="1936167A" w14:textId="77777777" w:rsidR="001F32A0" w:rsidRPr="0052271C" w:rsidRDefault="001F32A0" w:rsidP="001F32A0">
            <w:pPr>
              <w:rPr>
                <w:rFonts w:eastAsiaTheme="minorHAnsi"/>
                <w:sz w:val="22"/>
                <w:szCs w:val="22"/>
                <w:lang w:val="sr-Cyrl-RS" w:eastAsia="en-US"/>
              </w:rPr>
            </w:pPr>
            <w:r w:rsidRPr="0052271C">
              <w:rPr>
                <w:rFonts w:eastAsiaTheme="minorHAnsi"/>
                <w:sz w:val="22"/>
                <w:szCs w:val="22"/>
                <w:lang w:val="sr-Cyrl-RS" w:eastAsia="en-US"/>
              </w:rPr>
              <w:t>Проценат ПСРС над којима је успостављено ефикасно и одрживо управљање</w:t>
            </w:r>
          </w:p>
          <w:p w14:paraId="4B090EC7" w14:textId="77777777" w:rsidR="001F32A0" w:rsidRPr="0052271C" w:rsidRDefault="001F32A0" w:rsidP="001F32A0">
            <w:pPr>
              <w:rPr>
                <w:rFonts w:eastAsiaTheme="minorHAnsi"/>
                <w:sz w:val="22"/>
                <w:szCs w:val="22"/>
                <w:lang w:val="sr-Cyrl-RS" w:eastAsia="en-US"/>
              </w:rPr>
            </w:pPr>
            <w:r w:rsidRPr="0052271C">
              <w:rPr>
                <w:rFonts w:eastAsiaTheme="minorHAnsi"/>
                <w:sz w:val="22"/>
                <w:szCs w:val="22"/>
                <w:lang w:val="sr-Cyrl-RS" w:eastAsia="en-US"/>
              </w:rPr>
              <w:t>(почетна вредност 2020: 0, циљна вредност 2027: 100%)</w:t>
            </w:r>
          </w:p>
          <w:p w14:paraId="3588B492" w14:textId="09A9521E" w:rsidR="001F32A0" w:rsidRPr="0052271C" w:rsidRDefault="00272E65" w:rsidP="008571BC">
            <w:pPr>
              <w:rPr>
                <w:rFonts w:eastAsiaTheme="minorHAnsi"/>
                <w:sz w:val="22"/>
                <w:szCs w:val="22"/>
                <w:lang w:val="sr-Cyrl-RS" w:eastAsia="en-US"/>
              </w:rPr>
            </w:pPr>
            <w:r w:rsidRPr="0052271C">
              <w:rPr>
                <w:rFonts w:eastAsiaTheme="minorHAnsi"/>
                <w:sz w:val="22"/>
                <w:szCs w:val="22"/>
                <w:lang w:val="sr-Cyrl-RS" w:eastAsia="en-US"/>
              </w:rPr>
              <w:t>Извор</w:t>
            </w:r>
            <w:r w:rsidR="001F32A0" w:rsidRPr="0052271C">
              <w:rPr>
                <w:rFonts w:eastAsiaTheme="minorHAnsi"/>
                <w:sz w:val="22"/>
                <w:szCs w:val="22"/>
                <w:lang w:val="sr-Cyrl-RS" w:eastAsia="en-US"/>
              </w:rPr>
              <w:t xml:space="preserve">: извештаји Министарства </w:t>
            </w:r>
          </w:p>
        </w:tc>
      </w:tr>
      <w:tr w:rsidR="007C393A" w:rsidRPr="0052271C" w14:paraId="40575891" w14:textId="59391BB1" w:rsidTr="00EF1D51">
        <w:trPr>
          <w:trHeight w:val="557"/>
        </w:trPr>
        <w:tc>
          <w:tcPr>
            <w:tcW w:w="5806" w:type="dxa"/>
            <w:gridSpan w:val="2"/>
            <w:shd w:val="clear" w:color="auto" w:fill="E7E6E6" w:themeFill="background2"/>
            <w:vAlign w:val="center"/>
          </w:tcPr>
          <w:p w14:paraId="309E34AB" w14:textId="5B52EBE9" w:rsidR="007C393A" w:rsidRPr="0052271C" w:rsidRDefault="00DC35D3" w:rsidP="00DC35D3">
            <w:pPr>
              <w:rPr>
                <w:rFonts w:eastAsiaTheme="minorHAnsi"/>
                <w:b/>
                <w:sz w:val="22"/>
                <w:szCs w:val="22"/>
                <w:lang w:val="sr-Cyrl-RS" w:eastAsia="en-US"/>
              </w:rPr>
            </w:pPr>
            <w:r w:rsidRPr="0052271C">
              <w:rPr>
                <w:rFonts w:eastAsiaTheme="minorHAnsi"/>
                <w:b/>
                <w:sz w:val="22"/>
                <w:szCs w:val="22"/>
                <w:lang w:val="sr-Cyrl-RS" w:eastAsia="en-US"/>
              </w:rPr>
              <w:t>Први посебан циљ</w:t>
            </w:r>
            <w:r w:rsidR="007C393A" w:rsidRPr="0052271C">
              <w:rPr>
                <w:rFonts w:eastAsiaTheme="minorHAnsi"/>
                <w:b/>
                <w:sz w:val="22"/>
                <w:szCs w:val="22"/>
                <w:lang w:val="sr-Cyrl-RS" w:eastAsia="en-US"/>
              </w:rPr>
              <w:t>:</w:t>
            </w:r>
          </w:p>
        </w:tc>
        <w:tc>
          <w:tcPr>
            <w:tcW w:w="8790" w:type="dxa"/>
            <w:gridSpan w:val="2"/>
            <w:shd w:val="clear" w:color="auto" w:fill="E7E6E6" w:themeFill="background2"/>
            <w:vAlign w:val="center"/>
          </w:tcPr>
          <w:p w14:paraId="7EE82878" w14:textId="0E0A6C7B" w:rsidR="007C393A" w:rsidRPr="0052271C" w:rsidRDefault="00DC35D3" w:rsidP="00DC35D3">
            <w:pPr>
              <w:spacing w:before="240" w:after="160" w:line="259" w:lineRule="auto"/>
              <w:rPr>
                <w:rFonts w:eastAsiaTheme="minorHAnsi"/>
                <w:b/>
                <w:sz w:val="22"/>
                <w:szCs w:val="22"/>
                <w:lang w:val="sr-Cyrl-RS" w:eastAsia="en-US"/>
              </w:rPr>
            </w:pPr>
            <w:r w:rsidRPr="0052271C">
              <w:rPr>
                <w:rFonts w:eastAsiaTheme="minorHAnsi"/>
                <w:b/>
                <w:sz w:val="22"/>
                <w:szCs w:val="22"/>
                <w:lang w:val="sr-Cyrl-RS" w:eastAsia="en-US"/>
              </w:rPr>
              <w:t>Индикатор:</w:t>
            </w:r>
          </w:p>
        </w:tc>
      </w:tr>
      <w:tr w:rsidR="001F6A59" w:rsidRPr="0052271C" w14:paraId="2349441C" w14:textId="77777777" w:rsidTr="00E1385E">
        <w:trPr>
          <w:trHeight w:val="950"/>
        </w:trPr>
        <w:tc>
          <w:tcPr>
            <w:tcW w:w="5806" w:type="dxa"/>
            <w:gridSpan w:val="2"/>
            <w:vAlign w:val="center"/>
          </w:tcPr>
          <w:p w14:paraId="66129164" w14:textId="22B3B8B9" w:rsidR="001F6A59" w:rsidRPr="0052271C" w:rsidRDefault="001F6A59" w:rsidP="00E1385E">
            <w:pPr>
              <w:pStyle w:val="ListParagraph"/>
              <w:numPr>
                <w:ilvl w:val="0"/>
                <w:numId w:val="24"/>
              </w:numPr>
              <w:ind w:left="313" w:hanging="284"/>
              <w:rPr>
                <w:rFonts w:ascii="Times New Roman" w:eastAsiaTheme="minorHAnsi" w:hAnsi="Times New Roman"/>
                <w:szCs w:val="22"/>
                <w:lang w:val="sr-Cyrl-RS"/>
              </w:rPr>
            </w:pPr>
            <w:r w:rsidRPr="0052271C">
              <w:rPr>
                <w:rFonts w:ascii="Times New Roman" w:eastAsiaTheme="minorHAnsi" w:hAnsi="Times New Roman"/>
                <w:szCs w:val="22"/>
                <w:lang w:val="sr-Cyrl-RS"/>
              </w:rPr>
              <w:t>Развој јединственог оквира власништва и управљања за св</w:t>
            </w:r>
            <w:r w:rsidR="00143B28" w:rsidRPr="0052271C">
              <w:rPr>
                <w:rFonts w:ascii="Times New Roman" w:eastAsiaTheme="minorHAnsi" w:hAnsi="Times New Roman"/>
                <w:szCs w:val="22"/>
                <w:lang w:val="sr-Cyrl-RS"/>
              </w:rPr>
              <w:t>е</w:t>
            </w:r>
            <w:r w:rsidRPr="0052271C">
              <w:rPr>
                <w:rFonts w:ascii="Times New Roman" w:eastAsiaTheme="minorHAnsi" w:hAnsi="Times New Roman"/>
                <w:szCs w:val="22"/>
                <w:lang w:val="sr-Cyrl-RS"/>
              </w:rPr>
              <w:t xml:space="preserve"> ПСРС</w:t>
            </w:r>
          </w:p>
        </w:tc>
        <w:tc>
          <w:tcPr>
            <w:tcW w:w="8790" w:type="dxa"/>
            <w:gridSpan w:val="2"/>
            <w:vAlign w:val="center"/>
          </w:tcPr>
          <w:p w14:paraId="3DBEDD75" w14:textId="63C251F2" w:rsidR="001F6A59" w:rsidRPr="0052271C" w:rsidRDefault="001F6A59" w:rsidP="00E1385E">
            <w:pPr>
              <w:tabs>
                <w:tab w:val="left" w:pos="459"/>
              </w:tabs>
              <w:ind w:right="-108"/>
              <w:rPr>
                <w:rFonts w:eastAsiaTheme="minorHAnsi"/>
                <w:sz w:val="22"/>
                <w:szCs w:val="22"/>
                <w:lang w:val="sr-Cyrl-RS" w:eastAsia="en-US"/>
              </w:rPr>
            </w:pPr>
            <w:r w:rsidRPr="0052271C">
              <w:rPr>
                <w:rFonts w:eastAsiaTheme="minorHAnsi"/>
                <w:sz w:val="22"/>
                <w:szCs w:val="22"/>
                <w:lang w:val="sr-Cyrl-RS" w:eastAsia="en-US"/>
              </w:rPr>
              <w:t>Успостављен јединствен оквир власништва за св</w:t>
            </w:r>
            <w:r w:rsidR="00143B28" w:rsidRPr="0052271C">
              <w:rPr>
                <w:rFonts w:eastAsiaTheme="minorHAnsi"/>
                <w:sz w:val="22"/>
                <w:szCs w:val="22"/>
                <w:lang w:val="sr-Cyrl-RS" w:eastAsia="en-US"/>
              </w:rPr>
              <w:t>е</w:t>
            </w:r>
            <w:r w:rsidRPr="0052271C">
              <w:rPr>
                <w:rFonts w:eastAsiaTheme="minorHAnsi"/>
                <w:sz w:val="22"/>
                <w:szCs w:val="22"/>
                <w:lang w:val="sr-Cyrl-RS" w:eastAsia="en-US"/>
              </w:rPr>
              <w:t xml:space="preserve"> ПСРС    </w:t>
            </w:r>
          </w:p>
          <w:p w14:paraId="30CFE80B" w14:textId="3F57C861" w:rsidR="001F6A59" w:rsidRPr="0052271C" w:rsidRDefault="001F6A59" w:rsidP="00E1385E">
            <w:pPr>
              <w:tabs>
                <w:tab w:val="left" w:pos="459"/>
              </w:tabs>
              <w:ind w:right="-108"/>
              <w:rPr>
                <w:rFonts w:eastAsiaTheme="minorHAnsi"/>
                <w:sz w:val="22"/>
                <w:szCs w:val="22"/>
                <w:lang w:val="sr-Cyrl-RS" w:eastAsia="en-US"/>
              </w:rPr>
            </w:pPr>
            <w:r w:rsidRPr="0052271C">
              <w:rPr>
                <w:rFonts w:eastAsiaTheme="minorHAnsi"/>
                <w:sz w:val="22"/>
                <w:szCs w:val="22"/>
                <w:lang w:val="sr-Cyrl-RS" w:eastAsia="en-US"/>
              </w:rPr>
              <w:t xml:space="preserve">(почетна вредност 2020: не, циљна вредност 2027: да) </w:t>
            </w:r>
          </w:p>
          <w:p w14:paraId="7160A28F" w14:textId="3344FF6F" w:rsidR="001F6A59" w:rsidRPr="0052271C" w:rsidRDefault="00272E65" w:rsidP="008571BC">
            <w:pPr>
              <w:tabs>
                <w:tab w:val="left" w:pos="459"/>
              </w:tabs>
              <w:ind w:right="-108"/>
              <w:rPr>
                <w:rFonts w:eastAsiaTheme="minorHAnsi"/>
                <w:sz w:val="22"/>
                <w:szCs w:val="22"/>
                <w:lang w:val="sr-Cyrl-RS" w:eastAsia="en-US"/>
              </w:rPr>
            </w:pPr>
            <w:r w:rsidRPr="0052271C">
              <w:rPr>
                <w:rFonts w:eastAsiaTheme="minorHAnsi"/>
                <w:sz w:val="22"/>
                <w:szCs w:val="22"/>
                <w:lang w:val="sr-Cyrl-RS" w:eastAsia="en-US"/>
              </w:rPr>
              <w:t>Извор</w:t>
            </w:r>
            <w:r w:rsidR="001F6A59" w:rsidRPr="0052271C">
              <w:rPr>
                <w:rFonts w:eastAsiaTheme="minorHAnsi"/>
                <w:sz w:val="22"/>
                <w:szCs w:val="22"/>
                <w:lang w:val="sr-Cyrl-RS" w:eastAsia="en-US"/>
              </w:rPr>
              <w:t>: извештаји Мин</w:t>
            </w:r>
            <w:r w:rsidR="00EF1D51" w:rsidRPr="0052271C">
              <w:rPr>
                <w:rFonts w:eastAsiaTheme="minorHAnsi"/>
                <w:sz w:val="22"/>
                <w:szCs w:val="22"/>
                <w:lang w:val="sr-Cyrl-RS" w:eastAsia="en-US"/>
              </w:rPr>
              <w:t xml:space="preserve">истарства </w:t>
            </w:r>
          </w:p>
        </w:tc>
      </w:tr>
      <w:tr w:rsidR="00257C22" w:rsidRPr="0052271C" w14:paraId="00B14FC7" w14:textId="77777777" w:rsidTr="00D35327">
        <w:trPr>
          <w:trHeight w:val="552"/>
        </w:trPr>
        <w:tc>
          <w:tcPr>
            <w:tcW w:w="3405" w:type="dxa"/>
            <w:vMerge w:val="restart"/>
          </w:tcPr>
          <w:p w14:paraId="5CF1C41A" w14:textId="77777777" w:rsidR="00257C22" w:rsidRPr="0052271C" w:rsidRDefault="00257C22" w:rsidP="00257C22">
            <w:pPr>
              <w:ind w:left="313"/>
              <w:contextualSpacing/>
              <w:rPr>
                <w:rFonts w:eastAsiaTheme="minorHAnsi"/>
                <w:sz w:val="22"/>
                <w:szCs w:val="22"/>
                <w:lang w:val="sr-Cyrl-RS" w:eastAsia="en-US"/>
              </w:rPr>
            </w:pPr>
          </w:p>
        </w:tc>
        <w:tc>
          <w:tcPr>
            <w:tcW w:w="4954" w:type="dxa"/>
            <w:gridSpan w:val="2"/>
            <w:shd w:val="clear" w:color="auto" w:fill="E7E6E6" w:themeFill="background2"/>
            <w:vAlign w:val="center"/>
          </w:tcPr>
          <w:p w14:paraId="41FCF90E" w14:textId="44339D2B" w:rsidR="00257C22" w:rsidRPr="0052271C" w:rsidRDefault="00257C22" w:rsidP="00257C22">
            <w:pPr>
              <w:tabs>
                <w:tab w:val="left" w:pos="459"/>
              </w:tabs>
              <w:contextualSpacing/>
              <w:rPr>
                <w:rFonts w:eastAsiaTheme="minorHAnsi"/>
                <w:sz w:val="22"/>
                <w:szCs w:val="22"/>
                <w:lang w:val="sr-Cyrl-RS" w:eastAsia="en-US"/>
              </w:rPr>
            </w:pPr>
            <w:r w:rsidRPr="0052271C">
              <w:rPr>
                <w:rFonts w:eastAsiaTheme="minorHAnsi"/>
                <w:b/>
                <w:sz w:val="22"/>
                <w:szCs w:val="22"/>
                <w:lang w:val="sr-Cyrl-RS" w:eastAsia="en-US"/>
              </w:rPr>
              <w:t>Мере:</w:t>
            </w:r>
          </w:p>
        </w:tc>
        <w:tc>
          <w:tcPr>
            <w:tcW w:w="6237" w:type="dxa"/>
            <w:shd w:val="clear" w:color="auto" w:fill="E7E6E6" w:themeFill="background2"/>
            <w:vAlign w:val="center"/>
          </w:tcPr>
          <w:p w14:paraId="20EB5F3C" w14:textId="0B2162B3" w:rsidR="00257C22" w:rsidRPr="0052271C" w:rsidRDefault="00257C22" w:rsidP="00257C22">
            <w:pPr>
              <w:rPr>
                <w:rFonts w:eastAsiaTheme="minorHAnsi"/>
                <w:sz w:val="22"/>
                <w:szCs w:val="22"/>
                <w:lang w:val="sr-Cyrl-RS" w:eastAsia="en-US"/>
              </w:rPr>
            </w:pPr>
            <w:r w:rsidRPr="0052271C">
              <w:rPr>
                <w:rFonts w:eastAsiaTheme="minorHAnsi"/>
                <w:b/>
                <w:sz w:val="22"/>
                <w:szCs w:val="22"/>
                <w:lang w:val="sr-Cyrl-RS" w:eastAsia="en-US"/>
              </w:rPr>
              <w:t>Индикатор:</w:t>
            </w:r>
          </w:p>
        </w:tc>
      </w:tr>
      <w:tr w:rsidR="00257C22" w:rsidRPr="0052271C" w14:paraId="4C61EDA3" w14:textId="77777777" w:rsidTr="00D35327">
        <w:trPr>
          <w:trHeight w:val="1119"/>
        </w:trPr>
        <w:tc>
          <w:tcPr>
            <w:tcW w:w="3405" w:type="dxa"/>
            <w:vMerge/>
          </w:tcPr>
          <w:p w14:paraId="5395E086" w14:textId="77777777" w:rsidR="00257C22" w:rsidRPr="0052271C" w:rsidRDefault="00257C22" w:rsidP="00257C22">
            <w:pPr>
              <w:ind w:left="313"/>
              <w:contextualSpacing/>
              <w:rPr>
                <w:rFonts w:eastAsiaTheme="minorHAnsi"/>
                <w:sz w:val="22"/>
                <w:szCs w:val="22"/>
                <w:lang w:val="sr-Cyrl-RS" w:eastAsia="en-US"/>
              </w:rPr>
            </w:pPr>
          </w:p>
        </w:tc>
        <w:tc>
          <w:tcPr>
            <w:tcW w:w="4954" w:type="dxa"/>
            <w:gridSpan w:val="2"/>
            <w:vAlign w:val="center"/>
          </w:tcPr>
          <w:p w14:paraId="37D34561" w14:textId="30CE93DC" w:rsidR="00257C22" w:rsidRPr="0052271C" w:rsidRDefault="00257C22" w:rsidP="00257C22">
            <w:pPr>
              <w:numPr>
                <w:ilvl w:val="1"/>
                <w:numId w:val="19"/>
              </w:numPr>
              <w:tabs>
                <w:tab w:val="left" w:pos="459"/>
              </w:tabs>
              <w:ind w:left="459" w:hanging="459"/>
              <w:contextualSpacing/>
              <w:rPr>
                <w:rFonts w:eastAsiaTheme="minorHAnsi"/>
                <w:sz w:val="22"/>
                <w:szCs w:val="22"/>
                <w:lang w:val="sr-Cyrl-RS" w:eastAsia="en-US"/>
              </w:rPr>
            </w:pPr>
            <w:r w:rsidRPr="0052271C">
              <w:rPr>
                <w:rFonts w:eastAsiaTheme="minorHAnsi"/>
                <w:sz w:val="22"/>
                <w:szCs w:val="22"/>
                <w:lang w:val="sr-Cyrl-RS" w:eastAsia="en-US"/>
              </w:rPr>
              <w:t>Уједначавање правног оквира за успостављање општих правила власништва и управљања за св</w:t>
            </w:r>
            <w:r w:rsidR="00143B28" w:rsidRPr="0052271C">
              <w:rPr>
                <w:rFonts w:eastAsiaTheme="minorHAnsi"/>
                <w:sz w:val="22"/>
                <w:szCs w:val="22"/>
                <w:lang w:val="sr-Cyrl-RS" w:eastAsia="en-US"/>
              </w:rPr>
              <w:t>е</w:t>
            </w:r>
            <w:r w:rsidRPr="0052271C">
              <w:rPr>
                <w:rFonts w:eastAsiaTheme="minorHAnsi"/>
                <w:sz w:val="22"/>
                <w:szCs w:val="22"/>
                <w:lang w:val="sr-Cyrl-RS" w:eastAsia="en-US"/>
              </w:rPr>
              <w:t xml:space="preserve"> ПСРС</w:t>
            </w:r>
          </w:p>
        </w:tc>
        <w:tc>
          <w:tcPr>
            <w:tcW w:w="6237" w:type="dxa"/>
            <w:vAlign w:val="center"/>
          </w:tcPr>
          <w:p w14:paraId="4FF986E4" w14:textId="77777777" w:rsidR="00257C22" w:rsidRPr="0052271C" w:rsidRDefault="00257C22" w:rsidP="00257C22">
            <w:pPr>
              <w:rPr>
                <w:rFonts w:eastAsiaTheme="minorHAnsi"/>
                <w:sz w:val="22"/>
                <w:szCs w:val="22"/>
                <w:lang w:val="sr-Cyrl-RS" w:eastAsia="en-US"/>
              </w:rPr>
            </w:pPr>
            <w:r w:rsidRPr="0052271C">
              <w:rPr>
                <w:rFonts w:eastAsiaTheme="minorHAnsi"/>
                <w:sz w:val="22"/>
                <w:szCs w:val="22"/>
                <w:lang w:val="sr-Cyrl-RS" w:eastAsia="en-US"/>
              </w:rPr>
              <w:t xml:space="preserve">Израђен нов правни оквир (закони и подзаконски акти) који се примењује на ПСРС </w:t>
            </w:r>
          </w:p>
          <w:p w14:paraId="32B8C64D" w14:textId="77777777" w:rsidR="00257C22" w:rsidRPr="0052271C" w:rsidRDefault="00257C22" w:rsidP="00257C22">
            <w:pPr>
              <w:ind w:right="-189"/>
              <w:rPr>
                <w:rFonts w:eastAsiaTheme="minorHAnsi"/>
                <w:sz w:val="22"/>
                <w:szCs w:val="22"/>
                <w:lang w:val="sr-Cyrl-RS" w:eastAsia="en-US"/>
              </w:rPr>
            </w:pPr>
            <w:r w:rsidRPr="0052271C">
              <w:rPr>
                <w:rFonts w:eastAsiaTheme="minorHAnsi"/>
                <w:sz w:val="22"/>
                <w:szCs w:val="22"/>
                <w:lang w:val="sr-Cyrl-RS" w:eastAsia="en-US"/>
              </w:rPr>
              <w:t xml:space="preserve">(почетна вредност 2020: не, циљна вредност 2022: да) </w:t>
            </w:r>
          </w:p>
          <w:p w14:paraId="3F1965C4" w14:textId="055662B0" w:rsidR="00257C22" w:rsidRPr="0052271C" w:rsidRDefault="00272E65" w:rsidP="00257C22">
            <w:pPr>
              <w:rPr>
                <w:rFonts w:eastAsiaTheme="minorHAnsi"/>
                <w:sz w:val="22"/>
                <w:szCs w:val="22"/>
                <w:lang w:val="sr-Cyrl-RS" w:eastAsia="en-US"/>
              </w:rPr>
            </w:pPr>
            <w:r w:rsidRPr="0052271C">
              <w:rPr>
                <w:rFonts w:eastAsiaTheme="minorHAnsi"/>
                <w:sz w:val="22"/>
                <w:szCs w:val="22"/>
                <w:lang w:val="sr-Cyrl-RS" w:eastAsia="en-US"/>
              </w:rPr>
              <w:t>Извор</w:t>
            </w:r>
            <w:r w:rsidR="00257C22" w:rsidRPr="0052271C">
              <w:rPr>
                <w:rFonts w:eastAsiaTheme="minorHAnsi"/>
                <w:sz w:val="22"/>
                <w:szCs w:val="22"/>
                <w:lang w:val="sr-Cyrl-RS" w:eastAsia="en-US"/>
              </w:rPr>
              <w:t xml:space="preserve">: </w:t>
            </w:r>
            <w:r w:rsidR="00351F44" w:rsidRPr="0052271C">
              <w:rPr>
                <w:rFonts w:eastAsiaTheme="minorHAnsi"/>
                <w:sz w:val="22"/>
                <w:szCs w:val="22"/>
                <w:lang w:val="sr-Cyrl-RS" w:eastAsia="en-US"/>
              </w:rPr>
              <w:t>„Службени гласник Републике Србијеˮ</w:t>
            </w:r>
          </w:p>
        </w:tc>
      </w:tr>
      <w:tr w:rsidR="00257C22" w:rsidRPr="0052271C" w14:paraId="3291DF79" w14:textId="77777777" w:rsidTr="00D35327">
        <w:tc>
          <w:tcPr>
            <w:tcW w:w="3405" w:type="dxa"/>
            <w:vMerge/>
            <w:vAlign w:val="center"/>
          </w:tcPr>
          <w:p w14:paraId="625201A4" w14:textId="77777777" w:rsidR="00257C22" w:rsidRPr="0052271C" w:rsidRDefault="00257C22" w:rsidP="00257C22">
            <w:pPr>
              <w:rPr>
                <w:rFonts w:eastAsiaTheme="minorHAnsi"/>
                <w:sz w:val="22"/>
                <w:szCs w:val="22"/>
                <w:lang w:val="sr-Cyrl-RS" w:eastAsia="en-US"/>
              </w:rPr>
            </w:pPr>
          </w:p>
        </w:tc>
        <w:tc>
          <w:tcPr>
            <w:tcW w:w="4954" w:type="dxa"/>
            <w:gridSpan w:val="2"/>
            <w:vAlign w:val="center"/>
          </w:tcPr>
          <w:p w14:paraId="7F15CD56" w14:textId="77777777" w:rsidR="00257C22" w:rsidRPr="0052271C" w:rsidRDefault="00257C22" w:rsidP="00257C22">
            <w:pPr>
              <w:numPr>
                <w:ilvl w:val="1"/>
                <w:numId w:val="19"/>
              </w:numPr>
              <w:ind w:left="459" w:hanging="459"/>
              <w:contextualSpacing/>
              <w:rPr>
                <w:rFonts w:eastAsiaTheme="minorHAnsi"/>
                <w:sz w:val="22"/>
                <w:szCs w:val="22"/>
                <w:lang w:val="sr-Cyrl-RS" w:eastAsia="en-US"/>
              </w:rPr>
            </w:pPr>
            <w:r w:rsidRPr="0052271C">
              <w:rPr>
                <w:rFonts w:eastAsiaTheme="minorHAnsi"/>
                <w:sz w:val="22"/>
                <w:szCs w:val="22"/>
                <w:lang w:val="sr-Cyrl-RS" w:eastAsia="en-US"/>
              </w:rPr>
              <w:t>Корпоративизација јавних предузећа – промена правне форме јавних предузећа у АД или ДОО</w:t>
            </w:r>
          </w:p>
        </w:tc>
        <w:tc>
          <w:tcPr>
            <w:tcW w:w="6237" w:type="dxa"/>
            <w:vAlign w:val="center"/>
          </w:tcPr>
          <w:p w14:paraId="2CE9B944" w14:textId="77777777" w:rsidR="00EF1D51" w:rsidRPr="0052271C" w:rsidRDefault="00257C22" w:rsidP="00257C22">
            <w:pPr>
              <w:rPr>
                <w:rFonts w:eastAsiaTheme="minorHAnsi"/>
                <w:sz w:val="22"/>
                <w:szCs w:val="22"/>
                <w:lang w:val="sr-Cyrl-RS" w:eastAsia="en-US"/>
              </w:rPr>
            </w:pPr>
            <w:r w:rsidRPr="0052271C">
              <w:rPr>
                <w:rFonts w:eastAsiaTheme="minorHAnsi"/>
                <w:sz w:val="22"/>
                <w:szCs w:val="22"/>
                <w:lang w:val="sr-Cyrl-RS" w:eastAsia="en-US"/>
              </w:rPr>
              <w:t xml:space="preserve">Број јавних предузећа која нису корпоративизована  </w:t>
            </w:r>
          </w:p>
          <w:p w14:paraId="02735781" w14:textId="1D7521B9" w:rsidR="00257C22" w:rsidRPr="0052271C" w:rsidRDefault="00257C22" w:rsidP="00257C22">
            <w:pPr>
              <w:rPr>
                <w:rFonts w:eastAsiaTheme="minorHAnsi"/>
                <w:sz w:val="22"/>
                <w:szCs w:val="22"/>
                <w:lang w:val="sr-Cyrl-RS" w:eastAsia="en-US"/>
              </w:rPr>
            </w:pPr>
            <w:r w:rsidRPr="0052271C">
              <w:rPr>
                <w:rFonts w:eastAsiaTheme="minorHAnsi"/>
                <w:sz w:val="22"/>
                <w:szCs w:val="22"/>
                <w:lang w:val="sr-Cyrl-RS" w:eastAsia="en-US"/>
              </w:rPr>
              <w:t>(почетна вредност 2020: 26, циљна вредност 2027: 0)</w:t>
            </w:r>
          </w:p>
          <w:p w14:paraId="1DF09BB3" w14:textId="59A7DE30" w:rsidR="00257C22" w:rsidRPr="0052271C" w:rsidRDefault="00272E65" w:rsidP="008571BC">
            <w:pPr>
              <w:rPr>
                <w:rFonts w:eastAsiaTheme="minorHAnsi"/>
                <w:sz w:val="22"/>
                <w:szCs w:val="22"/>
                <w:lang w:val="sr-Cyrl-RS" w:eastAsia="en-US"/>
              </w:rPr>
            </w:pPr>
            <w:r w:rsidRPr="0052271C">
              <w:rPr>
                <w:rFonts w:eastAsiaTheme="minorHAnsi"/>
                <w:sz w:val="22"/>
                <w:szCs w:val="22"/>
                <w:lang w:val="sr-Cyrl-RS" w:eastAsia="en-US"/>
              </w:rPr>
              <w:t>Извор</w:t>
            </w:r>
            <w:r w:rsidR="00257C22" w:rsidRPr="0052271C">
              <w:rPr>
                <w:rFonts w:eastAsiaTheme="minorHAnsi"/>
                <w:sz w:val="22"/>
                <w:szCs w:val="22"/>
                <w:lang w:val="sr-Cyrl-RS" w:eastAsia="en-US"/>
              </w:rPr>
              <w:t xml:space="preserve">: извештаји Министарства </w:t>
            </w:r>
          </w:p>
        </w:tc>
      </w:tr>
      <w:tr w:rsidR="00257C22" w:rsidRPr="0052271C" w14:paraId="15F8C2AB" w14:textId="77777777" w:rsidTr="00D35327">
        <w:tc>
          <w:tcPr>
            <w:tcW w:w="3405" w:type="dxa"/>
            <w:vMerge/>
            <w:vAlign w:val="center"/>
          </w:tcPr>
          <w:p w14:paraId="2136ED57" w14:textId="77777777" w:rsidR="00257C22" w:rsidRPr="0052271C" w:rsidRDefault="00257C22" w:rsidP="00257C22">
            <w:pPr>
              <w:rPr>
                <w:rFonts w:eastAsiaTheme="minorHAnsi"/>
                <w:sz w:val="22"/>
                <w:szCs w:val="22"/>
                <w:lang w:val="sr-Cyrl-RS" w:eastAsia="en-US"/>
              </w:rPr>
            </w:pPr>
          </w:p>
        </w:tc>
        <w:tc>
          <w:tcPr>
            <w:tcW w:w="4954" w:type="dxa"/>
            <w:gridSpan w:val="2"/>
            <w:vAlign w:val="center"/>
          </w:tcPr>
          <w:p w14:paraId="533BE7EA" w14:textId="77777777" w:rsidR="00257C22" w:rsidRPr="0052271C" w:rsidRDefault="00257C22" w:rsidP="00257C22">
            <w:pPr>
              <w:numPr>
                <w:ilvl w:val="1"/>
                <w:numId w:val="19"/>
              </w:numPr>
              <w:ind w:left="459" w:hanging="425"/>
              <w:contextualSpacing/>
              <w:rPr>
                <w:rFonts w:eastAsiaTheme="minorHAnsi"/>
                <w:sz w:val="22"/>
                <w:szCs w:val="22"/>
                <w:lang w:val="sr-Cyrl-RS" w:eastAsia="en-US"/>
              </w:rPr>
            </w:pPr>
            <w:r w:rsidRPr="0052271C">
              <w:rPr>
                <w:rFonts w:eastAsiaTheme="minorHAnsi"/>
                <w:sz w:val="22"/>
                <w:szCs w:val="22"/>
                <w:lang w:val="sr-Cyrl-RS" w:eastAsia="en-US"/>
              </w:rPr>
              <w:t>Успостављање централизоване одговорности и институционалне надлежности</w:t>
            </w:r>
          </w:p>
        </w:tc>
        <w:tc>
          <w:tcPr>
            <w:tcW w:w="6237" w:type="dxa"/>
            <w:vAlign w:val="center"/>
          </w:tcPr>
          <w:p w14:paraId="3C3CD686" w14:textId="000B201D" w:rsidR="00257C22" w:rsidRPr="0052271C" w:rsidRDefault="00257C22" w:rsidP="00257C22">
            <w:pPr>
              <w:rPr>
                <w:rFonts w:eastAsiaTheme="minorHAnsi"/>
                <w:sz w:val="22"/>
                <w:szCs w:val="22"/>
                <w:lang w:val="sr-Cyrl-RS" w:eastAsia="en-US"/>
              </w:rPr>
            </w:pPr>
            <w:r w:rsidRPr="0052271C">
              <w:rPr>
                <w:rFonts w:eastAsiaTheme="minorHAnsi"/>
                <w:sz w:val="22"/>
                <w:szCs w:val="22"/>
                <w:lang w:val="sr-Cyrl-RS" w:eastAsia="en-US"/>
              </w:rPr>
              <w:t>Проценат ПСРС обухваћених централизованом власничком функцијом у оквиру Министарства.</w:t>
            </w:r>
          </w:p>
          <w:p w14:paraId="04FE9658" w14:textId="77777777" w:rsidR="00257C22" w:rsidRPr="0052271C" w:rsidRDefault="00257C22" w:rsidP="00257C22">
            <w:pPr>
              <w:rPr>
                <w:rFonts w:eastAsiaTheme="minorHAnsi"/>
                <w:sz w:val="22"/>
                <w:szCs w:val="22"/>
                <w:lang w:val="sr-Cyrl-RS" w:eastAsia="en-US"/>
              </w:rPr>
            </w:pPr>
            <w:r w:rsidRPr="0052271C">
              <w:rPr>
                <w:rFonts w:eastAsiaTheme="minorHAnsi"/>
                <w:sz w:val="22"/>
                <w:szCs w:val="22"/>
                <w:lang w:val="sr-Cyrl-RS" w:eastAsia="en-US"/>
              </w:rPr>
              <w:t>(почетна вредност 2020: 32%, циљна вредност 2027: 100%)</w:t>
            </w:r>
          </w:p>
          <w:p w14:paraId="35DA6245" w14:textId="50EB38D8" w:rsidR="00257C22" w:rsidRPr="0052271C" w:rsidRDefault="00272E65" w:rsidP="008571BC">
            <w:pPr>
              <w:rPr>
                <w:rFonts w:eastAsiaTheme="minorHAnsi"/>
                <w:sz w:val="22"/>
                <w:szCs w:val="22"/>
                <w:lang w:val="sr-Cyrl-RS" w:eastAsia="en-US"/>
              </w:rPr>
            </w:pPr>
            <w:r w:rsidRPr="0052271C">
              <w:rPr>
                <w:rFonts w:eastAsiaTheme="minorHAnsi"/>
                <w:sz w:val="22"/>
                <w:szCs w:val="22"/>
                <w:lang w:val="sr-Cyrl-RS" w:eastAsia="en-US"/>
              </w:rPr>
              <w:t>Извор</w:t>
            </w:r>
            <w:r w:rsidR="00257C22" w:rsidRPr="0052271C">
              <w:rPr>
                <w:rFonts w:eastAsiaTheme="minorHAnsi"/>
                <w:sz w:val="22"/>
                <w:szCs w:val="22"/>
                <w:lang w:val="sr-Cyrl-RS" w:eastAsia="en-US"/>
              </w:rPr>
              <w:t xml:space="preserve">: извештаји Министарства </w:t>
            </w:r>
          </w:p>
        </w:tc>
      </w:tr>
      <w:tr w:rsidR="00257C22" w:rsidRPr="0052271C" w14:paraId="1C09C459" w14:textId="77777777" w:rsidTr="00D35327">
        <w:tc>
          <w:tcPr>
            <w:tcW w:w="3405" w:type="dxa"/>
            <w:vMerge/>
            <w:vAlign w:val="center"/>
          </w:tcPr>
          <w:p w14:paraId="0350C62F" w14:textId="77777777" w:rsidR="00257C22" w:rsidRPr="0052271C" w:rsidRDefault="00257C22" w:rsidP="00257C22">
            <w:pPr>
              <w:rPr>
                <w:rFonts w:eastAsiaTheme="minorHAnsi"/>
                <w:sz w:val="22"/>
                <w:szCs w:val="22"/>
                <w:lang w:val="sr-Cyrl-RS" w:eastAsia="en-US"/>
              </w:rPr>
            </w:pPr>
          </w:p>
        </w:tc>
        <w:tc>
          <w:tcPr>
            <w:tcW w:w="4954" w:type="dxa"/>
            <w:gridSpan w:val="2"/>
            <w:vAlign w:val="center"/>
          </w:tcPr>
          <w:p w14:paraId="4CCFA50F" w14:textId="4D46E213" w:rsidR="00257C22" w:rsidRPr="0052271C" w:rsidRDefault="00257C22" w:rsidP="00257C22">
            <w:pPr>
              <w:numPr>
                <w:ilvl w:val="1"/>
                <w:numId w:val="19"/>
              </w:numPr>
              <w:ind w:left="459" w:hanging="425"/>
              <w:contextualSpacing/>
              <w:rPr>
                <w:rFonts w:eastAsiaTheme="minorHAnsi"/>
                <w:sz w:val="22"/>
                <w:szCs w:val="22"/>
                <w:lang w:val="sr-Cyrl-RS" w:eastAsia="en-US"/>
              </w:rPr>
            </w:pPr>
            <w:r w:rsidRPr="0052271C">
              <w:rPr>
                <w:rFonts w:eastAsiaTheme="minorHAnsi"/>
                <w:sz w:val="22"/>
                <w:szCs w:val="22"/>
                <w:lang w:val="sr-Cyrl-RS" w:eastAsia="en-US"/>
              </w:rPr>
              <w:t>Успостављање централизоване базе података свих ПСРС и њихових зависних друштава</w:t>
            </w:r>
          </w:p>
        </w:tc>
        <w:tc>
          <w:tcPr>
            <w:tcW w:w="6237" w:type="dxa"/>
            <w:vAlign w:val="center"/>
          </w:tcPr>
          <w:p w14:paraId="54FBFBD4" w14:textId="77777777" w:rsidR="00257C22" w:rsidRPr="0052271C" w:rsidRDefault="00257C22" w:rsidP="00257C22">
            <w:pPr>
              <w:rPr>
                <w:rFonts w:eastAsiaTheme="minorHAnsi"/>
                <w:sz w:val="22"/>
                <w:szCs w:val="22"/>
                <w:lang w:val="sr-Cyrl-RS" w:eastAsia="en-US"/>
              </w:rPr>
            </w:pPr>
            <w:r w:rsidRPr="0052271C">
              <w:rPr>
                <w:rFonts w:eastAsiaTheme="minorHAnsi"/>
                <w:sz w:val="22"/>
                <w:szCs w:val="22"/>
                <w:lang w:val="sr-Cyrl-RS" w:eastAsia="en-US"/>
              </w:rPr>
              <w:t>Успостављена база података о ПСРС</w:t>
            </w:r>
          </w:p>
          <w:p w14:paraId="61F8DA84" w14:textId="77777777" w:rsidR="00257C22" w:rsidRPr="0052271C" w:rsidRDefault="00257C22" w:rsidP="00257C22">
            <w:pPr>
              <w:rPr>
                <w:rFonts w:eastAsiaTheme="minorHAnsi"/>
                <w:sz w:val="22"/>
                <w:szCs w:val="22"/>
                <w:lang w:val="sr-Cyrl-RS" w:eastAsia="en-US"/>
              </w:rPr>
            </w:pPr>
            <w:r w:rsidRPr="0052271C">
              <w:rPr>
                <w:rFonts w:eastAsiaTheme="minorHAnsi"/>
                <w:sz w:val="22"/>
                <w:szCs w:val="22"/>
                <w:lang w:val="sr-Cyrl-RS" w:eastAsia="en-US"/>
              </w:rPr>
              <w:t>(почетна вредност 2020: не, циљна вредност 2022: да)</w:t>
            </w:r>
          </w:p>
          <w:p w14:paraId="22E3E660" w14:textId="3D836D1A" w:rsidR="00257C22" w:rsidRPr="0052271C" w:rsidRDefault="00272E65" w:rsidP="008571BC">
            <w:pPr>
              <w:rPr>
                <w:rFonts w:eastAsiaTheme="minorHAnsi"/>
                <w:sz w:val="22"/>
                <w:szCs w:val="22"/>
                <w:lang w:val="sr-Cyrl-RS" w:eastAsia="en-US"/>
              </w:rPr>
            </w:pPr>
            <w:r w:rsidRPr="0052271C">
              <w:rPr>
                <w:rFonts w:eastAsiaTheme="minorHAnsi"/>
                <w:sz w:val="22"/>
                <w:szCs w:val="22"/>
                <w:lang w:val="sr-Cyrl-RS" w:eastAsia="en-US"/>
              </w:rPr>
              <w:t>Извор</w:t>
            </w:r>
            <w:r w:rsidR="00257C22" w:rsidRPr="0052271C">
              <w:rPr>
                <w:rFonts w:eastAsiaTheme="minorHAnsi"/>
                <w:sz w:val="22"/>
                <w:szCs w:val="22"/>
                <w:lang w:val="sr-Cyrl-RS" w:eastAsia="en-US"/>
              </w:rPr>
              <w:t xml:space="preserve">: Министарство </w:t>
            </w:r>
          </w:p>
        </w:tc>
      </w:tr>
      <w:tr w:rsidR="00257C22" w:rsidRPr="0052271C" w14:paraId="24ABB6FD" w14:textId="77777777" w:rsidTr="00D35327">
        <w:tc>
          <w:tcPr>
            <w:tcW w:w="3405" w:type="dxa"/>
            <w:vMerge/>
            <w:vAlign w:val="center"/>
          </w:tcPr>
          <w:p w14:paraId="3DBE4B25" w14:textId="77777777" w:rsidR="00257C22" w:rsidRPr="0052271C" w:rsidRDefault="00257C22" w:rsidP="00257C22">
            <w:pPr>
              <w:rPr>
                <w:rFonts w:eastAsiaTheme="minorHAnsi"/>
                <w:sz w:val="22"/>
                <w:szCs w:val="22"/>
                <w:lang w:val="sr-Cyrl-RS" w:eastAsia="en-US"/>
              </w:rPr>
            </w:pPr>
          </w:p>
        </w:tc>
        <w:tc>
          <w:tcPr>
            <w:tcW w:w="4954" w:type="dxa"/>
            <w:gridSpan w:val="2"/>
            <w:vAlign w:val="center"/>
          </w:tcPr>
          <w:p w14:paraId="4855A8DA" w14:textId="13417B15" w:rsidR="00257C22" w:rsidRPr="0052271C" w:rsidRDefault="00257C22" w:rsidP="00C51A51">
            <w:pPr>
              <w:numPr>
                <w:ilvl w:val="1"/>
                <w:numId w:val="19"/>
              </w:numPr>
              <w:ind w:left="459" w:hanging="425"/>
              <w:contextualSpacing/>
              <w:rPr>
                <w:rFonts w:eastAsiaTheme="minorHAnsi"/>
                <w:sz w:val="22"/>
                <w:szCs w:val="22"/>
                <w:lang w:val="sr-Cyrl-RS" w:eastAsia="en-US"/>
              </w:rPr>
            </w:pPr>
            <w:r w:rsidRPr="0052271C">
              <w:rPr>
                <w:rFonts w:eastAsiaTheme="minorHAnsi"/>
                <w:sz w:val="22"/>
                <w:szCs w:val="22"/>
                <w:lang w:val="sr-Cyrl-RS" w:eastAsia="en-US"/>
              </w:rPr>
              <w:t>К</w:t>
            </w:r>
            <w:r w:rsidR="00C51A51" w:rsidRPr="0052271C">
              <w:rPr>
                <w:rFonts w:eastAsiaTheme="minorHAnsi"/>
                <w:sz w:val="22"/>
                <w:szCs w:val="22"/>
                <w:lang w:val="sr-Cyrl-RS" w:eastAsia="en-US"/>
              </w:rPr>
              <w:t>ласификација</w:t>
            </w:r>
            <w:r w:rsidRPr="0052271C">
              <w:rPr>
                <w:rFonts w:eastAsiaTheme="minorHAnsi"/>
                <w:sz w:val="22"/>
                <w:szCs w:val="22"/>
                <w:lang w:val="sr-Cyrl-RS" w:eastAsia="en-US"/>
              </w:rPr>
              <w:t xml:space="preserve"> ПСРС </w:t>
            </w:r>
          </w:p>
        </w:tc>
        <w:tc>
          <w:tcPr>
            <w:tcW w:w="6237" w:type="dxa"/>
            <w:vAlign w:val="center"/>
          </w:tcPr>
          <w:p w14:paraId="193B87F1" w14:textId="1E1D8914" w:rsidR="00257C22" w:rsidRPr="0052271C" w:rsidRDefault="00257C22" w:rsidP="00257C22">
            <w:pPr>
              <w:rPr>
                <w:rFonts w:eastAsiaTheme="minorHAnsi"/>
                <w:sz w:val="22"/>
                <w:szCs w:val="22"/>
                <w:lang w:val="sr-Cyrl-RS" w:eastAsia="en-US"/>
              </w:rPr>
            </w:pPr>
            <w:r w:rsidRPr="0052271C">
              <w:rPr>
                <w:rFonts w:eastAsiaTheme="minorHAnsi"/>
                <w:sz w:val="22"/>
                <w:szCs w:val="22"/>
                <w:lang w:val="sr-Cyrl-RS" w:eastAsia="en-US"/>
              </w:rPr>
              <w:t>Проценат ПСРС класификованих према дефинисаним критеријумима.</w:t>
            </w:r>
          </w:p>
          <w:p w14:paraId="1BDAECBD" w14:textId="72EB7429" w:rsidR="00257C22" w:rsidRPr="0052271C" w:rsidRDefault="00257C22" w:rsidP="00257C22">
            <w:pPr>
              <w:rPr>
                <w:rFonts w:eastAsiaTheme="minorHAnsi"/>
                <w:sz w:val="22"/>
                <w:szCs w:val="22"/>
                <w:lang w:val="sr-Cyrl-RS" w:eastAsia="en-US"/>
              </w:rPr>
            </w:pPr>
            <w:r w:rsidRPr="0052271C">
              <w:rPr>
                <w:rFonts w:eastAsiaTheme="minorHAnsi"/>
                <w:sz w:val="22"/>
                <w:szCs w:val="22"/>
                <w:lang w:val="sr-Cyrl-RS" w:eastAsia="en-US"/>
              </w:rPr>
              <w:t>(почетна вредност 2020: 0, циљна вредност 2022: 100%)</w:t>
            </w:r>
          </w:p>
          <w:p w14:paraId="38B8CD60" w14:textId="54A3E1C7" w:rsidR="00257C22" w:rsidRPr="0052271C" w:rsidRDefault="00272E65" w:rsidP="008571BC">
            <w:pPr>
              <w:rPr>
                <w:rFonts w:eastAsiaTheme="minorHAnsi"/>
                <w:sz w:val="22"/>
                <w:szCs w:val="22"/>
                <w:lang w:val="sr-Cyrl-RS" w:eastAsia="en-US"/>
              </w:rPr>
            </w:pPr>
            <w:r w:rsidRPr="0052271C">
              <w:rPr>
                <w:rFonts w:eastAsiaTheme="minorHAnsi"/>
                <w:sz w:val="22"/>
                <w:szCs w:val="22"/>
                <w:lang w:val="sr-Cyrl-RS" w:eastAsia="en-US"/>
              </w:rPr>
              <w:t>Извор</w:t>
            </w:r>
            <w:r w:rsidR="00257C22" w:rsidRPr="0052271C">
              <w:rPr>
                <w:rFonts w:eastAsiaTheme="minorHAnsi"/>
                <w:sz w:val="22"/>
                <w:szCs w:val="22"/>
                <w:lang w:val="sr-Cyrl-RS" w:eastAsia="en-US"/>
              </w:rPr>
              <w:t xml:space="preserve">: извештаји Министарства </w:t>
            </w:r>
          </w:p>
        </w:tc>
      </w:tr>
      <w:tr w:rsidR="00257C22" w:rsidRPr="0052271C" w14:paraId="51AE975F" w14:textId="77777777" w:rsidTr="00D35327">
        <w:trPr>
          <w:trHeight w:val="608"/>
        </w:trPr>
        <w:tc>
          <w:tcPr>
            <w:tcW w:w="3405" w:type="dxa"/>
            <w:vMerge/>
            <w:vAlign w:val="center"/>
          </w:tcPr>
          <w:p w14:paraId="6A97DCF4" w14:textId="77777777" w:rsidR="00257C22" w:rsidRPr="0052271C" w:rsidRDefault="00257C22" w:rsidP="00257C22">
            <w:pPr>
              <w:rPr>
                <w:rFonts w:eastAsiaTheme="minorHAnsi"/>
                <w:sz w:val="22"/>
                <w:szCs w:val="22"/>
                <w:lang w:val="sr-Cyrl-RS" w:eastAsia="en-US"/>
              </w:rPr>
            </w:pPr>
          </w:p>
        </w:tc>
        <w:tc>
          <w:tcPr>
            <w:tcW w:w="4954" w:type="dxa"/>
            <w:gridSpan w:val="2"/>
            <w:vAlign w:val="center"/>
          </w:tcPr>
          <w:p w14:paraId="5F045CB2" w14:textId="70070DB0" w:rsidR="00257C22" w:rsidRPr="0052271C" w:rsidRDefault="00257C22" w:rsidP="00257C22">
            <w:pPr>
              <w:numPr>
                <w:ilvl w:val="1"/>
                <w:numId w:val="19"/>
              </w:numPr>
              <w:ind w:left="459" w:hanging="425"/>
              <w:contextualSpacing/>
              <w:rPr>
                <w:rFonts w:eastAsiaTheme="minorHAnsi"/>
                <w:sz w:val="22"/>
                <w:szCs w:val="22"/>
                <w:lang w:val="sr-Cyrl-RS" w:eastAsia="en-US"/>
              </w:rPr>
            </w:pPr>
            <w:r w:rsidRPr="0052271C">
              <w:rPr>
                <w:rFonts w:eastAsiaTheme="minorHAnsi"/>
                <w:sz w:val="22"/>
                <w:szCs w:val="22"/>
                <w:lang w:val="sr-Cyrl-RS" w:eastAsia="en-US"/>
              </w:rPr>
              <w:t xml:space="preserve">Јачање и усавршавање кадровских </w:t>
            </w:r>
            <w:r w:rsidR="008571BC" w:rsidRPr="0052271C">
              <w:rPr>
                <w:rFonts w:eastAsiaTheme="minorHAnsi"/>
                <w:sz w:val="22"/>
                <w:szCs w:val="22"/>
                <w:lang w:val="sr-Cyrl-RS" w:eastAsia="en-US"/>
              </w:rPr>
              <w:t>капацитета Министарства</w:t>
            </w:r>
          </w:p>
        </w:tc>
        <w:tc>
          <w:tcPr>
            <w:tcW w:w="6237" w:type="dxa"/>
            <w:vAlign w:val="center"/>
          </w:tcPr>
          <w:p w14:paraId="4565139F" w14:textId="77777777" w:rsidR="00257C22" w:rsidRPr="0052271C" w:rsidRDefault="00257C22" w:rsidP="00257C22">
            <w:pPr>
              <w:rPr>
                <w:rFonts w:eastAsiaTheme="minorHAnsi"/>
                <w:sz w:val="22"/>
                <w:szCs w:val="22"/>
                <w:lang w:val="sr-Cyrl-RS" w:eastAsia="en-US"/>
              </w:rPr>
            </w:pPr>
          </w:p>
        </w:tc>
      </w:tr>
      <w:tr w:rsidR="00257C22" w:rsidRPr="0052271C" w14:paraId="349E7100" w14:textId="77777777" w:rsidTr="00D35327">
        <w:tc>
          <w:tcPr>
            <w:tcW w:w="3405" w:type="dxa"/>
            <w:vMerge/>
            <w:vAlign w:val="center"/>
          </w:tcPr>
          <w:p w14:paraId="31F204D5" w14:textId="77777777" w:rsidR="00257C22" w:rsidRPr="0052271C" w:rsidRDefault="00257C22" w:rsidP="00257C22">
            <w:pPr>
              <w:rPr>
                <w:rFonts w:eastAsiaTheme="minorHAnsi"/>
                <w:sz w:val="22"/>
                <w:szCs w:val="22"/>
                <w:lang w:val="sr-Cyrl-RS" w:eastAsia="en-US"/>
              </w:rPr>
            </w:pPr>
          </w:p>
        </w:tc>
        <w:tc>
          <w:tcPr>
            <w:tcW w:w="4954" w:type="dxa"/>
            <w:gridSpan w:val="2"/>
            <w:vAlign w:val="center"/>
          </w:tcPr>
          <w:p w14:paraId="2CB039BE" w14:textId="79053D70" w:rsidR="00257C22" w:rsidRPr="0052271C" w:rsidRDefault="00257C22" w:rsidP="00257C22">
            <w:pPr>
              <w:numPr>
                <w:ilvl w:val="1"/>
                <w:numId w:val="19"/>
              </w:numPr>
              <w:ind w:left="459" w:hanging="425"/>
              <w:contextualSpacing/>
              <w:rPr>
                <w:rFonts w:eastAsiaTheme="minorHAnsi"/>
                <w:sz w:val="22"/>
                <w:szCs w:val="22"/>
                <w:lang w:val="sr-Cyrl-RS" w:eastAsia="en-US"/>
              </w:rPr>
            </w:pPr>
            <w:r w:rsidRPr="0052271C">
              <w:rPr>
                <w:rFonts w:eastAsiaTheme="minorHAnsi"/>
                <w:sz w:val="22"/>
                <w:szCs w:val="22"/>
                <w:lang w:val="sr-Cyrl-RS" w:eastAsia="en-US"/>
              </w:rPr>
              <w:t>Централизација и дигитализација процеса надзора и извештавања ПСРС (развој ИТ софтвера)</w:t>
            </w:r>
          </w:p>
        </w:tc>
        <w:tc>
          <w:tcPr>
            <w:tcW w:w="6237" w:type="dxa"/>
            <w:vAlign w:val="center"/>
          </w:tcPr>
          <w:p w14:paraId="7FA40A1B" w14:textId="77777777" w:rsidR="00257C22" w:rsidRPr="0052271C" w:rsidRDefault="00257C22" w:rsidP="00257C22">
            <w:pPr>
              <w:rPr>
                <w:rFonts w:eastAsiaTheme="minorHAnsi"/>
                <w:sz w:val="22"/>
                <w:szCs w:val="22"/>
                <w:lang w:val="sr-Cyrl-RS" w:eastAsia="en-US"/>
              </w:rPr>
            </w:pPr>
            <w:r w:rsidRPr="0052271C">
              <w:rPr>
                <w:rFonts w:eastAsiaTheme="minorHAnsi"/>
                <w:sz w:val="22"/>
                <w:szCs w:val="22"/>
                <w:lang w:val="sr-Cyrl-RS" w:eastAsia="en-US"/>
              </w:rPr>
              <w:t>Развијен софтвер за систем надзора и извештавања ПСРС</w:t>
            </w:r>
          </w:p>
          <w:p w14:paraId="5324B714" w14:textId="77777777" w:rsidR="00257C22" w:rsidRPr="0052271C" w:rsidRDefault="00257C22" w:rsidP="00257C22">
            <w:pPr>
              <w:rPr>
                <w:rFonts w:eastAsiaTheme="minorHAnsi"/>
                <w:sz w:val="22"/>
                <w:szCs w:val="22"/>
                <w:lang w:val="sr-Cyrl-RS" w:eastAsia="en-US"/>
              </w:rPr>
            </w:pPr>
            <w:r w:rsidRPr="0052271C">
              <w:rPr>
                <w:rFonts w:eastAsiaTheme="minorHAnsi"/>
                <w:sz w:val="22"/>
                <w:szCs w:val="22"/>
                <w:lang w:val="sr-Cyrl-RS" w:eastAsia="en-US"/>
              </w:rPr>
              <w:t>(почетна вредност 2020: не, циљна вредност 2023: да)</w:t>
            </w:r>
          </w:p>
          <w:p w14:paraId="42904B1D" w14:textId="1E8A6CA1" w:rsidR="00257C22" w:rsidRPr="0052271C" w:rsidRDefault="00272E65" w:rsidP="008571BC">
            <w:pPr>
              <w:rPr>
                <w:rFonts w:eastAsiaTheme="minorHAnsi"/>
                <w:sz w:val="22"/>
                <w:szCs w:val="22"/>
                <w:lang w:val="sr-Cyrl-RS" w:eastAsia="en-US"/>
              </w:rPr>
            </w:pPr>
            <w:r w:rsidRPr="0052271C">
              <w:rPr>
                <w:rFonts w:eastAsiaTheme="minorHAnsi"/>
                <w:sz w:val="22"/>
                <w:szCs w:val="22"/>
                <w:lang w:val="sr-Cyrl-RS" w:eastAsia="en-US"/>
              </w:rPr>
              <w:t>Извор</w:t>
            </w:r>
            <w:r w:rsidR="00257C22" w:rsidRPr="0052271C">
              <w:rPr>
                <w:rFonts w:eastAsiaTheme="minorHAnsi"/>
                <w:sz w:val="22"/>
                <w:szCs w:val="22"/>
                <w:lang w:val="sr-Cyrl-RS" w:eastAsia="en-US"/>
              </w:rPr>
              <w:t xml:space="preserve">: </w:t>
            </w:r>
            <w:r w:rsidR="00C33400" w:rsidRPr="0052271C">
              <w:rPr>
                <w:rFonts w:eastAsiaTheme="minorHAnsi"/>
                <w:sz w:val="22"/>
                <w:szCs w:val="22"/>
                <w:lang w:val="sr-Cyrl-RS" w:eastAsia="en-US"/>
              </w:rPr>
              <w:t>извештаји</w:t>
            </w:r>
            <w:r w:rsidR="00257C22" w:rsidRPr="0052271C">
              <w:rPr>
                <w:rFonts w:eastAsiaTheme="minorHAnsi"/>
                <w:sz w:val="22"/>
                <w:szCs w:val="22"/>
                <w:lang w:val="sr-Cyrl-RS" w:eastAsia="en-US"/>
              </w:rPr>
              <w:t xml:space="preserve"> Министарства </w:t>
            </w:r>
          </w:p>
        </w:tc>
      </w:tr>
      <w:tr w:rsidR="00DC35D3" w:rsidRPr="0052271C" w14:paraId="626AD207" w14:textId="77777777" w:rsidTr="00DC35D3">
        <w:trPr>
          <w:trHeight w:val="640"/>
        </w:trPr>
        <w:tc>
          <w:tcPr>
            <w:tcW w:w="5806" w:type="dxa"/>
            <w:gridSpan w:val="2"/>
            <w:shd w:val="clear" w:color="auto" w:fill="E7E6E6" w:themeFill="background2"/>
            <w:vAlign w:val="center"/>
          </w:tcPr>
          <w:p w14:paraId="01D95390" w14:textId="37B96A87" w:rsidR="00DC35D3" w:rsidRPr="0052271C" w:rsidRDefault="00DC35D3" w:rsidP="00DC35D3">
            <w:pPr>
              <w:rPr>
                <w:rFonts w:eastAsiaTheme="minorHAnsi"/>
                <w:lang w:val="sr-Cyrl-RS"/>
              </w:rPr>
            </w:pPr>
            <w:r w:rsidRPr="0052271C">
              <w:rPr>
                <w:rFonts w:eastAsiaTheme="minorHAnsi"/>
                <w:b/>
                <w:sz w:val="22"/>
                <w:szCs w:val="22"/>
                <w:lang w:val="sr-Cyrl-RS" w:eastAsia="en-US"/>
              </w:rPr>
              <w:t>Други посебан циљ:</w:t>
            </w:r>
          </w:p>
        </w:tc>
        <w:tc>
          <w:tcPr>
            <w:tcW w:w="8790" w:type="dxa"/>
            <w:gridSpan w:val="2"/>
            <w:shd w:val="clear" w:color="auto" w:fill="E7E6E6" w:themeFill="background2"/>
            <w:vAlign w:val="center"/>
          </w:tcPr>
          <w:p w14:paraId="09677E74" w14:textId="68FE7D2D" w:rsidR="00DC35D3" w:rsidRPr="0052271C" w:rsidRDefault="00DC35D3" w:rsidP="00DC35D3">
            <w:pPr>
              <w:rPr>
                <w:rFonts w:eastAsiaTheme="minorHAnsi"/>
                <w:sz w:val="22"/>
                <w:szCs w:val="22"/>
                <w:lang w:val="sr-Cyrl-RS" w:eastAsia="en-US"/>
              </w:rPr>
            </w:pPr>
            <w:r w:rsidRPr="0052271C">
              <w:rPr>
                <w:rFonts w:eastAsiaTheme="minorHAnsi"/>
                <w:b/>
                <w:sz w:val="22"/>
                <w:szCs w:val="22"/>
                <w:lang w:val="sr-Cyrl-RS" w:eastAsia="en-US"/>
              </w:rPr>
              <w:t>Индикатор:</w:t>
            </w:r>
          </w:p>
        </w:tc>
      </w:tr>
      <w:tr w:rsidR="00DC35D3" w:rsidRPr="0052271C" w14:paraId="09CDD504" w14:textId="77777777" w:rsidTr="00EF1D51">
        <w:trPr>
          <w:trHeight w:val="1034"/>
        </w:trPr>
        <w:tc>
          <w:tcPr>
            <w:tcW w:w="5806" w:type="dxa"/>
            <w:gridSpan w:val="2"/>
          </w:tcPr>
          <w:p w14:paraId="4BCD0CBF" w14:textId="22591F3B" w:rsidR="00DC35D3" w:rsidRPr="0052271C" w:rsidRDefault="00DC35D3" w:rsidP="00DC35D3">
            <w:pPr>
              <w:pStyle w:val="ListParagraph"/>
              <w:numPr>
                <w:ilvl w:val="0"/>
                <w:numId w:val="24"/>
              </w:numPr>
              <w:spacing w:before="240"/>
              <w:ind w:left="313" w:hanging="284"/>
              <w:rPr>
                <w:rFonts w:eastAsiaTheme="minorHAnsi"/>
                <w:szCs w:val="22"/>
                <w:lang w:val="sr-Cyrl-RS"/>
              </w:rPr>
            </w:pPr>
            <w:r w:rsidRPr="0052271C">
              <w:rPr>
                <w:rFonts w:ascii="Times New Roman" w:eastAsiaTheme="minorHAnsi" w:hAnsi="Times New Roman"/>
                <w:szCs w:val="22"/>
                <w:lang w:val="sr-Cyrl-RS"/>
              </w:rPr>
              <w:t>Успостављање, развој и унапређење корпоративног управљања у ПСРС</w:t>
            </w:r>
          </w:p>
        </w:tc>
        <w:tc>
          <w:tcPr>
            <w:tcW w:w="8790" w:type="dxa"/>
            <w:gridSpan w:val="2"/>
            <w:vAlign w:val="center"/>
          </w:tcPr>
          <w:p w14:paraId="2D47DCDE" w14:textId="7E612647" w:rsidR="00DC35D3" w:rsidRPr="0052271C" w:rsidRDefault="00DC35D3" w:rsidP="00DC35D3">
            <w:pPr>
              <w:rPr>
                <w:rFonts w:eastAsiaTheme="minorHAnsi"/>
                <w:sz w:val="22"/>
                <w:szCs w:val="22"/>
                <w:lang w:val="sr-Cyrl-RS" w:eastAsia="en-US"/>
              </w:rPr>
            </w:pPr>
            <w:r w:rsidRPr="0052271C">
              <w:rPr>
                <w:rFonts w:eastAsiaTheme="minorHAnsi"/>
                <w:sz w:val="22"/>
                <w:szCs w:val="22"/>
                <w:lang w:val="sr-Cyrl-RS" w:eastAsia="en-US"/>
              </w:rPr>
              <w:t>Проценат ПСРС у којима је успостављен јединствен систем корпоративног управљања</w:t>
            </w:r>
          </w:p>
          <w:p w14:paraId="38F0EE04" w14:textId="3D0E99CF" w:rsidR="00DC35D3" w:rsidRPr="0052271C" w:rsidRDefault="00DC35D3" w:rsidP="00DC35D3">
            <w:pPr>
              <w:rPr>
                <w:rFonts w:eastAsiaTheme="minorHAnsi"/>
                <w:sz w:val="22"/>
                <w:szCs w:val="22"/>
                <w:lang w:val="sr-Cyrl-RS" w:eastAsia="en-US"/>
              </w:rPr>
            </w:pPr>
            <w:r w:rsidRPr="0052271C">
              <w:rPr>
                <w:rFonts w:eastAsiaTheme="minorHAnsi"/>
                <w:sz w:val="22"/>
                <w:szCs w:val="22"/>
                <w:lang w:val="sr-Cyrl-RS" w:eastAsia="en-US"/>
              </w:rPr>
              <w:t xml:space="preserve">(почетна вредност 2020: недоступни подаци, циљна вредност 2027: 60%) </w:t>
            </w:r>
          </w:p>
          <w:p w14:paraId="7CA61057" w14:textId="207628D7" w:rsidR="00DC35D3" w:rsidRPr="0052271C" w:rsidRDefault="00272E65" w:rsidP="008571BC">
            <w:pPr>
              <w:rPr>
                <w:rFonts w:eastAsiaTheme="minorHAnsi"/>
                <w:sz w:val="22"/>
                <w:szCs w:val="22"/>
                <w:lang w:val="sr-Cyrl-RS" w:eastAsia="en-US"/>
              </w:rPr>
            </w:pPr>
            <w:r w:rsidRPr="0052271C">
              <w:rPr>
                <w:rFonts w:eastAsiaTheme="minorHAnsi"/>
                <w:sz w:val="22"/>
                <w:szCs w:val="22"/>
                <w:lang w:val="sr-Cyrl-RS" w:eastAsia="en-US"/>
              </w:rPr>
              <w:t>Извор</w:t>
            </w:r>
            <w:r w:rsidR="00DC35D3" w:rsidRPr="0052271C">
              <w:rPr>
                <w:rFonts w:eastAsiaTheme="minorHAnsi"/>
                <w:sz w:val="22"/>
                <w:szCs w:val="22"/>
                <w:lang w:val="sr-Cyrl-RS" w:eastAsia="en-US"/>
              </w:rPr>
              <w:t xml:space="preserve">: </w:t>
            </w:r>
            <w:r w:rsidR="00EF1D51" w:rsidRPr="0052271C">
              <w:rPr>
                <w:rFonts w:eastAsiaTheme="minorHAnsi"/>
                <w:sz w:val="22"/>
                <w:szCs w:val="22"/>
                <w:lang w:val="sr-Cyrl-RS" w:eastAsia="en-US"/>
              </w:rPr>
              <w:t xml:space="preserve">извештаји Министарства </w:t>
            </w:r>
          </w:p>
        </w:tc>
      </w:tr>
      <w:tr w:rsidR="008735D6" w:rsidRPr="0052271C" w14:paraId="09459527" w14:textId="77777777" w:rsidTr="00D35327">
        <w:trPr>
          <w:trHeight w:val="552"/>
        </w:trPr>
        <w:tc>
          <w:tcPr>
            <w:tcW w:w="3405" w:type="dxa"/>
            <w:tcBorders>
              <w:bottom w:val="nil"/>
            </w:tcBorders>
            <w:shd w:val="clear" w:color="auto" w:fill="FFFFFF" w:themeFill="background1"/>
            <w:vAlign w:val="center"/>
          </w:tcPr>
          <w:p w14:paraId="0436E07B" w14:textId="2B4457D9" w:rsidR="008735D6" w:rsidRPr="0052271C" w:rsidRDefault="008735D6" w:rsidP="00606814">
            <w:pPr>
              <w:tabs>
                <w:tab w:val="left" w:pos="459"/>
              </w:tabs>
              <w:contextualSpacing/>
              <w:rPr>
                <w:rFonts w:eastAsiaTheme="minorHAnsi"/>
                <w:sz w:val="22"/>
                <w:szCs w:val="22"/>
                <w:lang w:val="sr-Cyrl-RS" w:eastAsia="en-US"/>
              </w:rPr>
            </w:pPr>
          </w:p>
        </w:tc>
        <w:tc>
          <w:tcPr>
            <w:tcW w:w="4954" w:type="dxa"/>
            <w:gridSpan w:val="2"/>
            <w:shd w:val="clear" w:color="auto" w:fill="E7E6E6" w:themeFill="background2"/>
            <w:vAlign w:val="center"/>
          </w:tcPr>
          <w:p w14:paraId="2F4396E2" w14:textId="21614297" w:rsidR="008735D6" w:rsidRPr="0052271C" w:rsidRDefault="00455B66" w:rsidP="008735D6">
            <w:pPr>
              <w:tabs>
                <w:tab w:val="left" w:pos="459"/>
              </w:tabs>
              <w:contextualSpacing/>
              <w:rPr>
                <w:rFonts w:eastAsiaTheme="minorHAnsi"/>
                <w:b/>
                <w:sz w:val="22"/>
                <w:szCs w:val="22"/>
                <w:lang w:val="sr-Cyrl-RS" w:eastAsia="en-US"/>
              </w:rPr>
            </w:pPr>
            <w:r w:rsidRPr="0052271C">
              <w:rPr>
                <w:rFonts w:eastAsiaTheme="minorHAnsi"/>
                <w:b/>
                <w:sz w:val="22"/>
                <w:szCs w:val="22"/>
                <w:lang w:val="sr-Cyrl-RS" w:eastAsia="en-US"/>
              </w:rPr>
              <w:t>Мере:</w:t>
            </w:r>
          </w:p>
        </w:tc>
        <w:tc>
          <w:tcPr>
            <w:tcW w:w="6237" w:type="dxa"/>
            <w:shd w:val="clear" w:color="auto" w:fill="E7E6E6" w:themeFill="background2"/>
            <w:vAlign w:val="center"/>
          </w:tcPr>
          <w:p w14:paraId="484E920B" w14:textId="4FFCC5F8" w:rsidR="008735D6" w:rsidRPr="0052271C" w:rsidRDefault="008735D6" w:rsidP="00606814">
            <w:pPr>
              <w:rPr>
                <w:rFonts w:eastAsiaTheme="minorHAnsi"/>
                <w:sz w:val="22"/>
                <w:szCs w:val="22"/>
                <w:lang w:val="sr-Cyrl-RS" w:eastAsia="en-US"/>
              </w:rPr>
            </w:pPr>
            <w:r w:rsidRPr="0052271C">
              <w:rPr>
                <w:rFonts w:eastAsiaTheme="minorHAnsi"/>
                <w:b/>
                <w:sz w:val="22"/>
                <w:szCs w:val="22"/>
                <w:lang w:val="sr-Cyrl-RS" w:eastAsia="en-US"/>
              </w:rPr>
              <w:t>Индикатор:</w:t>
            </w:r>
          </w:p>
        </w:tc>
      </w:tr>
      <w:tr w:rsidR="00DC35D3" w:rsidRPr="0052271C" w14:paraId="7928C3BC" w14:textId="77777777" w:rsidTr="00D35327">
        <w:trPr>
          <w:trHeight w:val="1170"/>
        </w:trPr>
        <w:tc>
          <w:tcPr>
            <w:tcW w:w="3405" w:type="dxa"/>
            <w:vMerge w:val="restart"/>
            <w:tcBorders>
              <w:top w:val="nil"/>
            </w:tcBorders>
          </w:tcPr>
          <w:p w14:paraId="04FB249D" w14:textId="77777777" w:rsidR="00DC35D3" w:rsidRPr="0052271C" w:rsidRDefault="00DC35D3" w:rsidP="00DC35D3">
            <w:pPr>
              <w:spacing w:before="240"/>
              <w:ind w:left="313"/>
              <w:contextualSpacing/>
              <w:rPr>
                <w:rFonts w:eastAsiaTheme="minorHAnsi"/>
                <w:sz w:val="22"/>
                <w:szCs w:val="22"/>
                <w:lang w:val="sr-Cyrl-RS" w:eastAsia="en-US"/>
              </w:rPr>
            </w:pPr>
          </w:p>
          <w:p w14:paraId="3D61E232" w14:textId="7CB19FF8" w:rsidR="00DC35D3" w:rsidRPr="0052271C" w:rsidRDefault="00DC35D3" w:rsidP="00DC35D3">
            <w:pPr>
              <w:spacing w:before="240"/>
              <w:ind w:left="313"/>
              <w:contextualSpacing/>
              <w:rPr>
                <w:rFonts w:eastAsiaTheme="minorHAnsi"/>
                <w:sz w:val="22"/>
                <w:szCs w:val="22"/>
                <w:lang w:val="sr-Cyrl-RS" w:eastAsia="en-US"/>
              </w:rPr>
            </w:pPr>
          </w:p>
        </w:tc>
        <w:tc>
          <w:tcPr>
            <w:tcW w:w="4954" w:type="dxa"/>
            <w:gridSpan w:val="2"/>
            <w:vMerge w:val="restart"/>
            <w:vAlign w:val="center"/>
          </w:tcPr>
          <w:p w14:paraId="6F2F5FCB" w14:textId="048B4519" w:rsidR="00DC35D3" w:rsidRPr="0052271C" w:rsidRDefault="00DC35D3" w:rsidP="00DC35D3">
            <w:pPr>
              <w:pStyle w:val="ListParagraph"/>
              <w:numPr>
                <w:ilvl w:val="1"/>
                <w:numId w:val="24"/>
              </w:numPr>
              <w:ind w:left="459" w:hanging="425"/>
              <w:rPr>
                <w:rFonts w:ascii="Times New Roman" w:eastAsiaTheme="minorHAnsi" w:hAnsi="Times New Roman"/>
                <w:szCs w:val="22"/>
                <w:lang w:val="sr-Cyrl-RS"/>
              </w:rPr>
            </w:pPr>
            <w:r w:rsidRPr="0052271C">
              <w:rPr>
                <w:rFonts w:ascii="Times New Roman" w:eastAsiaTheme="minorHAnsi" w:hAnsi="Times New Roman"/>
                <w:szCs w:val="22"/>
                <w:lang w:val="sr-Cyrl-RS"/>
              </w:rPr>
              <w:t xml:space="preserve">Уређивање питања корпоративног управљања у </w:t>
            </w:r>
            <w:r w:rsidR="00831B67" w:rsidRPr="0052271C">
              <w:rPr>
                <w:rFonts w:ascii="Times New Roman" w:eastAsiaTheme="minorHAnsi" w:hAnsi="Times New Roman"/>
                <w:szCs w:val="22"/>
                <w:lang w:val="sr-Cyrl-RS"/>
              </w:rPr>
              <w:t>складу</w:t>
            </w:r>
            <w:r w:rsidRPr="0052271C">
              <w:rPr>
                <w:rFonts w:ascii="Times New Roman" w:eastAsiaTheme="minorHAnsi" w:hAnsi="Times New Roman"/>
                <w:szCs w:val="22"/>
                <w:lang w:val="sr-Cyrl-RS"/>
              </w:rPr>
              <w:t xml:space="preserve"> са </w:t>
            </w:r>
            <w:r w:rsidR="00831B67" w:rsidRPr="0052271C">
              <w:rPr>
                <w:rFonts w:ascii="Times New Roman" w:eastAsiaTheme="minorHAnsi" w:hAnsi="Times New Roman"/>
                <w:szCs w:val="22"/>
                <w:lang w:val="sr-Cyrl-RS"/>
              </w:rPr>
              <w:t>најбољом</w:t>
            </w:r>
            <w:r w:rsidRPr="0052271C">
              <w:rPr>
                <w:rFonts w:ascii="Times New Roman" w:eastAsiaTheme="minorHAnsi" w:hAnsi="Times New Roman"/>
                <w:szCs w:val="22"/>
                <w:lang w:val="sr-Cyrl-RS"/>
              </w:rPr>
              <w:t xml:space="preserve"> међународном праксом</w:t>
            </w:r>
          </w:p>
        </w:tc>
        <w:tc>
          <w:tcPr>
            <w:tcW w:w="6237" w:type="dxa"/>
            <w:vAlign w:val="center"/>
          </w:tcPr>
          <w:p w14:paraId="077AE177" w14:textId="77777777" w:rsidR="00DC35D3" w:rsidRPr="0052271C" w:rsidRDefault="00DC35D3" w:rsidP="00DC35D3">
            <w:pPr>
              <w:rPr>
                <w:rFonts w:eastAsiaTheme="minorHAnsi"/>
                <w:sz w:val="22"/>
                <w:szCs w:val="22"/>
                <w:lang w:val="sr-Cyrl-RS" w:eastAsia="en-US"/>
              </w:rPr>
            </w:pPr>
            <w:r w:rsidRPr="0052271C">
              <w:rPr>
                <w:rFonts w:eastAsiaTheme="minorHAnsi"/>
                <w:sz w:val="22"/>
                <w:szCs w:val="22"/>
                <w:lang w:val="sr-Cyrl-RS" w:eastAsia="en-US"/>
              </w:rPr>
              <w:t>Успостављена јединствена процедура избора органа управљања и директора у свим ПСРС</w:t>
            </w:r>
          </w:p>
          <w:p w14:paraId="1028494E" w14:textId="77777777" w:rsidR="00DC35D3" w:rsidRPr="0052271C" w:rsidRDefault="00DC35D3" w:rsidP="00DC35D3">
            <w:pPr>
              <w:rPr>
                <w:rFonts w:eastAsiaTheme="minorHAnsi"/>
                <w:sz w:val="22"/>
                <w:szCs w:val="22"/>
                <w:lang w:val="sr-Cyrl-RS" w:eastAsia="en-US"/>
              </w:rPr>
            </w:pPr>
            <w:r w:rsidRPr="0052271C">
              <w:rPr>
                <w:rFonts w:eastAsiaTheme="minorHAnsi"/>
                <w:sz w:val="22"/>
                <w:szCs w:val="22"/>
                <w:lang w:val="sr-Cyrl-RS" w:eastAsia="en-US"/>
              </w:rPr>
              <w:t>(почетна вредност 2020: 13%, циљна вредност 2025: 100%</w:t>
            </w:r>
          </w:p>
          <w:p w14:paraId="7490FC37" w14:textId="3A1D5631" w:rsidR="00DC35D3" w:rsidRPr="0052271C" w:rsidRDefault="00272E65" w:rsidP="008571BC">
            <w:pPr>
              <w:rPr>
                <w:rFonts w:eastAsiaTheme="minorHAnsi"/>
                <w:sz w:val="22"/>
                <w:szCs w:val="22"/>
                <w:lang w:val="sr-Cyrl-RS" w:eastAsia="en-US"/>
              </w:rPr>
            </w:pPr>
            <w:r w:rsidRPr="0052271C">
              <w:rPr>
                <w:rFonts w:eastAsiaTheme="minorHAnsi"/>
                <w:sz w:val="22"/>
                <w:szCs w:val="22"/>
                <w:lang w:val="sr-Cyrl-RS" w:eastAsia="en-US"/>
              </w:rPr>
              <w:t>Извор</w:t>
            </w:r>
            <w:r w:rsidR="00DC35D3" w:rsidRPr="0052271C">
              <w:rPr>
                <w:rFonts w:eastAsiaTheme="minorHAnsi"/>
                <w:sz w:val="22"/>
                <w:szCs w:val="22"/>
                <w:lang w:val="sr-Cyrl-RS" w:eastAsia="en-US"/>
              </w:rPr>
              <w:t xml:space="preserve">: извештаји Министарства </w:t>
            </w:r>
          </w:p>
        </w:tc>
      </w:tr>
      <w:tr w:rsidR="00DC35D3" w:rsidRPr="0052271C" w14:paraId="198E83FB" w14:textId="77777777" w:rsidTr="00D35327">
        <w:trPr>
          <w:trHeight w:val="1344"/>
        </w:trPr>
        <w:tc>
          <w:tcPr>
            <w:tcW w:w="3405" w:type="dxa"/>
            <w:vMerge/>
            <w:tcBorders>
              <w:top w:val="nil"/>
            </w:tcBorders>
            <w:vAlign w:val="center"/>
          </w:tcPr>
          <w:p w14:paraId="2BEA09F2" w14:textId="77777777" w:rsidR="00DC35D3" w:rsidRPr="0052271C" w:rsidRDefault="00DC35D3" w:rsidP="00DC35D3">
            <w:pPr>
              <w:numPr>
                <w:ilvl w:val="0"/>
                <w:numId w:val="19"/>
              </w:numPr>
              <w:ind w:left="313" w:hanging="284"/>
              <w:contextualSpacing/>
              <w:rPr>
                <w:rFonts w:eastAsiaTheme="minorHAnsi"/>
                <w:sz w:val="22"/>
                <w:szCs w:val="22"/>
                <w:lang w:val="sr-Cyrl-RS" w:eastAsia="en-US"/>
              </w:rPr>
            </w:pPr>
          </w:p>
        </w:tc>
        <w:tc>
          <w:tcPr>
            <w:tcW w:w="4954" w:type="dxa"/>
            <w:gridSpan w:val="2"/>
            <w:vMerge/>
            <w:vAlign w:val="center"/>
          </w:tcPr>
          <w:p w14:paraId="4C8C4C20" w14:textId="77777777" w:rsidR="00DC35D3" w:rsidRPr="0052271C" w:rsidRDefault="00DC35D3" w:rsidP="00DC35D3">
            <w:pPr>
              <w:numPr>
                <w:ilvl w:val="1"/>
                <w:numId w:val="19"/>
              </w:numPr>
              <w:ind w:left="459" w:hanging="425"/>
              <w:contextualSpacing/>
              <w:rPr>
                <w:rFonts w:eastAsiaTheme="minorHAnsi"/>
                <w:sz w:val="22"/>
                <w:szCs w:val="22"/>
                <w:lang w:val="sr-Cyrl-RS" w:eastAsia="en-US"/>
              </w:rPr>
            </w:pPr>
          </w:p>
        </w:tc>
        <w:tc>
          <w:tcPr>
            <w:tcW w:w="6237" w:type="dxa"/>
            <w:vAlign w:val="center"/>
          </w:tcPr>
          <w:p w14:paraId="3D513ED8" w14:textId="016D7D2A" w:rsidR="00DC35D3" w:rsidRPr="0052271C" w:rsidRDefault="00DC35D3" w:rsidP="00DC35D3">
            <w:pPr>
              <w:rPr>
                <w:rFonts w:eastAsiaTheme="minorHAnsi"/>
                <w:sz w:val="22"/>
                <w:szCs w:val="22"/>
                <w:lang w:val="sr-Cyrl-RS" w:eastAsia="en-US"/>
              </w:rPr>
            </w:pPr>
            <w:r w:rsidRPr="0052271C">
              <w:rPr>
                <w:rFonts w:eastAsiaTheme="minorHAnsi"/>
                <w:sz w:val="22"/>
                <w:szCs w:val="22"/>
                <w:lang w:val="sr-Cyrl-RS" w:eastAsia="en-US"/>
              </w:rPr>
              <w:t>Проценат ПСРС</w:t>
            </w:r>
            <w:r w:rsidR="001C1D94" w:rsidRPr="0052271C">
              <w:rPr>
                <w:rStyle w:val="FootnoteReference"/>
                <w:rFonts w:eastAsiaTheme="minorHAnsi"/>
                <w:sz w:val="22"/>
                <w:szCs w:val="22"/>
                <w:lang w:val="sr-Cyrl-RS" w:eastAsia="en-US"/>
              </w:rPr>
              <w:footnoteReference w:id="39"/>
            </w:r>
            <w:r w:rsidRPr="0052271C">
              <w:rPr>
                <w:rFonts w:eastAsiaTheme="minorHAnsi"/>
                <w:sz w:val="22"/>
                <w:szCs w:val="22"/>
                <w:lang w:val="sr-Cyrl-RS" w:eastAsia="en-US"/>
              </w:rPr>
              <w:t xml:space="preserve"> са успостављеном или повереном независном функцијом интерне ревизије.</w:t>
            </w:r>
          </w:p>
          <w:p w14:paraId="70E4A86D" w14:textId="22F08D67" w:rsidR="00DC35D3" w:rsidRPr="0052271C" w:rsidRDefault="001C1D94" w:rsidP="00DC35D3">
            <w:pPr>
              <w:rPr>
                <w:rFonts w:eastAsiaTheme="minorHAnsi"/>
                <w:sz w:val="22"/>
                <w:szCs w:val="22"/>
                <w:lang w:val="sr-Cyrl-RS" w:eastAsia="en-US"/>
              </w:rPr>
            </w:pPr>
            <w:r w:rsidRPr="0052271C">
              <w:rPr>
                <w:rFonts w:eastAsiaTheme="minorHAnsi"/>
                <w:sz w:val="22"/>
                <w:szCs w:val="22"/>
                <w:lang w:val="sr-Cyrl-RS" w:eastAsia="en-US"/>
              </w:rPr>
              <w:t>(почетна вредност 2020: 19</w:t>
            </w:r>
            <w:r w:rsidR="00DC35D3" w:rsidRPr="0052271C">
              <w:rPr>
                <w:rFonts w:eastAsiaTheme="minorHAnsi"/>
                <w:sz w:val="22"/>
                <w:szCs w:val="22"/>
                <w:lang w:val="sr-Cyrl-RS" w:eastAsia="en-US"/>
              </w:rPr>
              <w:t>%, циљна вредност 202</w:t>
            </w:r>
            <w:r w:rsidRPr="0052271C">
              <w:rPr>
                <w:rFonts w:eastAsiaTheme="minorHAnsi"/>
                <w:sz w:val="22"/>
                <w:szCs w:val="22"/>
                <w:lang w:val="sr-Cyrl-RS" w:eastAsia="en-US"/>
              </w:rPr>
              <w:t>7</w:t>
            </w:r>
            <w:r w:rsidR="00DC35D3" w:rsidRPr="0052271C">
              <w:rPr>
                <w:rFonts w:eastAsiaTheme="minorHAnsi"/>
                <w:sz w:val="22"/>
                <w:szCs w:val="22"/>
                <w:lang w:val="sr-Cyrl-RS" w:eastAsia="en-US"/>
              </w:rPr>
              <w:t>: 100%)</w:t>
            </w:r>
          </w:p>
          <w:p w14:paraId="0F1E5423" w14:textId="1B86E58D" w:rsidR="00DC35D3" w:rsidRPr="0052271C" w:rsidRDefault="00272E65" w:rsidP="008571BC">
            <w:pPr>
              <w:rPr>
                <w:rFonts w:eastAsiaTheme="minorHAnsi"/>
                <w:sz w:val="22"/>
                <w:szCs w:val="22"/>
                <w:lang w:val="sr-Cyrl-RS" w:eastAsia="en-US"/>
              </w:rPr>
            </w:pPr>
            <w:r w:rsidRPr="0052271C">
              <w:rPr>
                <w:rFonts w:eastAsiaTheme="minorHAnsi"/>
                <w:sz w:val="22"/>
                <w:szCs w:val="22"/>
                <w:lang w:val="sr-Cyrl-RS" w:eastAsia="en-US"/>
              </w:rPr>
              <w:t>Извор</w:t>
            </w:r>
            <w:r w:rsidR="00DC35D3" w:rsidRPr="0052271C">
              <w:rPr>
                <w:rFonts w:eastAsiaTheme="minorHAnsi"/>
                <w:sz w:val="22"/>
                <w:szCs w:val="22"/>
                <w:lang w:val="sr-Cyrl-RS" w:eastAsia="en-US"/>
              </w:rPr>
              <w:t>: Централна јединица за хармонизацију</w:t>
            </w:r>
            <w:r w:rsidR="008571BC" w:rsidRPr="0052271C">
              <w:rPr>
                <w:rFonts w:eastAsiaTheme="minorHAnsi"/>
                <w:sz w:val="22"/>
                <w:szCs w:val="22"/>
                <w:lang w:val="sr-Cyrl-RS" w:eastAsia="en-US"/>
              </w:rPr>
              <w:t>, Министарства</w:t>
            </w:r>
            <w:r w:rsidR="00DC35D3" w:rsidRPr="0052271C">
              <w:rPr>
                <w:rFonts w:eastAsiaTheme="minorHAnsi"/>
                <w:sz w:val="22"/>
                <w:szCs w:val="22"/>
                <w:lang w:val="sr-Cyrl-RS" w:eastAsia="en-US"/>
              </w:rPr>
              <w:t>)</w:t>
            </w:r>
          </w:p>
        </w:tc>
      </w:tr>
      <w:tr w:rsidR="00DC35D3" w:rsidRPr="0052271C" w14:paraId="55237F73" w14:textId="77777777" w:rsidTr="00D35327">
        <w:trPr>
          <w:trHeight w:val="1003"/>
        </w:trPr>
        <w:tc>
          <w:tcPr>
            <w:tcW w:w="3405" w:type="dxa"/>
            <w:vMerge/>
            <w:tcBorders>
              <w:top w:val="nil"/>
            </w:tcBorders>
            <w:vAlign w:val="center"/>
          </w:tcPr>
          <w:p w14:paraId="0B69EFAE" w14:textId="77777777" w:rsidR="00DC35D3" w:rsidRPr="0052271C" w:rsidRDefault="00DC35D3" w:rsidP="00DC35D3">
            <w:pPr>
              <w:numPr>
                <w:ilvl w:val="0"/>
                <w:numId w:val="19"/>
              </w:numPr>
              <w:ind w:left="313" w:hanging="284"/>
              <w:contextualSpacing/>
              <w:rPr>
                <w:rFonts w:eastAsiaTheme="minorHAnsi"/>
                <w:sz w:val="22"/>
                <w:szCs w:val="22"/>
                <w:lang w:val="sr-Cyrl-RS" w:eastAsia="en-US"/>
              </w:rPr>
            </w:pPr>
          </w:p>
        </w:tc>
        <w:tc>
          <w:tcPr>
            <w:tcW w:w="4954" w:type="dxa"/>
            <w:gridSpan w:val="2"/>
            <w:vMerge/>
            <w:vAlign w:val="center"/>
          </w:tcPr>
          <w:p w14:paraId="7A1CA23A" w14:textId="77777777" w:rsidR="00DC35D3" w:rsidRPr="0052271C" w:rsidRDefault="00DC35D3" w:rsidP="00DC35D3">
            <w:pPr>
              <w:numPr>
                <w:ilvl w:val="1"/>
                <w:numId w:val="19"/>
              </w:numPr>
              <w:ind w:left="459" w:hanging="425"/>
              <w:contextualSpacing/>
              <w:rPr>
                <w:rFonts w:eastAsiaTheme="minorHAnsi"/>
                <w:sz w:val="22"/>
                <w:szCs w:val="22"/>
                <w:lang w:val="sr-Cyrl-RS" w:eastAsia="en-US"/>
              </w:rPr>
            </w:pPr>
          </w:p>
        </w:tc>
        <w:tc>
          <w:tcPr>
            <w:tcW w:w="6237" w:type="dxa"/>
            <w:vAlign w:val="center"/>
          </w:tcPr>
          <w:p w14:paraId="378877DE" w14:textId="05CA3CA0" w:rsidR="00DC35D3" w:rsidRPr="0052271C" w:rsidRDefault="00DC35D3" w:rsidP="00DC35D3">
            <w:pPr>
              <w:rPr>
                <w:rFonts w:eastAsiaTheme="minorHAnsi"/>
                <w:sz w:val="22"/>
                <w:szCs w:val="22"/>
                <w:lang w:val="sr-Cyrl-RS" w:eastAsia="en-US"/>
              </w:rPr>
            </w:pPr>
            <w:r w:rsidRPr="0052271C">
              <w:rPr>
                <w:rFonts w:eastAsiaTheme="minorHAnsi"/>
                <w:sz w:val="22"/>
                <w:szCs w:val="22"/>
                <w:lang w:val="sr-Cyrl-RS" w:eastAsia="en-US"/>
              </w:rPr>
              <w:t xml:space="preserve">Проценат великих ПСРС код којих је успостављена комисија за ревизију </w:t>
            </w:r>
          </w:p>
          <w:p w14:paraId="096B4F9A" w14:textId="77777777" w:rsidR="00DC35D3" w:rsidRPr="0052271C" w:rsidRDefault="00DC35D3" w:rsidP="00DC35D3">
            <w:pPr>
              <w:rPr>
                <w:rFonts w:eastAsiaTheme="minorHAnsi"/>
                <w:sz w:val="22"/>
                <w:szCs w:val="22"/>
                <w:lang w:val="sr-Cyrl-RS" w:eastAsia="en-US"/>
              </w:rPr>
            </w:pPr>
            <w:r w:rsidRPr="0052271C">
              <w:rPr>
                <w:rFonts w:eastAsiaTheme="minorHAnsi"/>
                <w:sz w:val="22"/>
                <w:szCs w:val="22"/>
                <w:lang w:val="sr-Cyrl-RS" w:eastAsia="en-US"/>
              </w:rPr>
              <w:t>(почетна вредност 2020: недоступни подаци, циљна вредност 2025: 100%)</w:t>
            </w:r>
          </w:p>
          <w:p w14:paraId="74D97326" w14:textId="057C06B4" w:rsidR="00DC35D3" w:rsidRPr="0052271C" w:rsidRDefault="00272E65" w:rsidP="008571BC">
            <w:pPr>
              <w:rPr>
                <w:rFonts w:eastAsiaTheme="minorHAnsi"/>
                <w:sz w:val="22"/>
                <w:szCs w:val="22"/>
                <w:lang w:val="sr-Cyrl-RS" w:eastAsia="en-US"/>
              </w:rPr>
            </w:pPr>
            <w:r w:rsidRPr="0052271C">
              <w:rPr>
                <w:rFonts w:eastAsiaTheme="minorHAnsi"/>
                <w:sz w:val="22"/>
                <w:szCs w:val="22"/>
                <w:lang w:val="sr-Cyrl-RS" w:eastAsia="en-US"/>
              </w:rPr>
              <w:t>Извор</w:t>
            </w:r>
            <w:r w:rsidR="00DC35D3" w:rsidRPr="0052271C">
              <w:rPr>
                <w:rFonts w:eastAsiaTheme="minorHAnsi"/>
                <w:sz w:val="22"/>
                <w:szCs w:val="22"/>
                <w:lang w:val="sr-Cyrl-RS" w:eastAsia="en-US"/>
              </w:rPr>
              <w:t xml:space="preserve">: извештаји Министарства </w:t>
            </w:r>
          </w:p>
        </w:tc>
      </w:tr>
      <w:tr w:rsidR="00DC35D3" w:rsidRPr="0052271C" w14:paraId="660449B4" w14:textId="77777777" w:rsidTr="00D35327">
        <w:trPr>
          <w:trHeight w:val="1259"/>
        </w:trPr>
        <w:tc>
          <w:tcPr>
            <w:tcW w:w="3405" w:type="dxa"/>
            <w:vMerge/>
            <w:tcBorders>
              <w:top w:val="single" w:sz="4" w:space="0" w:color="auto"/>
            </w:tcBorders>
            <w:vAlign w:val="center"/>
          </w:tcPr>
          <w:p w14:paraId="4DDD485A" w14:textId="77777777" w:rsidR="00DC35D3" w:rsidRPr="0052271C" w:rsidRDefault="00DC35D3" w:rsidP="00DC35D3">
            <w:pPr>
              <w:numPr>
                <w:ilvl w:val="0"/>
                <w:numId w:val="19"/>
              </w:numPr>
              <w:ind w:left="313" w:hanging="284"/>
              <w:contextualSpacing/>
              <w:rPr>
                <w:rFonts w:eastAsiaTheme="minorHAnsi"/>
                <w:sz w:val="22"/>
                <w:szCs w:val="22"/>
                <w:lang w:val="sr-Cyrl-RS" w:eastAsia="en-US"/>
              </w:rPr>
            </w:pPr>
          </w:p>
        </w:tc>
        <w:tc>
          <w:tcPr>
            <w:tcW w:w="4954" w:type="dxa"/>
            <w:gridSpan w:val="2"/>
            <w:vMerge/>
            <w:tcBorders>
              <w:top w:val="single" w:sz="4" w:space="0" w:color="auto"/>
            </w:tcBorders>
            <w:vAlign w:val="center"/>
          </w:tcPr>
          <w:p w14:paraId="3D2D7BEA" w14:textId="77777777" w:rsidR="00DC35D3" w:rsidRPr="0052271C" w:rsidRDefault="00DC35D3" w:rsidP="00DC35D3">
            <w:pPr>
              <w:numPr>
                <w:ilvl w:val="1"/>
                <w:numId w:val="19"/>
              </w:numPr>
              <w:ind w:left="459" w:hanging="425"/>
              <w:contextualSpacing/>
              <w:rPr>
                <w:rFonts w:eastAsiaTheme="minorHAnsi"/>
                <w:sz w:val="22"/>
                <w:szCs w:val="22"/>
                <w:lang w:val="sr-Cyrl-RS" w:eastAsia="en-US"/>
              </w:rPr>
            </w:pPr>
          </w:p>
        </w:tc>
        <w:tc>
          <w:tcPr>
            <w:tcW w:w="6237" w:type="dxa"/>
            <w:tcBorders>
              <w:top w:val="single" w:sz="4" w:space="0" w:color="auto"/>
            </w:tcBorders>
            <w:vAlign w:val="center"/>
          </w:tcPr>
          <w:p w14:paraId="14F783F9" w14:textId="722FD0D0" w:rsidR="00DC35D3" w:rsidRPr="0052271C" w:rsidRDefault="00DC35D3" w:rsidP="00DC35D3">
            <w:pPr>
              <w:rPr>
                <w:rFonts w:eastAsiaTheme="minorHAnsi"/>
                <w:sz w:val="22"/>
                <w:szCs w:val="22"/>
                <w:lang w:val="sr-Cyrl-RS" w:eastAsia="en-US"/>
              </w:rPr>
            </w:pPr>
            <w:r w:rsidRPr="0052271C">
              <w:rPr>
                <w:rFonts w:eastAsiaTheme="minorHAnsi"/>
                <w:sz w:val="22"/>
                <w:szCs w:val="22"/>
                <w:lang w:val="sr-Cyrl-RS" w:eastAsia="en-US"/>
              </w:rPr>
              <w:t xml:space="preserve">Проценат великих ПСРС код којих је успостављена  комисија за именовања и накнаде </w:t>
            </w:r>
          </w:p>
          <w:p w14:paraId="768E9144" w14:textId="0614EFCC" w:rsidR="00DC35D3" w:rsidRPr="0052271C" w:rsidRDefault="00DC35D3" w:rsidP="00DC35D3">
            <w:pPr>
              <w:rPr>
                <w:rFonts w:eastAsiaTheme="minorHAnsi"/>
                <w:sz w:val="22"/>
                <w:szCs w:val="22"/>
                <w:lang w:val="sr-Cyrl-RS" w:eastAsia="en-US"/>
              </w:rPr>
            </w:pPr>
            <w:r w:rsidRPr="0052271C">
              <w:rPr>
                <w:rFonts w:eastAsiaTheme="minorHAnsi"/>
                <w:sz w:val="22"/>
                <w:szCs w:val="22"/>
                <w:lang w:val="sr-Cyrl-RS" w:eastAsia="en-US"/>
              </w:rPr>
              <w:t>(почетна вредност 2020: недоступни подаци, циљна вредност 2025: 100%)</w:t>
            </w:r>
          </w:p>
          <w:p w14:paraId="5667C52E" w14:textId="04D7F4DF" w:rsidR="00DC35D3" w:rsidRPr="0052271C" w:rsidRDefault="00986106" w:rsidP="008571BC">
            <w:pPr>
              <w:rPr>
                <w:rFonts w:eastAsiaTheme="minorHAnsi"/>
                <w:sz w:val="22"/>
                <w:szCs w:val="22"/>
                <w:lang w:val="sr-Cyrl-RS" w:eastAsia="en-US"/>
              </w:rPr>
            </w:pPr>
            <w:r w:rsidRPr="0052271C">
              <w:rPr>
                <w:rFonts w:eastAsiaTheme="minorHAnsi"/>
                <w:sz w:val="22"/>
                <w:szCs w:val="22"/>
                <w:lang w:val="sr-Cyrl-RS" w:eastAsia="en-US"/>
              </w:rPr>
              <w:t>Извор</w:t>
            </w:r>
            <w:r w:rsidR="00DC35D3" w:rsidRPr="0052271C">
              <w:rPr>
                <w:rFonts w:eastAsiaTheme="minorHAnsi"/>
                <w:sz w:val="22"/>
                <w:szCs w:val="22"/>
                <w:lang w:val="sr-Cyrl-RS" w:eastAsia="en-US"/>
              </w:rPr>
              <w:t xml:space="preserve">: извештаји Министарства </w:t>
            </w:r>
          </w:p>
        </w:tc>
      </w:tr>
      <w:tr w:rsidR="00DC35D3" w:rsidRPr="0052271C" w14:paraId="52CFD0F7" w14:textId="77777777" w:rsidTr="00D35327">
        <w:trPr>
          <w:trHeight w:val="1728"/>
        </w:trPr>
        <w:tc>
          <w:tcPr>
            <w:tcW w:w="3405" w:type="dxa"/>
            <w:vMerge/>
            <w:tcBorders>
              <w:top w:val="single" w:sz="4" w:space="0" w:color="auto"/>
            </w:tcBorders>
            <w:vAlign w:val="center"/>
          </w:tcPr>
          <w:p w14:paraId="4D8C6FFB" w14:textId="77777777" w:rsidR="00DC35D3" w:rsidRPr="0052271C" w:rsidRDefault="00DC35D3" w:rsidP="00DC35D3">
            <w:pPr>
              <w:rPr>
                <w:rFonts w:eastAsiaTheme="minorHAnsi"/>
                <w:sz w:val="22"/>
                <w:szCs w:val="22"/>
                <w:lang w:val="sr-Cyrl-RS" w:eastAsia="en-US"/>
              </w:rPr>
            </w:pPr>
          </w:p>
        </w:tc>
        <w:tc>
          <w:tcPr>
            <w:tcW w:w="4954" w:type="dxa"/>
            <w:gridSpan w:val="2"/>
            <w:tcBorders>
              <w:top w:val="single" w:sz="4" w:space="0" w:color="auto"/>
            </w:tcBorders>
            <w:vAlign w:val="center"/>
          </w:tcPr>
          <w:p w14:paraId="1FB0D81D" w14:textId="2CAEF679" w:rsidR="00DC35D3" w:rsidRPr="0052271C" w:rsidRDefault="00DC35D3" w:rsidP="00DC35D3">
            <w:pPr>
              <w:pStyle w:val="ListParagraph"/>
              <w:numPr>
                <w:ilvl w:val="1"/>
                <w:numId w:val="24"/>
              </w:numPr>
              <w:ind w:left="459" w:hanging="425"/>
              <w:rPr>
                <w:rFonts w:eastAsiaTheme="minorHAnsi"/>
                <w:szCs w:val="22"/>
                <w:lang w:val="sr-Cyrl-RS"/>
              </w:rPr>
            </w:pPr>
            <w:r w:rsidRPr="0052271C">
              <w:rPr>
                <w:rFonts w:ascii="Times New Roman" w:eastAsiaTheme="minorHAnsi" w:hAnsi="Times New Roman"/>
                <w:szCs w:val="22"/>
                <w:lang w:val="sr-Cyrl-RS"/>
              </w:rPr>
              <w:t>Креирање политике обелодањивања информација ПСРС</w:t>
            </w:r>
          </w:p>
        </w:tc>
        <w:tc>
          <w:tcPr>
            <w:tcW w:w="6237" w:type="dxa"/>
            <w:vAlign w:val="center"/>
          </w:tcPr>
          <w:p w14:paraId="5E5F8189" w14:textId="45DBAD0F" w:rsidR="00DC35D3" w:rsidRPr="0052271C" w:rsidRDefault="00DC35D3" w:rsidP="00DC35D3">
            <w:pPr>
              <w:rPr>
                <w:rFonts w:eastAsiaTheme="minorHAnsi"/>
                <w:sz w:val="22"/>
                <w:szCs w:val="22"/>
                <w:lang w:val="sr-Cyrl-RS" w:eastAsia="en-US"/>
              </w:rPr>
            </w:pPr>
            <w:r w:rsidRPr="0052271C">
              <w:rPr>
                <w:rFonts w:eastAsiaTheme="minorHAnsi"/>
                <w:sz w:val="22"/>
                <w:szCs w:val="22"/>
                <w:lang w:val="sr-Cyrl-RS" w:eastAsia="en-US"/>
              </w:rPr>
              <w:t>Проценат ПСРС кој</w:t>
            </w:r>
            <w:r w:rsidR="00143B28" w:rsidRPr="0052271C">
              <w:rPr>
                <w:rFonts w:eastAsiaTheme="minorHAnsi"/>
                <w:sz w:val="22"/>
                <w:szCs w:val="22"/>
                <w:lang w:val="sr-Cyrl-RS" w:eastAsia="en-US"/>
              </w:rPr>
              <w:t>и</w:t>
            </w:r>
            <w:r w:rsidRPr="0052271C">
              <w:rPr>
                <w:rFonts w:eastAsiaTheme="minorHAnsi"/>
                <w:sz w:val="22"/>
                <w:szCs w:val="22"/>
                <w:lang w:val="sr-Cyrl-RS" w:eastAsia="en-US"/>
              </w:rPr>
              <w:t xml:space="preserve"> јавно објављују прописане информације и документа</w:t>
            </w:r>
          </w:p>
          <w:p w14:paraId="10F95D08" w14:textId="77777777" w:rsidR="00DC35D3" w:rsidRPr="0052271C" w:rsidRDefault="00DC35D3" w:rsidP="00DC35D3">
            <w:pPr>
              <w:rPr>
                <w:rFonts w:eastAsiaTheme="minorHAnsi"/>
                <w:sz w:val="22"/>
                <w:szCs w:val="22"/>
                <w:lang w:val="sr-Cyrl-RS" w:eastAsia="en-US"/>
              </w:rPr>
            </w:pPr>
            <w:r w:rsidRPr="0052271C">
              <w:rPr>
                <w:rFonts w:eastAsiaTheme="minorHAnsi"/>
                <w:sz w:val="22"/>
                <w:szCs w:val="22"/>
                <w:lang w:val="sr-Cyrl-RS" w:eastAsia="en-US"/>
              </w:rPr>
              <w:t>(почетна вредност 2020: недоступни подаци, циљна вредност 2025: 100%)</w:t>
            </w:r>
          </w:p>
          <w:p w14:paraId="4972C3D6" w14:textId="7AED3F65" w:rsidR="00DC35D3" w:rsidRPr="0052271C" w:rsidRDefault="00986106" w:rsidP="008571BC">
            <w:pPr>
              <w:rPr>
                <w:rFonts w:eastAsiaTheme="minorHAnsi"/>
                <w:sz w:val="22"/>
                <w:szCs w:val="22"/>
                <w:lang w:val="sr-Cyrl-RS" w:eastAsia="en-US"/>
              </w:rPr>
            </w:pPr>
            <w:r w:rsidRPr="0052271C">
              <w:rPr>
                <w:rFonts w:eastAsiaTheme="minorHAnsi"/>
                <w:sz w:val="22"/>
                <w:szCs w:val="22"/>
                <w:lang w:val="sr-Cyrl-RS" w:eastAsia="en-US"/>
              </w:rPr>
              <w:t>Извор</w:t>
            </w:r>
            <w:r w:rsidR="00DC35D3" w:rsidRPr="0052271C">
              <w:rPr>
                <w:rFonts w:eastAsiaTheme="minorHAnsi"/>
                <w:sz w:val="22"/>
                <w:szCs w:val="22"/>
                <w:lang w:val="sr-Cyrl-RS" w:eastAsia="en-US"/>
              </w:rPr>
              <w:t xml:space="preserve">: интернет странице ПСРС и извештаји Министарства </w:t>
            </w:r>
          </w:p>
        </w:tc>
      </w:tr>
      <w:tr w:rsidR="00DC35D3" w:rsidRPr="0052271C" w14:paraId="455F9499" w14:textId="77777777" w:rsidTr="00D35327">
        <w:trPr>
          <w:trHeight w:val="1223"/>
        </w:trPr>
        <w:tc>
          <w:tcPr>
            <w:tcW w:w="3405" w:type="dxa"/>
            <w:vMerge/>
            <w:tcBorders>
              <w:top w:val="nil"/>
            </w:tcBorders>
            <w:vAlign w:val="center"/>
          </w:tcPr>
          <w:p w14:paraId="099086F9" w14:textId="77777777" w:rsidR="00DC35D3" w:rsidRPr="0052271C" w:rsidRDefault="00DC35D3" w:rsidP="00DC35D3">
            <w:pPr>
              <w:rPr>
                <w:rFonts w:eastAsiaTheme="minorHAnsi"/>
                <w:sz w:val="22"/>
                <w:szCs w:val="22"/>
                <w:lang w:val="sr-Cyrl-RS" w:eastAsia="en-US"/>
              </w:rPr>
            </w:pPr>
          </w:p>
        </w:tc>
        <w:tc>
          <w:tcPr>
            <w:tcW w:w="4954" w:type="dxa"/>
            <w:gridSpan w:val="2"/>
            <w:vAlign w:val="center"/>
          </w:tcPr>
          <w:p w14:paraId="0896BFE0" w14:textId="178AFEF5" w:rsidR="00DC35D3" w:rsidRPr="0052271C" w:rsidRDefault="00DC35D3" w:rsidP="00DC35D3">
            <w:pPr>
              <w:numPr>
                <w:ilvl w:val="1"/>
                <w:numId w:val="24"/>
              </w:numPr>
              <w:ind w:left="459" w:hanging="425"/>
              <w:contextualSpacing/>
              <w:rPr>
                <w:rFonts w:eastAsiaTheme="minorHAnsi"/>
                <w:sz w:val="22"/>
                <w:szCs w:val="22"/>
                <w:lang w:val="sr-Cyrl-RS" w:eastAsia="en-US"/>
              </w:rPr>
            </w:pPr>
            <w:r w:rsidRPr="0052271C">
              <w:rPr>
                <w:rFonts w:eastAsiaTheme="minorHAnsi"/>
                <w:sz w:val="22"/>
                <w:szCs w:val="22"/>
                <w:lang w:val="sr-Cyrl-RS" w:eastAsia="en-US"/>
              </w:rPr>
              <w:t xml:space="preserve">Дефинисање циљева пословања и кључних </w:t>
            </w:r>
            <w:r w:rsidR="00096E08" w:rsidRPr="0052271C">
              <w:rPr>
                <w:rFonts w:eastAsiaTheme="minorHAnsi"/>
                <w:sz w:val="22"/>
                <w:szCs w:val="22"/>
                <w:lang w:val="sr-Cyrl-RS" w:eastAsia="en-US"/>
              </w:rPr>
              <w:t>показатеља</w:t>
            </w:r>
            <w:r w:rsidRPr="0052271C">
              <w:rPr>
                <w:rFonts w:eastAsiaTheme="minorHAnsi"/>
                <w:sz w:val="22"/>
                <w:szCs w:val="22"/>
                <w:lang w:val="sr-Cyrl-RS" w:eastAsia="en-US"/>
              </w:rPr>
              <w:t xml:space="preserve"> успеха за свак</w:t>
            </w:r>
            <w:r w:rsidR="00143B28" w:rsidRPr="0052271C">
              <w:rPr>
                <w:rFonts w:eastAsiaTheme="minorHAnsi"/>
                <w:sz w:val="22"/>
                <w:szCs w:val="22"/>
                <w:lang w:val="sr-Cyrl-RS" w:eastAsia="en-US"/>
              </w:rPr>
              <w:t>и</w:t>
            </w:r>
            <w:r w:rsidRPr="0052271C">
              <w:rPr>
                <w:rFonts w:eastAsiaTheme="minorHAnsi"/>
                <w:sz w:val="22"/>
                <w:szCs w:val="22"/>
                <w:lang w:val="sr-Cyrl-RS" w:eastAsia="en-US"/>
              </w:rPr>
              <w:t xml:space="preserve"> ПСРС кроз писма очекивања</w:t>
            </w:r>
          </w:p>
        </w:tc>
        <w:tc>
          <w:tcPr>
            <w:tcW w:w="6237" w:type="dxa"/>
            <w:vAlign w:val="center"/>
          </w:tcPr>
          <w:p w14:paraId="1A4B9772" w14:textId="77777777" w:rsidR="00DC35D3" w:rsidRPr="0052271C" w:rsidRDefault="00DC35D3" w:rsidP="00DC35D3">
            <w:pPr>
              <w:rPr>
                <w:rFonts w:eastAsiaTheme="minorHAnsi"/>
                <w:sz w:val="22"/>
                <w:szCs w:val="22"/>
                <w:lang w:val="sr-Cyrl-RS" w:eastAsia="en-US"/>
              </w:rPr>
            </w:pPr>
            <w:r w:rsidRPr="0052271C">
              <w:rPr>
                <w:rFonts w:eastAsiaTheme="minorHAnsi"/>
                <w:sz w:val="22"/>
                <w:szCs w:val="22"/>
                <w:lang w:val="sr-Cyrl-RS" w:eastAsia="en-US"/>
              </w:rPr>
              <w:t>Проценат ПСРС са дефинисаним циљевима и кључним показатељима успеха одређеним у писмима очекивања</w:t>
            </w:r>
          </w:p>
          <w:p w14:paraId="60FDA430" w14:textId="77777777" w:rsidR="00DC35D3" w:rsidRPr="0052271C" w:rsidRDefault="00DC35D3" w:rsidP="00DC35D3">
            <w:pPr>
              <w:rPr>
                <w:rFonts w:eastAsiaTheme="minorHAnsi"/>
                <w:sz w:val="22"/>
                <w:szCs w:val="22"/>
                <w:lang w:val="sr-Cyrl-RS" w:eastAsia="en-US"/>
              </w:rPr>
            </w:pPr>
            <w:r w:rsidRPr="0052271C">
              <w:rPr>
                <w:rFonts w:eastAsiaTheme="minorHAnsi"/>
                <w:sz w:val="22"/>
                <w:szCs w:val="22"/>
                <w:lang w:val="sr-Cyrl-RS" w:eastAsia="en-US"/>
              </w:rPr>
              <w:t>(почетна вредност 2020:0, циљна вредност 2027:100%)</w:t>
            </w:r>
          </w:p>
          <w:p w14:paraId="455E152F" w14:textId="157D71A7" w:rsidR="00DC35D3" w:rsidRPr="0052271C" w:rsidRDefault="00986106" w:rsidP="008571BC">
            <w:pPr>
              <w:rPr>
                <w:rFonts w:eastAsiaTheme="minorHAnsi"/>
                <w:sz w:val="22"/>
                <w:szCs w:val="22"/>
                <w:lang w:val="sr-Cyrl-RS" w:eastAsia="en-US"/>
              </w:rPr>
            </w:pPr>
            <w:r w:rsidRPr="0052271C">
              <w:rPr>
                <w:rFonts w:eastAsiaTheme="minorHAnsi"/>
                <w:sz w:val="22"/>
                <w:szCs w:val="22"/>
                <w:lang w:val="sr-Cyrl-RS" w:eastAsia="en-US"/>
              </w:rPr>
              <w:t>Извор</w:t>
            </w:r>
            <w:r w:rsidR="00DC35D3" w:rsidRPr="0052271C">
              <w:rPr>
                <w:rFonts w:eastAsiaTheme="minorHAnsi"/>
                <w:sz w:val="22"/>
                <w:szCs w:val="22"/>
                <w:lang w:val="sr-Cyrl-RS" w:eastAsia="en-US"/>
              </w:rPr>
              <w:t>: и</w:t>
            </w:r>
            <w:r w:rsidR="00C967C8" w:rsidRPr="0052271C">
              <w:rPr>
                <w:rFonts w:eastAsiaTheme="minorHAnsi"/>
                <w:sz w:val="22"/>
                <w:szCs w:val="22"/>
                <w:lang w:val="sr-Cyrl-RS" w:eastAsia="en-US"/>
              </w:rPr>
              <w:t>звештаји Министарства)</w:t>
            </w:r>
          </w:p>
        </w:tc>
      </w:tr>
      <w:tr w:rsidR="00DC35D3" w:rsidRPr="0052271C" w14:paraId="58B6AA93" w14:textId="77777777" w:rsidTr="00D35327">
        <w:trPr>
          <w:trHeight w:val="1309"/>
        </w:trPr>
        <w:tc>
          <w:tcPr>
            <w:tcW w:w="3405" w:type="dxa"/>
            <w:vMerge/>
            <w:tcBorders>
              <w:top w:val="nil"/>
            </w:tcBorders>
            <w:vAlign w:val="center"/>
          </w:tcPr>
          <w:p w14:paraId="7ED49A54" w14:textId="77777777" w:rsidR="00DC35D3" w:rsidRPr="0052271C" w:rsidRDefault="00DC35D3" w:rsidP="00DC35D3">
            <w:pPr>
              <w:rPr>
                <w:rFonts w:eastAsiaTheme="minorHAnsi"/>
                <w:sz w:val="22"/>
                <w:szCs w:val="22"/>
                <w:lang w:val="sr-Cyrl-RS" w:eastAsia="en-US"/>
              </w:rPr>
            </w:pPr>
          </w:p>
        </w:tc>
        <w:tc>
          <w:tcPr>
            <w:tcW w:w="4954" w:type="dxa"/>
            <w:gridSpan w:val="2"/>
            <w:vAlign w:val="center"/>
          </w:tcPr>
          <w:p w14:paraId="3D31862C" w14:textId="1972DC89" w:rsidR="00DC35D3" w:rsidRPr="0052271C" w:rsidRDefault="00DC35D3" w:rsidP="00DC35D3">
            <w:pPr>
              <w:numPr>
                <w:ilvl w:val="1"/>
                <w:numId w:val="24"/>
              </w:numPr>
              <w:ind w:left="459" w:hanging="425"/>
              <w:contextualSpacing/>
              <w:rPr>
                <w:rFonts w:eastAsiaTheme="minorHAnsi"/>
                <w:sz w:val="22"/>
                <w:szCs w:val="22"/>
                <w:lang w:val="sr-Cyrl-RS" w:eastAsia="en-US"/>
              </w:rPr>
            </w:pPr>
            <w:r w:rsidRPr="0052271C">
              <w:rPr>
                <w:rFonts w:eastAsiaTheme="minorHAnsi"/>
                <w:sz w:val="22"/>
                <w:szCs w:val="22"/>
                <w:lang w:val="sr-Cyrl-RS" w:eastAsia="en-US"/>
              </w:rPr>
              <w:t xml:space="preserve">Одређивање критеријума за дефинисање зарада / накнада према </w:t>
            </w:r>
            <w:r w:rsidR="00096E08" w:rsidRPr="0052271C">
              <w:rPr>
                <w:rFonts w:eastAsiaTheme="minorHAnsi"/>
                <w:sz w:val="22"/>
                <w:szCs w:val="22"/>
                <w:lang w:val="sr-Cyrl-RS" w:eastAsia="en-US"/>
              </w:rPr>
              <w:t>учинцима</w:t>
            </w:r>
            <w:r w:rsidRPr="0052271C">
              <w:rPr>
                <w:rFonts w:eastAsiaTheme="minorHAnsi"/>
                <w:sz w:val="22"/>
                <w:szCs w:val="22"/>
                <w:lang w:val="sr-Cyrl-RS" w:eastAsia="en-US"/>
              </w:rPr>
              <w:t xml:space="preserve"> и осталим показатељима </w:t>
            </w:r>
          </w:p>
        </w:tc>
        <w:tc>
          <w:tcPr>
            <w:tcW w:w="6237" w:type="dxa"/>
            <w:vAlign w:val="center"/>
          </w:tcPr>
          <w:p w14:paraId="2FF510FD" w14:textId="54064535" w:rsidR="00DC35D3" w:rsidRPr="0052271C" w:rsidRDefault="00DC35D3" w:rsidP="00DC35D3">
            <w:pPr>
              <w:rPr>
                <w:rFonts w:eastAsiaTheme="minorHAnsi"/>
                <w:sz w:val="22"/>
                <w:szCs w:val="22"/>
                <w:lang w:val="sr-Cyrl-RS" w:eastAsia="en-US"/>
              </w:rPr>
            </w:pPr>
            <w:r w:rsidRPr="0052271C">
              <w:rPr>
                <w:rFonts w:eastAsiaTheme="minorHAnsi"/>
                <w:sz w:val="22"/>
                <w:szCs w:val="22"/>
                <w:lang w:val="sr-Cyrl-RS" w:eastAsia="en-US"/>
              </w:rPr>
              <w:t xml:space="preserve">Израђени критеријуми за дефинисање зарада / накнада према </w:t>
            </w:r>
            <w:r w:rsidR="00096E08" w:rsidRPr="0052271C">
              <w:rPr>
                <w:rFonts w:eastAsiaTheme="minorHAnsi"/>
                <w:sz w:val="22"/>
                <w:szCs w:val="22"/>
                <w:lang w:val="sr-Cyrl-RS" w:eastAsia="en-US"/>
              </w:rPr>
              <w:t>учинцима</w:t>
            </w:r>
            <w:r w:rsidRPr="0052271C">
              <w:rPr>
                <w:rFonts w:eastAsiaTheme="minorHAnsi"/>
                <w:sz w:val="22"/>
                <w:szCs w:val="22"/>
                <w:lang w:val="sr-Cyrl-RS" w:eastAsia="en-US"/>
              </w:rPr>
              <w:t xml:space="preserve"> и осталим показатељима</w:t>
            </w:r>
          </w:p>
          <w:p w14:paraId="67998CEE" w14:textId="73D058C2" w:rsidR="00DC35D3" w:rsidRPr="0052271C" w:rsidRDefault="00DC35D3" w:rsidP="00DC35D3">
            <w:pPr>
              <w:rPr>
                <w:rFonts w:eastAsiaTheme="minorHAnsi"/>
                <w:sz w:val="22"/>
                <w:szCs w:val="22"/>
                <w:lang w:val="sr-Cyrl-RS" w:eastAsia="en-US"/>
              </w:rPr>
            </w:pPr>
            <w:r w:rsidRPr="0052271C">
              <w:rPr>
                <w:rFonts w:eastAsiaTheme="minorHAnsi"/>
                <w:sz w:val="22"/>
                <w:szCs w:val="22"/>
                <w:lang w:val="sr-Cyrl-RS" w:eastAsia="en-US"/>
              </w:rPr>
              <w:t>(почетна вредност 2020: не, циљна вредност 2025: да)</w:t>
            </w:r>
          </w:p>
          <w:p w14:paraId="08C06A32" w14:textId="537C093C" w:rsidR="00DC35D3" w:rsidRPr="0052271C" w:rsidRDefault="00986106" w:rsidP="008571BC">
            <w:pPr>
              <w:rPr>
                <w:rFonts w:eastAsiaTheme="minorHAnsi"/>
                <w:sz w:val="22"/>
                <w:szCs w:val="22"/>
                <w:lang w:val="sr-Cyrl-RS" w:eastAsia="en-US"/>
              </w:rPr>
            </w:pPr>
            <w:r w:rsidRPr="0052271C">
              <w:rPr>
                <w:rFonts w:eastAsiaTheme="minorHAnsi"/>
                <w:sz w:val="22"/>
                <w:szCs w:val="22"/>
                <w:lang w:val="sr-Cyrl-RS" w:eastAsia="en-US"/>
              </w:rPr>
              <w:t>Извор</w:t>
            </w:r>
            <w:r w:rsidR="00DC35D3" w:rsidRPr="0052271C">
              <w:rPr>
                <w:rFonts w:eastAsiaTheme="minorHAnsi"/>
                <w:sz w:val="22"/>
                <w:szCs w:val="22"/>
                <w:lang w:val="sr-Cyrl-RS" w:eastAsia="en-US"/>
              </w:rPr>
              <w:t xml:space="preserve">: Министарство </w:t>
            </w:r>
          </w:p>
        </w:tc>
      </w:tr>
      <w:tr w:rsidR="00DC35D3" w:rsidRPr="0052271C" w14:paraId="0D4E4A56" w14:textId="77777777" w:rsidTr="00D35327">
        <w:trPr>
          <w:trHeight w:val="1071"/>
        </w:trPr>
        <w:tc>
          <w:tcPr>
            <w:tcW w:w="3405" w:type="dxa"/>
            <w:vMerge/>
            <w:tcBorders>
              <w:top w:val="nil"/>
            </w:tcBorders>
            <w:vAlign w:val="center"/>
          </w:tcPr>
          <w:p w14:paraId="72BA9BE5" w14:textId="77777777" w:rsidR="00DC35D3" w:rsidRPr="0052271C" w:rsidRDefault="00DC35D3" w:rsidP="00DC35D3">
            <w:pPr>
              <w:rPr>
                <w:rFonts w:eastAsiaTheme="minorHAnsi"/>
                <w:sz w:val="22"/>
                <w:szCs w:val="22"/>
                <w:lang w:val="sr-Cyrl-RS" w:eastAsia="en-US"/>
              </w:rPr>
            </w:pPr>
          </w:p>
        </w:tc>
        <w:tc>
          <w:tcPr>
            <w:tcW w:w="4954" w:type="dxa"/>
            <w:gridSpan w:val="2"/>
            <w:vAlign w:val="center"/>
          </w:tcPr>
          <w:p w14:paraId="7BFB9FDE" w14:textId="77777777" w:rsidR="00DC35D3" w:rsidRPr="0052271C" w:rsidRDefault="00DC35D3" w:rsidP="00DC35D3">
            <w:pPr>
              <w:numPr>
                <w:ilvl w:val="1"/>
                <w:numId w:val="24"/>
              </w:numPr>
              <w:ind w:left="459" w:hanging="425"/>
              <w:contextualSpacing/>
              <w:rPr>
                <w:rFonts w:eastAsiaTheme="minorHAnsi"/>
                <w:sz w:val="22"/>
                <w:szCs w:val="22"/>
                <w:lang w:val="sr-Cyrl-RS" w:eastAsia="en-US"/>
              </w:rPr>
            </w:pPr>
            <w:r w:rsidRPr="0052271C">
              <w:rPr>
                <w:rFonts w:eastAsiaTheme="minorHAnsi"/>
                <w:sz w:val="22"/>
                <w:szCs w:val="22"/>
                <w:lang w:val="sr-Cyrl-RS" w:eastAsia="en-US"/>
              </w:rPr>
              <w:t>Успостављање централизованих база података које прате корпоративно управљање</w:t>
            </w:r>
          </w:p>
        </w:tc>
        <w:tc>
          <w:tcPr>
            <w:tcW w:w="6237" w:type="dxa"/>
            <w:vAlign w:val="center"/>
          </w:tcPr>
          <w:p w14:paraId="7F30F544" w14:textId="77777777" w:rsidR="00DC35D3" w:rsidRPr="0052271C" w:rsidRDefault="00DC35D3" w:rsidP="00DC35D3">
            <w:pPr>
              <w:rPr>
                <w:rFonts w:eastAsiaTheme="minorHAnsi"/>
                <w:sz w:val="22"/>
                <w:szCs w:val="22"/>
                <w:lang w:val="sr-Cyrl-RS" w:eastAsia="en-US"/>
              </w:rPr>
            </w:pPr>
            <w:r w:rsidRPr="0052271C">
              <w:rPr>
                <w:rFonts w:eastAsiaTheme="minorHAnsi"/>
                <w:sz w:val="22"/>
                <w:szCs w:val="22"/>
                <w:lang w:val="sr-Cyrl-RS" w:eastAsia="en-US"/>
              </w:rPr>
              <w:t>Успостављене базе података из области корпоративног управљања</w:t>
            </w:r>
          </w:p>
          <w:p w14:paraId="143E2805" w14:textId="77777777" w:rsidR="00DC35D3" w:rsidRPr="0052271C" w:rsidRDefault="00DC35D3" w:rsidP="00DC35D3">
            <w:pPr>
              <w:rPr>
                <w:rFonts w:eastAsiaTheme="minorHAnsi"/>
                <w:sz w:val="22"/>
                <w:szCs w:val="22"/>
                <w:lang w:val="sr-Cyrl-RS" w:eastAsia="en-US"/>
              </w:rPr>
            </w:pPr>
            <w:r w:rsidRPr="0052271C">
              <w:rPr>
                <w:rFonts w:eastAsiaTheme="minorHAnsi"/>
                <w:sz w:val="22"/>
                <w:szCs w:val="22"/>
                <w:lang w:val="sr-Cyrl-RS" w:eastAsia="en-US"/>
              </w:rPr>
              <w:t>(почетна вредност 2020: не, циљна вредност 2025: да)</w:t>
            </w:r>
          </w:p>
          <w:p w14:paraId="2F91F41A" w14:textId="660DF59D" w:rsidR="00DC35D3" w:rsidRPr="0052271C" w:rsidRDefault="00986106" w:rsidP="008571BC">
            <w:pPr>
              <w:rPr>
                <w:rFonts w:eastAsiaTheme="minorHAnsi"/>
                <w:sz w:val="22"/>
                <w:szCs w:val="22"/>
                <w:lang w:val="sr-Cyrl-RS" w:eastAsia="en-US"/>
              </w:rPr>
            </w:pPr>
            <w:r w:rsidRPr="0052271C">
              <w:rPr>
                <w:rFonts w:eastAsiaTheme="minorHAnsi"/>
                <w:sz w:val="22"/>
                <w:szCs w:val="22"/>
                <w:lang w:val="sr-Cyrl-RS" w:eastAsia="en-US"/>
              </w:rPr>
              <w:t>Извор</w:t>
            </w:r>
            <w:r w:rsidR="00DC35D3" w:rsidRPr="0052271C">
              <w:rPr>
                <w:rFonts w:eastAsiaTheme="minorHAnsi"/>
                <w:sz w:val="22"/>
                <w:szCs w:val="22"/>
                <w:lang w:val="sr-Cyrl-RS" w:eastAsia="en-US"/>
              </w:rPr>
              <w:t xml:space="preserve">: извештаји Министарства </w:t>
            </w:r>
          </w:p>
        </w:tc>
      </w:tr>
      <w:tr w:rsidR="00DC35D3" w:rsidRPr="0052271C" w14:paraId="4DAD966B" w14:textId="77777777" w:rsidTr="00197194">
        <w:trPr>
          <w:trHeight w:val="846"/>
        </w:trPr>
        <w:tc>
          <w:tcPr>
            <w:tcW w:w="3405" w:type="dxa"/>
            <w:vMerge/>
            <w:tcBorders>
              <w:top w:val="nil"/>
            </w:tcBorders>
            <w:vAlign w:val="center"/>
          </w:tcPr>
          <w:p w14:paraId="0F868443" w14:textId="77777777" w:rsidR="00DC35D3" w:rsidRPr="0052271C" w:rsidRDefault="00DC35D3" w:rsidP="00DC35D3">
            <w:pPr>
              <w:rPr>
                <w:rFonts w:eastAsiaTheme="minorHAnsi"/>
                <w:sz w:val="22"/>
                <w:szCs w:val="22"/>
                <w:lang w:val="sr-Cyrl-RS" w:eastAsia="en-US"/>
              </w:rPr>
            </w:pPr>
          </w:p>
        </w:tc>
        <w:tc>
          <w:tcPr>
            <w:tcW w:w="4954" w:type="dxa"/>
            <w:gridSpan w:val="2"/>
            <w:vAlign w:val="center"/>
          </w:tcPr>
          <w:p w14:paraId="368CA89A" w14:textId="3B7AD6B9" w:rsidR="00DC35D3" w:rsidRPr="0052271C" w:rsidRDefault="00DC35D3" w:rsidP="008571BC">
            <w:pPr>
              <w:numPr>
                <w:ilvl w:val="1"/>
                <w:numId w:val="24"/>
              </w:numPr>
              <w:ind w:left="459" w:hanging="425"/>
              <w:contextualSpacing/>
              <w:rPr>
                <w:rFonts w:eastAsiaTheme="minorHAnsi"/>
                <w:sz w:val="22"/>
                <w:szCs w:val="22"/>
                <w:lang w:val="sr-Cyrl-RS" w:eastAsia="en-US"/>
              </w:rPr>
            </w:pPr>
            <w:r w:rsidRPr="0052271C">
              <w:rPr>
                <w:rFonts w:eastAsiaTheme="minorHAnsi"/>
                <w:sz w:val="22"/>
                <w:szCs w:val="22"/>
                <w:lang w:val="sr-Cyrl-RS" w:eastAsia="en-US"/>
              </w:rPr>
              <w:t>Јачање и усавршавање кадровских капацитета Министарства из области корпоративног управљања</w:t>
            </w:r>
          </w:p>
        </w:tc>
        <w:tc>
          <w:tcPr>
            <w:tcW w:w="6237" w:type="dxa"/>
            <w:vAlign w:val="center"/>
          </w:tcPr>
          <w:p w14:paraId="4D2CE081" w14:textId="77777777" w:rsidR="00DC35D3" w:rsidRPr="0052271C" w:rsidRDefault="00DC35D3" w:rsidP="00DC35D3">
            <w:pPr>
              <w:rPr>
                <w:rFonts w:eastAsiaTheme="minorHAnsi"/>
                <w:sz w:val="22"/>
                <w:szCs w:val="22"/>
                <w:lang w:val="sr-Cyrl-RS" w:eastAsia="en-US"/>
              </w:rPr>
            </w:pPr>
          </w:p>
        </w:tc>
      </w:tr>
    </w:tbl>
    <w:p w14:paraId="177073BF" w14:textId="77777777" w:rsidR="001F32A0" w:rsidRPr="0052271C" w:rsidRDefault="001F32A0" w:rsidP="001F32A0">
      <w:pPr>
        <w:spacing w:after="160" w:line="259" w:lineRule="auto"/>
        <w:ind w:firstLine="567"/>
        <w:jc w:val="both"/>
        <w:rPr>
          <w:rFonts w:eastAsiaTheme="minorHAnsi"/>
          <w:lang w:val="sr-Cyrl-RS" w:eastAsia="en-US"/>
        </w:rPr>
      </w:pPr>
    </w:p>
    <w:p w14:paraId="501516F1" w14:textId="77777777" w:rsidR="001F32A0" w:rsidRPr="0052271C" w:rsidRDefault="001F32A0" w:rsidP="001F32A0">
      <w:pPr>
        <w:spacing w:after="160" w:line="259" w:lineRule="auto"/>
        <w:ind w:firstLine="567"/>
        <w:jc w:val="both"/>
        <w:rPr>
          <w:rFonts w:eastAsiaTheme="minorHAnsi"/>
          <w:lang w:val="sr-Cyrl-RS" w:eastAsia="en-US"/>
        </w:rPr>
      </w:pPr>
    </w:p>
    <w:p w14:paraId="23D07E60" w14:textId="77777777" w:rsidR="001F32A0" w:rsidRPr="0052271C" w:rsidRDefault="001F32A0" w:rsidP="00257C22">
      <w:pPr>
        <w:spacing w:after="160" w:line="259" w:lineRule="auto"/>
        <w:jc w:val="both"/>
        <w:rPr>
          <w:rFonts w:eastAsiaTheme="minorHAnsi"/>
          <w:lang w:val="sr-Cyrl-RS" w:eastAsia="en-US"/>
        </w:rPr>
        <w:sectPr w:rsidR="001F32A0" w:rsidRPr="0052271C" w:rsidSect="00A57C06">
          <w:pgSz w:w="16839" w:h="11907" w:orient="landscape" w:code="9"/>
          <w:pgMar w:top="1440" w:right="1440" w:bottom="1418" w:left="1440" w:header="0" w:footer="113" w:gutter="0"/>
          <w:cols w:space="708"/>
          <w:docGrid w:linePitch="360"/>
        </w:sectPr>
      </w:pPr>
    </w:p>
    <w:p w14:paraId="108CE6EB" w14:textId="275D0ABF" w:rsidR="001F32A0" w:rsidRPr="0052271C" w:rsidRDefault="001D1104" w:rsidP="001D1104">
      <w:pPr>
        <w:pStyle w:val="Heading1"/>
        <w:numPr>
          <w:ilvl w:val="0"/>
          <w:numId w:val="26"/>
        </w:numPr>
        <w:tabs>
          <w:tab w:val="left" w:pos="567"/>
        </w:tabs>
        <w:spacing w:line="276" w:lineRule="auto"/>
        <w:ind w:left="0" w:firstLine="0"/>
        <w:jc w:val="center"/>
        <w:rPr>
          <w:rFonts w:ascii="Times New Roman" w:hAnsi="Times New Roman"/>
          <w:b w:val="0"/>
          <w:sz w:val="24"/>
          <w:szCs w:val="24"/>
          <w:lang w:val="sr-Cyrl-RS"/>
        </w:rPr>
      </w:pPr>
      <w:bookmarkStart w:id="65" w:name="_Toc63452468"/>
      <w:bookmarkStart w:id="66" w:name="_Toc63587103"/>
      <w:r w:rsidRPr="0052271C">
        <w:rPr>
          <w:rFonts w:ascii="Times New Roman" w:hAnsi="Times New Roman"/>
          <w:b w:val="0"/>
          <w:sz w:val="24"/>
          <w:szCs w:val="24"/>
          <w:lang w:val="sr-Cyrl-RS"/>
        </w:rPr>
        <w:lastRenderedPageBreak/>
        <w:t>МЕХАНИЗАМ ЗА СПРОВОЂЕЊЕ, ПРАЋЕЊЕ СПРОВОЂЕЊА, ИЗВЕШТАВАЊЕ И ВРЕДНОВАЊЕ</w:t>
      </w:r>
      <w:bookmarkEnd w:id="65"/>
      <w:bookmarkEnd w:id="66"/>
    </w:p>
    <w:p w14:paraId="3771F95C" w14:textId="05397EA4" w:rsidR="001D1104" w:rsidRPr="0052271C" w:rsidRDefault="001D1104" w:rsidP="001D1104">
      <w:pPr>
        <w:rPr>
          <w:lang w:val="sr-Cyrl-RS"/>
        </w:rPr>
      </w:pPr>
    </w:p>
    <w:p w14:paraId="09BC0BC9" w14:textId="77777777" w:rsidR="001D1104" w:rsidRPr="0052271C" w:rsidRDefault="001D1104" w:rsidP="001D1104">
      <w:pPr>
        <w:rPr>
          <w:lang w:val="sr-Cyrl-RS"/>
        </w:rPr>
      </w:pPr>
    </w:p>
    <w:p w14:paraId="08838823" w14:textId="728C4F3F" w:rsidR="001F32A0" w:rsidRPr="0052271C" w:rsidRDefault="001F32A0" w:rsidP="001F32A0">
      <w:pPr>
        <w:spacing w:after="160" w:line="276" w:lineRule="auto"/>
        <w:ind w:firstLine="573"/>
        <w:jc w:val="both"/>
        <w:rPr>
          <w:rFonts w:eastAsiaTheme="minorHAnsi"/>
          <w:lang w:val="sr-Cyrl-RS" w:eastAsia="en-US"/>
        </w:rPr>
      </w:pPr>
      <w:r w:rsidRPr="0052271C">
        <w:rPr>
          <w:rFonts w:eastAsiaTheme="minorHAnsi"/>
          <w:lang w:val="sr-Cyrl-RS" w:eastAsia="en-US"/>
        </w:rPr>
        <w:t>Надлежни орган за спровођење Стратегије је Министарство, које ће координисати и све друге институције укључене у процес спровођења ове стратегије.</w:t>
      </w:r>
    </w:p>
    <w:p w14:paraId="390A541F" w14:textId="72A7D076" w:rsidR="001F32A0" w:rsidRPr="0052271C" w:rsidRDefault="001F32A0" w:rsidP="001F32A0">
      <w:pPr>
        <w:spacing w:after="160" w:line="276" w:lineRule="auto"/>
        <w:ind w:firstLine="573"/>
        <w:jc w:val="both"/>
        <w:rPr>
          <w:rFonts w:eastAsiaTheme="minorHAnsi"/>
          <w:lang w:val="sr-Cyrl-RS" w:eastAsia="en-US"/>
        </w:rPr>
      </w:pPr>
      <w:r w:rsidRPr="0052271C">
        <w:rPr>
          <w:lang w:val="sr-Cyrl-RS"/>
        </w:rPr>
        <w:t>У року од 90 дана од доношења Стратегије, предвиђено је усвајањ</w:t>
      </w:r>
      <w:r w:rsidR="00351F44" w:rsidRPr="0052271C">
        <w:rPr>
          <w:lang w:val="sr-Cyrl-RS"/>
        </w:rPr>
        <w:t>е а</w:t>
      </w:r>
      <w:r w:rsidRPr="0052271C">
        <w:rPr>
          <w:lang w:val="sr-Cyrl-RS"/>
        </w:rPr>
        <w:t xml:space="preserve">кционог плана. Акционим планом ће бити дефинисане конкретне мере и активности које ће се предузети ради обезбеђења услова да се циљеви Стратегије реализују, одређени носиоци и партнери за спровођење тих мера и активности, дефинисани њихови показатељи, као и рокови и средства за њихово спровођење. </w:t>
      </w:r>
    </w:p>
    <w:p w14:paraId="5C4A05F2" w14:textId="2CFD18AD" w:rsidR="001F32A0" w:rsidRPr="0052271C" w:rsidRDefault="001F32A0" w:rsidP="001F32A0">
      <w:pPr>
        <w:spacing w:before="100" w:beforeAutospacing="1" w:after="100" w:afterAutospacing="1" w:line="276" w:lineRule="auto"/>
        <w:ind w:firstLine="573"/>
        <w:jc w:val="both"/>
        <w:rPr>
          <w:lang w:val="sr-Cyrl-RS" w:eastAsia="en-US"/>
        </w:rPr>
      </w:pPr>
      <w:r w:rsidRPr="0052271C">
        <w:rPr>
          <w:lang w:val="sr-Cyrl-RS" w:eastAsia="en-US"/>
        </w:rPr>
        <w:t xml:space="preserve">Финансијски ефекти </w:t>
      </w:r>
      <w:r w:rsidR="000E3533" w:rsidRPr="0052271C">
        <w:rPr>
          <w:lang w:val="sr-Cyrl-RS" w:eastAsia="en-US"/>
        </w:rPr>
        <w:t>спровођења</w:t>
      </w:r>
      <w:r w:rsidRPr="0052271C">
        <w:rPr>
          <w:lang w:val="sr-Cyrl-RS" w:eastAsia="en-US"/>
        </w:rPr>
        <w:t xml:space="preserve"> </w:t>
      </w:r>
      <w:r w:rsidR="00351F44" w:rsidRPr="0052271C">
        <w:rPr>
          <w:lang w:val="sr-Cyrl-RS" w:eastAsia="en-US"/>
        </w:rPr>
        <w:t>Стратегије биће детаљно дати у а</w:t>
      </w:r>
      <w:r w:rsidRPr="0052271C">
        <w:rPr>
          <w:lang w:val="sr-Cyrl-RS" w:eastAsia="en-US"/>
        </w:rPr>
        <w:t>кционом плану</w:t>
      </w:r>
      <w:r w:rsidR="00351F44" w:rsidRPr="0052271C">
        <w:rPr>
          <w:lang w:val="sr-Cyrl-RS" w:eastAsia="en-US"/>
        </w:rPr>
        <w:t>, а за спровођење Стратегије и а</w:t>
      </w:r>
      <w:r w:rsidRPr="0052271C">
        <w:rPr>
          <w:lang w:val="sr-Cyrl-RS" w:eastAsia="en-US"/>
        </w:rPr>
        <w:t>кционо</w:t>
      </w:r>
      <w:r w:rsidR="00351F44" w:rsidRPr="0052271C">
        <w:rPr>
          <w:lang w:val="sr-Cyrl-RS" w:eastAsia="en-US"/>
        </w:rPr>
        <w:t xml:space="preserve">г плана обезбедиће се средства </w:t>
      </w:r>
      <w:r w:rsidRPr="0052271C">
        <w:rPr>
          <w:lang w:val="sr-Cyrl-RS" w:eastAsia="en-US"/>
        </w:rPr>
        <w:t>из буџ</w:t>
      </w:r>
      <w:r w:rsidR="00351F44" w:rsidRPr="0052271C">
        <w:rPr>
          <w:lang w:val="sr-Cyrl-RS" w:eastAsia="en-US"/>
        </w:rPr>
        <w:t>ета Републике Србије</w:t>
      </w:r>
      <w:r w:rsidR="001352F2" w:rsidRPr="0052271C">
        <w:rPr>
          <w:lang w:val="sr-Cyrl-RS" w:eastAsia="en-US"/>
        </w:rPr>
        <w:t xml:space="preserve"> и из других извора</w:t>
      </w:r>
      <w:r w:rsidRPr="0052271C">
        <w:rPr>
          <w:lang w:val="sr-Cyrl-RS" w:eastAsia="en-US"/>
        </w:rPr>
        <w:t xml:space="preserve">. </w:t>
      </w:r>
    </w:p>
    <w:p w14:paraId="1ED30935" w14:textId="53F227C4" w:rsidR="001F32A0" w:rsidRPr="0052271C" w:rsidRDefault="001F32A0" w:rsidP="001F32A0">
      <w:pPr>
        <w:spacing w:before="100" w:beforeAutospacing="1" w:after="100" w:afterAutospacing="1" w:line="276" w:lineRule="auto"/>
        <w:ind w:firstLine="573"/>
        <w:jc w:val="both"/>
        <w:rPr>
          <w:lang w:val="sr-Cyrl-RS" w:eastAsia="en-US"/>
        </w:rPr>
      </w:pPr>
      <w:r w:rsidRPr="0052271C">
        <w:rPr>
          <w:lang w:val="sr-Cyrl-RS" w:eastAsia="en-US"/>
        </w:rPr>
        <w:t xml:space="preserve">Сви органи, односно институције са којима ће Министарство сарађивати имају обавезу да писмено извештавају Министарство на годишњем нивоу о реализацији, односно о евентуалним проблемима са којима се суочавају. </w:t>
      </w:r>
    </w:p>
    <w:p w14:paraId="2114E623" w14:textId="1D62A897" w:rsidR="001F32A0" w:rsidRPr="0052271C" w:rsidRDefault="001F32A0" w:rsidP="001F32A0">
      <w:pPr>
        <w:spacing w:before="100" w:beforeAutospacing="1" w:after="100" w:afterAutospacing="1" w:line="276" w:lineRule="auto"/>
        <w:ind w:firstLine="573"/>
        <w:jc w:val="both"/>
        <w:rPr>
          <w:lang w:val="sr-Cyrl-RS" w:eastAsia="en-US"/>
        </w:rPr>
      </w:pPr>
      <w:r w:rsidRPr="0052271C">
        <w:rPr>
          <w:lang w:val="sr-Cyrl-RS" w:eastAsia="en-US"/>
        </w:rPr>
        <w:t xml:space="preserve">Извештај о напретку у спровођењу </w:t>
      </w:r>
      <w:r w:rsidR="00EC45A7" w:rsidRPr="0052271C">
        <w:rPr>
          <w:lang w:val="sr-Cyrl-RS" w:eastAsia="en-US"/>
        </w:rPr>
        <w:t xml:space="preserve">Акционог </w:t>
      </w:r>
      <w:r w:rsidRPr="0052271C">
        <w:rPr>
          <w:lang w:val="sr-Cyrl-RS" w:eastAsia="en-US"/>
        </w:rPr>
        <w:t xml:space="preserve">плана припрема Министарство на основу извештаја које, кроз Јединствени информациони систем за планирање, праћење спровођења, координацију јавних политика и извештавање (ЈИС), достављају сви надлежни органи и институције за спровођење мера и активности. </w:t>
      </w:r>
    </w:p>
    <w:p w14:paraId="39CD82D0" w14:textId="225E06D5" w:rsidR="001F32A0" w:rsidRPr="0052271C" w:rsidRDefault="001F32A0" w:rsidP="001F32A0">
      <w:pPr>
        <w:spacing w:before="100" w:beforeAutospacing="1" w:after="100" w:afterAutospacing="1" w:line="276" w:lineRule="auto"/>
        <w:ind w:firstLine="573"/>
        <w:jc w:val="both"/>
        <w:rPr>
          <w:lang w:val="sr-Cyrl-RS" w:eastAsia="en-US"/>
        </w:rPr>
      </w:pPr>
      <w:r w:rsidRPr="0052271C">
        <w:rPr>
          <w:lang w:val="sr-Cyrl-RS" w:eastAsia="en-US"/>
        </w:rPr>
        <w:t>Извештај о резултатима у достизању утврђених циљева Стратегије биће припремљен на основу еx-</w:t>
      </w:r>
      <w:r w:rsidR="00F94656" w:rsidRPr="0052271C">
        <w:rPr>
          <w:lang w:val="sr-Cyrl-RS" w:eastAsia="en-US"/>
        </w:rPr>
        <w:t>post</w:t>
      </w:r>
      <w:r w:rsidRPr="0052271C">
        <w:rPr>
          <w:lang w:val="sr-Cyrl-RS" w:eastAsia="en-US"/>
        </w:rPr>
        <w:t xml:space="preserve"> анализа ефеката, а финални извештај биће поднет Влади по спровођењу Стратегије. </w:t>
      </w:r>
    </w:p>
    <w:p w14:paraId="1C2044F3" w14:textId="77777777" w:rsidR="001F32A0" w:rsidRPr="0052271C" w:rsidRDefault="001F32A0" w:rsidP="001F32A0">
      <w:pPr>
        <w:spacing w:before="100" w:beforeAutospacing="1" w:after="100" w:afterAutospacing="1" w:line="276" w:lineRule="auto"/>
        <w:ind w:firstLine="573"/>
        <w:jc w:val="both"/>
        <w:rPr>
          <w:lang w:val="sr-Cyrl-RS" w:eastAsia="en-US"/>
        </w:rPr>
      </w:pPr>
      <w:r w:rsidRPr="0052271C">
        <w:rPr>
          <w:lang w:val="sr-Cyrl-RS" w:eastAsia="en-US"/>
        </w:rPr>
        <w:t xml:space="preserve">Вредновање учинка Стратегије врши се тако што се анализира да ли су и у којој мери постигнути учинци у складу са показатељима ефеката на нивоу општег циља, показатељима исхода на нивоу посебних циљева и показатељима резултата на нивоу појединачних мера. </w:t>
      </w:r>
    </w:p>
    <w:p w14:paraId="1D01DA86" w14:textId="1E9F62F5" w:rsidR="001F32A0" w:rsidRPr="0052271C" w:rsidRDefault="001F32A0" w:rsidP="001F32A0">
      <w:pPr>
        <w:spacing w:after="160" w:line="276" w:lineRule="auto"/>
        <w:ind w:firstLine="573"/>
        <w:jc w:val="both"/>
        <w:rPr>
          <w:rFonts w:eastAsiaTheme="minorHAnsi"/>
          <w:lang w:val="sr-Cyrl-RS" w:eastAsia="en-US"/>
        </w:rPr>
      </w:pPr>
      <w:r w:rsidRPr="0052271C">
        <w:rPr>
          <w:rFonts w:eastAsiaTheme="minorHAnsi"/>
          <w:lang w:val="sr-Cyrl-RS" w:eastAsia="en-US"/>
        </w:rPr>
        <w:t xml:space="preserve">Министарство </w:t>
      </w:r>
      <w:r w:rsidR="008571BC" w:rsidRPr="0052271C">
        <w:rPr>
          <w:rFonts w:eastAsiaTheme="minorHAnsi"/>
          <w:lang w:val="sr-Cyrl-RS" w:eastAsia="en-US"/>
        </w:rPr>
        <w:t xml:space="preserve">ће бити </w:t>
      </w:r>
      <w:r w:rsidRPr="0052271C">
        <w:rPr>
          <w:rFonts w:eastAsiaTheme="minorHAnsi"/>
          <w:lang w:val="sr-Cyrl-RS" w:eastAsia="en-US"/>
        </w:rPr>
        <w:t>орган државне управе коме ће бити пренето у надлежност да врши власничке функције у ПСРС (представљајући Р</w:t>
      </w:r>
      <w:r w:rsidR="003D678E" w:rsidRPr="0052271C">
        <w:rPr>
          <w:rFonts w:eastAsiaTheme="minorHAnsi"/>
          <w:lang w:val="sr-Cyrl-RS" w:eastAsia="en-US"/>
        </w:rPr>
        <w:t xml:space="preserve">епублику </w:t>
      </w:r>
      <w:r w:rsidRPr="0052271C">
        <w:rPr>
          <w:rFonts w:eastAsiaTheme="minorHAnsi"/>
          <w:lang w:val="sr-Cyrl-RS" w:eastAsia="en-US"/>
        </w:rPr>
        <w:t>С</w:t>
      </w:r>
      <w:r w:rsidR="003D678E" w:rsidRPr="0052271C">
        <w:rPr>
          <w:rFonts w:eastAsiaTheme="minorHAnsi"/>
          <w:lang w:val="sr-Cyrl-RS" w:eastAsia="en-US"/>
        </w:rPr>
        <w:t>рбију</w:t>
      </w:r>
      <w:r w:rsidRPr="0052271C">
        <w:rPr>
          <w:rFonts w:eastAsiaTheme="minorHAnsi"/>
          <w:lang w:val="sr-Cyrl-RS" w:eastAsia="en-US"/>
        </w:rPr>
        <w:t xml:space="preserve"> у скупштини</w:t>
      </w:r>
      <w:r w:rsidR="007C0341" w:rsidRPr="0052271C">
        <w:rPr>
          <w:rFonts w:eastAsiaTheme="minorHAnsi"/>
          <w:lang w:val="sr-Cyrl-RS" w:eastAsia="en-US"/>
        </w:rPr>
        <w:t xml:space="preserve"> ПСРС). Да би могло да изврши т</w:t>
      </w:r>
      <w:r w:rsidRPr="0052271C">
        <w:rPr>
          <w:rFonts w:eastAsiaTheme="minorHAnsi"/>
          <w:lang w:val="sr-Cyrl-RS" w:eastAsia="en-US"/>
        </w:rPr>
        <w:t xml:space="preserve">ај задатак, Министарство </w:t>
      </w:r>
      <w:r w:rsidR="008571BC" w:rsidRPr="0052271C">
        <w:rPr>
          <w:rFonts w:eastAsiaTheme="minorHAnsi"/>
          <w:lang w:val="sr-Cyrl-RS" w:eastAsia="en-US"/>
        </w:rPr>
        <w:t>ћ</w:t>
      </w:r>
      <w:r w:rsidRPr="0052271C">
        <w:rPr>
          <w:rFonts w:eastAsiaTheme="minorHAnsi"/>
          <w:lang w:val="sr-Cyrl-RS" w:eastAsia="en-US"/>
        </w:rPr>
        <w:t>е мора</w:t>
      </w:r>
      <w:r w:rsidR="008571BC" w:rsidRPr="0052271C">
        <w:rPr>
          <w:rFonts w:eastAsiaTheme="minorHAnsi"/>
          <w:lang w:val="sr-Cyrl-RS" w:eastAsia="en-US"/>
        </w:rPr>
        <w:t>ти</w:t>
      </w:r>
      <w:r w:rsidRPr="0052271C">
        <w:rPr>
          <w:rFonts w:eastAsiaTheme="minorHAnsi"/>
          <w:lang w:val="sr-Cyrl-RS" w:eastAsia="en-US"/>
        </w:rPr>
        <w:t xml:space="preserve"> да ојача своје капацитете у погледу запошљавања додатних кадрова и континуиране обуке запослених. </w:t>
      </w:r>
    </w:p>
    <w:p w14:paraId="6B28FBA7" w14:textId="7E79A5CB" w:rsidR="001F32A0" w:rsidRPr="0052271C" w:rsidRDefault="001F32A0" w:rsidP="001F32A0">
      <w:pPr>
        <w:spacing w:after="160" w:line="276" w:lineRule="auto"/>
        <w:ind w:firstLine="573"/>
        <w:jc w:val="both"/>
        <w:rPr>
          <w:rFonts w:eastAsiaTheme="minorHAnsi"/>
          <w:lang w:val="sr-Cyrl-RS" w:eastAsia="en-US"/>
        </w:rPr>
      </w:pPr>
      <w:r w:rsidRPr="0052271C">
        <w:rPr>
          <w:rFonts w:eastAsiaTheme="minorHAnsi"/>
          <w:lang w:val="sr-Cyrl-RS" w:eastAsia="en-US"/>
        </w:rPr>
        <w:t xml:space="preserve">Преглед прописа које треба усвојити и </w:t>
      </w:r>
      <w:r w:rsidR="00E45004" w:rsidRPr="0052271C">
        <w:rPr>
          <w:rFonts w:eastAsiaTheme="minorHAnsi"/>
          <w:lang w:val="sr-Cyrl-RS" w:eastAsia="en-US"/>
        </w:rPr>
        <w:t>изменити у поступку примене С</w:t>
      </w:r>
      <w:r w:rsidR="007C0341" w:rsidRPr="0052271C">
        <w:rPr>
          <w:rFonts w:eastAsiaTheme="minorHAnsi"/>
          <w:lang w:val="sr-Cyrl-RS" w:eastAsia="en-US"/>
        </w:rPr>
        <w:t xml:space="preserve">тратегије биће утврђен </w:t>
      </w:r>
      <w:r w:rsidR="00EC45A7" w:rsidRPr="0052271C">
        <w:rPr>
          <w:rFonts w:eastAsiaTheme="minorHAnsi"/>
          <w:lang w:val="sr-Cyrl-RS" w:eastAsia="en-US"/>
        </w:rPr>
        <w:t xml:space="preserve">Акционим </w:t>
      </w:r>
      <w:r w:rsidRPr="0052271C">
        <w:rPr>
          <w:rFonts w:eastAsiaTheme="minorHAnsi"/>
          <w:lang w:val="sr-Cyrl-RS" w:eastAsia="en-US"/>
        </w:rPr>
        <w:t>планом.</w:t>
      </w:r>
    </w:p>
    <w:p w14:paraId="2BF9DCD9" w14:textId="5CFC1CE6" w:rsidR="00E66320" w:rsidRPr="0052271C" w:rsidRDefault="004225B5" w:rsidP="008B59E9">
      <w:pPr>
        <w:spacing w:after="160" w:line="259" w:lineRule="auto"/>
        <w:jc w:val="right"/>
        <w:rPr>
          <w:rFonts w:eastAsiaTheme="minorHAnsi"/>
          <w:lang w:val="sr-Cyrl-RS" w:eastAsia="en-US"/>
        </w:rPr>
      </w:pPr>
      <w:r>
        <w:rPr>
          <w:rFonts w:eastAsiaTheme="minorHAnsi"/>
          <w:lang w:val="en-US" w:eastAsia="en-US"/>
        </w:rPr>
        <w:t>39</w:t>
      </w:r>
      <w:r w:rsidR="00E66320" w:rsidRPr="0052271C">
        <w:rPr>
          <w:rFonts w:eastAsiaTheme="minorHAnsi"/>
          <w:lang w:val="sr-Cyrl-RS" w:eastAsia="en-US"/>
        </w:rPr>
        <w:br w:type="page"/>
      </w:r>
    </w:p>
    <w:p w14:paraId="27DC1EAF" w14:textId="035BF962" w:rsidR="002C258E" w:rsidRPr="0052271C" w:rsidRDefault="00E66320" w:rsidP="00E66320">
      <w:pPr>
        <w:pStyle w:val="ListParagraph"/>
        <w:numPr>
          <w:ilvl w:val="0"/>
          <w:numId w:val="26"/>
        </w:numPr>
        <w:spacing w:before="100" w:beforeAutospacing="1" w:after="100" w:afterAutospacing="1" w:line="276" w:lineRule="auto"/>
        <w:ind w:left="0" w:firstLine="0"/>
        <w:jc w:val="center"/>
        <w:rPr>
          <w:rFonts w:ascii="Times New Roman" w:hAnsi="Times New Roman"/>
          <w:sz w:val="24"/>
          <w:lang w:val="sr-Cyrl-RS"/>
        </w:rPr>
      </w:pPr>
      <w:r w:rsidRPr="0052271C">
        <w:rPr>
          <w:rFonts w:ascii="Times New Roman" w:hAnsi="Times New Roman"/>
          <w:sz w:val="24"/>
          <w:lang w:val="sr-Cyrl-RS"/>
        </w:rPr>
        <w:lastRenderedPageBreak/>
        <w:t>ТАБЕЛА ПОЈМОВА И СКРАЋЕНИЦА</w:t>
      </w:r>
    </w:p>
    <w:p w14:paraId="089529DC" w14:textId="77777777" w:rsidR="00E66320" w:rsidRPr="0052271C" w:rsidRDefault="00E66320" w:rsidP="00E66320">
      <w:pPr>
        <w:pStyle w:val="ListParagraph"/>
        <w:spacing w:before="100" w:beforeAutospacing="1" w:after="100" w:afterAutospacing="1" w:line="276" w:lineRule="auto"/>
        <w:ind w:left="0"/>
        <w:rPr>
          <w:rFonts w:ascii="Times New Roman" w:hAnsi="Times New Roman"/>
          <w:sz w:val="24"/>
          <w:lang w:val="sr-Cyrl-RS"/>
        </w:rPr>
      </w:pPr>
    </w:p>
    <w:tbl>
      <w:tblPr>
        <w:tblStyle w:val="TableGrid"/>
        <w:tblW w:w="0" w:type="auto"/>
        <w:jc w:val="center"/>
        <w:tblBorders>
          <w:left w:val="none" w:sz="0" w:space="0" w:color="auto"/>
          <w:right w:val="none" w:sz="0" w:space="0" w:color="auto"/>
        </w:tblBorders>
        <w:tblLayout w:type="fixed"/>
        <w:tblLook w:val="04A0" w:firstRow="1" w:lastRow="0" w:firstColumn="1" w:lastColumn="0" w:noHBand="0" w:noVBand="1"/>
      </w:tblPr>
      <w:tblGrid>
        <w:gridCol w:w="1843"/>
        <w:gridCol w:w="1985"/>
        <w:gridCol w:w="5103"/>
      </w:tblGrid>
      <w:tr w:rsidR="002C258E" w:rsidRPr="0052271C" w14:paraId="58510E48" w14:textId="77777777" w:rsidTr="002C258E">
        <w:trPr>
          <w:jc w:val="center"/>
        </w:trPr>
        <w:tc>
          <w:tcPr>
            <w:tcW w:w="1843" w:type="dxa"/>
            <w:tcBorders>
              <w:top w:val="single" w:sz="4" w:space="0" w:color="auto"/>
              <w:left w:val="nil"/>
              <w:bottom w:val="single" w:sz="4" w:space="0" w:color="auto"/>
              <w:right w:val="single" w:sz="4" w:space="0" w:color="auto"/>
            </w:tcBorders>
            <w:shd w:val="clear" w:color="auto" w:fill="7F8FA9"/>
            <w:vAlign w:val="center"/>
            <w:hideMark/>
          </w:tcPr>
          <w:p w14:paraId="4291D73F" w14:textId="77777777" w:rsidR="002C258E" w:rsidRPr="0052271C" w:rsidRDefault="002C258E">
            <w:pPr>
              <w:spacing w:before="100" w:beforeAutospacing="1" w:after="100" w:afterAutospacing="1" w:line="276" w:lineRule="auto"/>
              <w:jc w:val="both"/>
              <w:rPr>
                <w:b/>
                <w:lang w:val="sr-Cyrl-RS" w:eastAsia="en-US"/>
              </w:rPr>
            </w:pPr>
            <w:r w:rsidRPr="0052271C">
              <w:rPr>
                <w:b/>
                <w:lang w:val="sr-Cyrl-RS" w:eastAsia="en-US"/>
              </w:rPr>
              <w:t>Скраћеница</w:t>
            </w:r>
          </w:p>
        </w:tc>
        <w:tc>
          <w:tcPr>
            <w:tcW w:w="1985" w:type="dxa"/>
            <w:tcBorders>
              <w:top w:val="single" w:sz="4" w:space="0" w:color="auto"/>
              <w:left w:val="single" w:sz="4" w:space="0" w:color="auto"/>
              <w:bottom w:val="single" w:sz="4" w:space="0" w:color="auto"/>
              <w:right w:val="single" w:sz="4" w:space="0" w:color="auto"/>
            </w:tcBorders>
            <w:shd w:val="clear" w:color="auto" w:fill="7F8FA9"/>
            <w:vAlign w:val="center"/>
            <w:hideMark/>
          </w:tcPr>
          <w:p w14:paraId="6FFB6426" w14:textId="77777777" w:rsidR="002C258E" w:rsidRPr="0052271C" w:rsidRDefault="002C258E">
            <w:pPr>
              <w:spacing w:before="100" w:beforeAutospacing="1" w:after="100" w:afterAutospacing="1" w:line="276" w:lineRule="auto"/>
              <w:jc w:val="both"/>
              <w:rPr>
                <w:b/>
                <w:lang w:val="sr-Cyrl-RS" w:eastAsia="en-US"/>
              </w:rPr>
            </w:pPr>
            <w:r w:rsidRPr="0052271C">
              <w:rPr>
                <w:b/>
                <w:lang w:val="sr-Cyrl-RS" w:eastAsia="en-US"/>
              </w:rPr>
              <w:t>Појам</w:t>
            </w:r>
          </w:p>
        </w:tc>
        <w:tc>
          <w:tcPr>
            <w:tcW w:w="5103" w:type="dxa"/>
            <w:tcBorders>
              <w:top w:val="single" w:sz="4" w:space="0" w:color="auto"/>
              <w:left w:val="single" w:sz="4" w:space="0" w:color="auto"/>
              <w:bottom w:val="single" w:sz="4" w:space="0" w:color="auto"/>
              <w:right w:val="nil"/>
            </w:tcBorders>
            <w:shd w:val="clear" w:color="auto" w:fill="7F8FA9"/>
            <w:vAlign w:val="center"/>
            <w:hideMark/>
          </w:tcPr>
          <w:p w14:paraId="1A3E04F6" w14:textId="77777777" w:rsidR="002C258E" w:rsidRPr="0052271C" w:rsidRDefault="002C258E">
            <w:pPr>
              <w:spacing w:before="100" w:beforeAutospacing="1" w:after="100" w:afterAutospacing="1" w:line="276" w:lineRule="auto"/>
              <w:jc w:val="both"/>
              <w:rPr>
                <w:b/>
                <w:lang w:val="sr-Cyrl-RS" w:eastAsia="en-US"/>
              </w:rPr>
            </w:pPr>
            <w:r w:rsidRPr="0052271C">
              <w:rPr>
                <w:b/>
                <w:lang w:val="sr-Cyrl-RS" w:eastAsia="en-US"/>
              </w:rPr>
              <w:t>Дефиниција</w:t>
            </w:r>
          </w:p>
        </w:tc>
      </w:tr>
      <w:tr w:rsidR="002C258E" w:rsidRPr="0052271C" w14:paraId="5D962B89" w14:textId="77777777" w:rsidTr="002C258E">
        <w:trPr>
          <w:jc w:val="center"/>
        </w:trPr>
        <w:tc>
          <w:tcPr>
            <w:tcW w:w="1843" w:type="dxa"/>
            <w:tcBorders>
              <w:top w:val="single" w:sz="4" w:space="0" w:color="auto"/>
              <w:left w:val="nil"/>
              <w:bottom w:val="single" w:sz="4" w:space="0" w:color="auto"/>
              <w:right w:val="single" w:sz="4" w:space="0" w:color="auto"/>
            </w:tcBorders>
            <w:vAlign w:val="center"/>
            <w:hideMark/>
          </w:tcPr>
          <w:p w14:paraId="389DD3D9" w14:textId="77777777" w:rsidR="002C258E" w:rsidRPr="0052271C" w:rsidRDefault="002C258E">
            <w:pPr>
              <w:spacing w:before="100" w:beforeAutospacing="1" w:after="100" w:afterAutospacing="1" w:line="276" w:lineRule="auto"/>
              <w:jc w:val="both"/>
              <w:rPr>
                <w:lang w:val="sr-Cyrl-RS" w:eastAsia="en-US"/>
              </w:rPr>
            </w:pPr>
            <w:r w:rsidRPr="0052271C">
              <w:rPr>
                <w:lang w:val="sr-Cyrl-RS" w:eastAsia="en-US"/>
              </w:rPr>
              <w:t>ЈП</w:t>
            </w:r>
          </w:p>
        </w:tc>
        <w:tc>
          <w:tcPr>
            <w:tcW w:w="1985" w:type="dxa"/>
            <w:tcBorders>
              <w:top w:val="single" w:sz="4" w:space="0" w:color="auto"/>
              <w:left w:val="single" w:sz="4" w:space="0" w:color="auto"/>
              <w:bottom w:val="single" w:sz="4" w:space="0" w:color="auto"/>
              <w:right w:val="single" w:sz="4" w:space="0" w:color="auto"/>
            </w:tcBorders>
            <w:vAlign w:val="center"/>
            <w:hideMark/>
          </w:tcPr>
          <w:p w14:paraId="19D4F0B2" w14:textId="77777777" w:rsidR="002C258E" w:rsidRPr="0052271C" w:rsidRDefault="002C258E">
            <w:pPr>
              <w:spacing w:before="100" w:beforeAutospacing="1" w:after="100" w:afterAutospacing="1" w:line="276" w:lineRule="auto"/>
              <w:rPr>
                <w:lang w:val="sr-Cyrl-RS" w:eastAsia="en-US"/>
              </w:rPr>
            </w:pPr>
            <w:r w:rsidRPr="0052271C">
              <w:rPr>
                <w:lang w:val="sr-Cyrl-RS" w:eastAsia="en-US"/>
              </w:rPr>
              <w:t>Јавно предузеће</w:t>
            </w:r>
          </w:p>
        </w:tc>
        <w:tc>
          <w:tcPr>
            <w:tcW w:w="5103" w:type="dxa"/>
            <w:tcBorders>
              <w:top w:val="single" w:sz="4" w:space="0" w:color="auto"/>
              <w:left w:val="single" w:sz="4" w:space="0" w:color="auto"/>
              <w:bottom w:val="single" w:sz="4" w:space="0" w:color="auto"/>
              <w:right w:val="nil"/>
            </w:tcBorders>
            <w:vAlign w:val="center"/>
            <w:hideMark/>
          </w:tcPr>
          <w:p w14:paraId="19228D5F" w14:textId="1F54F719" w:rsidR="002C258E" w:rsidRPr="0052271C" w:rsidRDefault="002C258E">
            <w:pPr>
              <w:spacing w:before="100" w:beforeAutospacing="1" w:after="100" w:afterAutospacing="1" w:line="276" w:lineRule="auto"/>
              <w:jc w:val="both"/>
              <w:rPr>
                <w:lang w:val="sr-Cyrl-RS" w:eastAsia="en-US"/>
              </w:rPr>
            </w:pPr>
            <w:r w:rsidRPr="0052271C">
              <w:rPr>
                <w:lang w:val="sr-Cyrl-RS" w:eastAsia="en-US"/>
              </w:rPr>
              <w:t xml:space="preserve">Јавно предузеће </w:t>
            </w:r>
            <w:r w:rsidR="00096E08" w:rsidRPr="0052271C">
              <w:rPr>
                <w:lang w:val="sr-Cyrl-RS" w:eastAsia="en-US"/>
              </w:rPr>
              <w:t>je</w:t>
            </w:r>
            <w:r w:rsidRPr="0052271C">
              <w:rPr>
                <w:lang w:val="sr-Cyrl-RS" w:eastAsia="en-US"/>
              </w:rPr>
              <w:t xml:space="preserve"> предузеће које обавља делатност од општег интереса, а које оснива Република Србија, аутономна покрајина или јединица локалне самоуправе</w:t>
            </w:r>
          </w:p>
        </w:tc>
      </w:tr>
      <w:tr w:rsidR="002C258E" w:rsidRPr="0052271C" w14:paraId="29E62ACC" w14:textId="77777777" w:rsidTr="002C258E">
        <w:trPr>
          <w:jc w:val="center"/>
        </w:trPr>
        <w:tc>
          <w:tcPr>
            <w:tcW w:w="1843" w:type="dxa"/>
            <w:tcBorders>
              <w:top w:val="single" w:sz="4" w:space="0" w:color="auto"/>
              <w:left w:val="nil"/>
              <w:bottom w:val="single" w:sz="4" w:space="0" w:color="auto"/>
              <w:right w:val="single" w:sz="4" w:space="0" w:color="auto"/>
            </w:tcBorders>
            <w:vAlign w:val="center"/>
            <w:hideMark/>
          </w:tcPr>
          <w:p w14:paraId="6510FF2F" w14:textId="77777777" w:rsidR="002C258E" w:rsidRPr="0052271C" w:rsidRDefault="002C258E">
            <w:pPr>
              <w:spacing w:before="100" w:beforeAutospacing="1" w:after="100" w:afterAutospacing="1" w:line="276" w:lineRule="auto"/>
              <w:jc w:val="both"/>
              <w:rPr>
                <w:lang w:val="sr-Cyrl-RS" w:eastAsia="en-US"/>
              </w:rPr>
            </w:pPr>
            <w:r w:rsidRPr="0052271C">
              <w:rPr>
                <w:lang w:val="sr-Cyrl-RS" w:eastAsia="en-US"/>
              </w:rPr>
              <w:t>ПСРС</w:t>
            </w:r>
          </w:p>
        </w:tc>
        <w:tc>
          <w:tcPr>
            <w:tcW w:w="1985" w:type="dxa"/>
            <w:tcBorders>
              <w:top w:val="single" w:sz="4" w:space="0" w:color="auto"/>
              <w:left w:val="single" w:sz="4" w:space="0" w:color="auto"/>
              <w:bottom w:val="single" w:sz="4" w:space="0" w:color="auto"/>
              <w:right w:val="single" w:sz="4" w:space="0" w:color="auto"/>
            </w:tcBorders>
            <w:vAlign w:val="center"/>
            <w:hideMark/>
          </w:tcPr>
          <w:p w14:paraId="581A94CD" w14:textId="77777777" w:rsidR="002C258E" w:rsidRPr="0052271C" w:rsidRDefault="002C258E">
            <w:pPr>
              <w:spacing w:before="100" w:beforeAutospacing="1" w:after="100" w:afterAutospacing="1" w:line="276" w:lineRule="auto"/>
              <w:rPr>
                <w:lang w:val="sr-Cyrl-RS" w:eastAsia="en-US"/>
              </w:rPr>
            </w:pPr>
            <w:r w:rsidRPr="0052271C">
              <w:rPr>
                <w:lang w:val="sr-Cyrl-RS" w:eastAsia="en-US"/>
              </w:rPr>
              <w:t>Привредни субјекти у власништву Републике Србије</w:t>
            </w:r>
          </w:p>
        </w:tc>
        <w:tc>
          <w:tcPr>
            <w:tcW w:w="5103" w:type="dxa"/>
            <w:tcBorders>
              <w:top w:val="single" w:sz="4" w:space="0" w:color="auto"/>
              <w:left w:val="single" w:sz="4" w:space="0" w:color="auto"/>
              <w:bottom w:val="single" w:sz="4" w:space="0" w:color="auto"/>
              <w:right w:val="nil"/>
            </w:tcBorders>
            <w:vAlign w:val="center"/>
            <w:hideMark/>
          </w:tcPr>
          <w:p w14:paraId="0ECB5770" w14:textId="77777777" w:rsidR="002C258E" w:rsidRPr="0052271C" w:rsidRDefault="002C258E">
            <w:pPr>
              <w:spacing w:before="100" w:beforeAutospacing="1" w:after="100" w:afterAutospacing="1" w:line="276" w:lineRule="auto"/>
              <w:jc w:val="both"/>
              <w:rPr>
                <w:lang w:val="sr-Cyrl-RS" w:eastAsia="en-US"/>
              </w:rPr>
            </w:pPr>
            <w:r w:rsidRPr="0052271C">
              <w:rPr>
                <w:lang w:val="sr-Cyrl-RS" w:eastAsia="en-US"/>
              </w:rPr>
              <w:t>Привредни субјекти у власништву Републике Србије у овом тексту подразумевају све облике привредних друштава у којима је Република Србија власник, укључујући и јавна предузећа</w:t>
            </w:r>
          </w:p>
        </w:tc>
      </w:tr>
      <w:tr w:rsidR="002C258E" w:rsidRPr="0052271C" w14:paraId="1B5E6889" w14:textId="77777777" w:rsidTr="002C258E">
        <w:trPr>
          <w:jc w:val="center"/>
        </w:trPr>
        <w:tc>
          <w:tcPr>
            <w:tcW w:w="1843" w:type="dxa"/>
            <w:tcBorders>
              <w:top w:val="single" w:sz="4" w:space="0" w:color="auto"/>
              <w:left w:val="nil"/>
              <w:bottom w:val="single" w:sz="4" w:space="0" w:color="auto"/>
              <w:right w:val="single" w:sz="4" w:space="0" w:color="auto"/>
            </w:tcBorders>
            <w:vAlign w:val="center"/>
            <w:hideMark/>
          </w:tcPr>
          <w:p w14:paraId="7E04960B" w14:textId="77777777" w:rsidR="002C258E" w:rsidRPr="0052271C" w:rsidRDefault="002C258E">
            <w:pPr>
              <w:spacing w:before="100" w:beforeAutospacing="1" w:after="100" w:afterAutospacing="1" w:line="276" w:lineRule="auto"/>
              <w:jc w:val="both"/>
              <w:rPr>
                <w:lang w:val="sr-Cyrl-RS" w:eastAsia="en-US"/>
              </w:rPr>
            </w:pPr>
            <w:r w:rsidRPr="0052271C">
              <w:rPr>
                <w:lang w:val="sr-Cyrl-RS" w:eastAsia="en-US"/>
              </w:rPr>
              <w:t>АД</w:t>
            </w:r>
          </w:p>
        </w:tc>
        <w:tc>
          <w:tcPr>
            <w:tcW w:w="1985" w:type="dxa"/>
            <w:tcBorders>
              <w:top w:val="single" w:sz="4" w:space="0" w:color="auto"/>
              <w:left w:val="single" w:sz="4" w:space="0" w:color="auto"/>
              <w:bottom w:val="single" w:sz="4" w:space="0" w:color="auto"/>
              <w:right w:val="single" w:sz="4" w:space="0" w:color="auto"/>
            </w:tcBorders>
            <w:vAlign w:val="center"/>
            <w:hideMark/>
          </w:tcPr>
          <w:p w14:paraId="10FD1E35" w14:textId="77777777" w:rsidR="002C258E" w:rsidRPr="0052271C" w:rsidRDefault="002C258E">
            <w:pPr>
              <w:spacing w:before="100" w:beforeAutospacing="1" w:after="100" w:afterAutospacing="1" w:line="276" w:lineRule="auto"/>
              <w:rPr>
                <w:lang w:val="sr-Cyrl-RS" w:eastAsia="en-US"/>
              </w:rPr>
            </w:pPr>
            <w:r w:rsidRPr="0052271C">
              <w:rPr>
                <w:lang w:val="sr-Cyrl-RS" w:eastAsia="en-US"/>
              </w:rPr>
              <w:t>Акционарско друштво</w:t>
            </w:r>
          </w:p>
        </w:tc>
        <w:tc>
          <w:tcPr>
            <w:tcW w:w="5103" w:type="dxa"/>
            <w:tcBorders>
              <w:top w:val="single" w:sz="4" w:space="0" w:color="auto"/>
              <w:left w:val="single" w:sz="4" w:space="0" w:color="auto"/>
              <w:bottom w:val="single" w:sz="4" w:space="0" w:color="auto"/>
              <w:right w:val="nil"/>
            </w:tcBorders>
            <w:vAlign w:val="center"/>
            <w:hideMark/>
          </w:tcPr>
          <w:p w14:paraId="597C949E" w14:textId="77777777" w:rsidR="002C258E" w:rsidRPr="0052271C" w:rsidRDefault="002C258E">
            <w:pPr>
              <w:spacing w:before="100" w:beforeAutospacing="1" w:after="100" w:afterAutospacing="1" w:line="276" w:lineRule="auto"/>
              <w:jc w:val="both"/>
              <w:rPr>
                <w:lang w:val="sr-Cyrl-RS" w:eastAsia="en-US"/>
              </w:rPr>
            </w:pPr>
            <w:r w:rsidRPr="0052271C">
              <w:rPr>
                <w:lang w:val="sr-Cyrl-RS" w:eastAsia="en-US"/>
              </w:rPr>
              <w:t>Акционарско друштво је друштво чији је основни капитал подељен на акције које има један или више акционара</w:t>
            </w:r>
          </w:p>
        </w:tc>
      </w:tr>
      <w:tr w:rsidR="002C258E" w:rsidRPr="0052271C" w14:paraId="465E37C7" w14:textId="77777777" w:rsidTr="002C258E">
        <w:trPr>
          <w:jc w:val="center"/>
        </w:trPr>
        <w:tc>
          <w:tcPr>
            <w:tcW w:w="1843" w:type="dxa"/>
            <w:tcBorders>
              <w:top w:val="single" w:sz="4" w:space="0" w:color="auto"/>
              <w:left w:val="nil"/>
              <w:bottom w:val="single" w:sz="4" w:space="0" w:color="auto"/>
              <w:right w:val="single" w:sz="4" w:space="0" w:color="auto"/>
            </w:tcBorders>
            <w:vAlign w:val="center"/>
            <w:hideMark/>
          </w:tcPr>
          <w:p w14:paraId="0FDD2245" w14:textId="77777777" w:rsidR="002C258E" w:rsidRPr="0052271C" w:rsidRDefault="002C258E">
            <w:pPr>
              <w:spacing w:before="100" w:beforeAutospacing="1" w:after="100" w:afterAutospacing="1" w:line="276" w:lineRule="auto"/>
              <w:jc w:val="both"/>
              <w:rPr>
                <w:lang w:val="sr-Cyrl-RS" w:eastAsia="en-US"/>
              </w:rPr>
            </w:pPr>
            <w:r w:rsidRPr="0052271C">
              <w:rPr>
                <w:lang w:val="sr-Cyrl-RS" w:eastAsia="en-US"/>
              </w:rPr>
              <w:t>ДОО</w:t>
            </w:r>
          </w:p>
        </w:tc>
        <w:tc>
          <w:tcPr>
            <w:tcW w:w="1985" w:type="dxa"/>
            <w:tcBorders>
              <w:top w:val="single" w:sz="4" w:space="0" w:color="auto"/>
              <w:left w:val="single" w:sz="4" w:space="0" w:color="auto"/>
              <w:bottom w:val="single" w:sz="4" w:space="0" w:color="auto"/>
              <w:right w:val="single" w:sz="4" w:space="0" w:color="auto"/>
            </w:tcBorders>
            <w:vAlign w:val="center"/>
            <w:hideMark/>
          </w:tcPr>
          <w:p w14:paraId="31786405" w14:textId="77777777" w:rsidR="002C258E" w:rsidRPr="0052271C" w:rsidRDefault="002C258E">
            <w:pPr>
              <w:spacing w:before="100" w:beforeAutospacing="1" w:after="100" w:afterAutospacing="1" w:line="276" w:lineRule="auto"/>
              <w:rPr>
                <w:lang w:val="sr-Cyrl-RS" w:eastAsia="en-US"/>
              </w:rPr>
            </w:pPr>
            <w:r w:rsidRPr="0052271C">
              <w:rPr>
                <w:lang w:val="sr-Cyrl-RS" w:eastAsia="en-US"/>
              </w:rPr>
              <w:t>Друштво с ограниченом одговорношћу</w:t>
            </w:r>
          </w:p>
        </w:tc>
        <w:tc>
          <w:tcPr>
            <w:tcW w:w="5103" w:type="dxa"/>
            <w:tcBorders>
              <w:top w:val="single" w:sz="4" w:space="0" w:color="auto"/>
              <w:left w:val="single" w:sz="4" w:space="0" w:color="auto"/>
              <w:bottom w:val="single" w:sz="4" w:space="0" w:color="auto"/>
              <w:right w:val="nil"/>
            </w:tcBorders>
            <w:vAlign w:val="center"/>
            <w:hideMark/>
          </w:tcPr>
          <w:p w14:paraId="72A1DB12" w14:textId="77777777" w:rsidR="002C258E" w:rsidRPr="0052271C" w:rsidRDefault="002C258E">
            <w:pPr>
              <w:spacing w:before="100" w:beforeAutospacing="1" w:after="100" w:afterAutospacing="1" w:line="276" w:lineRule="auto"/>
              <w:jc w:val="both"/>
              <w:rPr>
                <w:lang w:val="sr-Cyrl-RS" w:eastAsia="en-US"/>
              </w:rPr>
            </w:pPr>
            <w:r w:rsidRPr="0052271C">
              <w:rPr>
                <w:lang w:val="sr-Cyrl-RS" w:eastAsia="en-US"/>
              </w:rPr>
              <w:t xml:space="preserve">Друштво с ограниченом одговорношћу је друштво у коме један или више чланова друштва имају уделе у основном капиталу друштва. </w:t>
            </w:r>
          </w:p>
        </w:tc>
      </w:tr>
      <w:tr w:rsidR="002C258E" w:rsidRPr="0052271C" w14:paraId="6FFACD8A" w14:textId="77777777" w:rsidTr="002C258E">
        <w:trPr>
          <w:jc w:val="center"/>
        </w:trPr>
        <w:tc>
          <w:tcPr>
            <w:tcW w:w="1843" w:type="dxa"/>
            <w:tcBorders>
              <w:top w:val="single" w:sz="4" w:space="0" w:color="auto"/>
              <w:left w:val="nil"/>
              <w:bottom w:val="single" w:sz="4" w:space="0" w:color="auto"/>
              <w:right w:val="single" w:sz="4" w:space="0" w:color="auto"/>
            </w:tcBorders>
            <w:vAlign w:val="center"/>
            <w:hideMark/>
          </w:tcPr>
          <w:p w14:paraId="182B4616" w14:textId="77777777" w:rsidR="002C258E" w:rsidRPr="0052271C" w:rsidRDefault="002C258E">
            <w:pPr>
              <w:spacing w:before="100" w:beforeAutospacing="1" w:after="100" w:afterAutospacing="1" w:line="276" w:lineRule="auto"/>
              <w:jc w:val="both"/>
              <w:rPr>
                <w:lang w:val="sr-Cyrl-RS" w:eastAsia="en-US"/>
              </w:rPr>
            </w:pPr>
            <w:r w:rsidRPr="0052271C">
              <w:rPr>
                <w:lang w:val="sr-Cyrl-RS" w:eastAsia="en-US"/>
              </w:rPr>
              <w:t>Скупштина</w:t>
            </w:r>
          </w:p>
        </w:tc>
        <w:tc>
          <w:tcPr>
            <w:tcW w:w="1985" w:type="dxa"/>
            <w:tcBorders>
              <w:top w:val="single" w:sz="4" w:space="0" w:color="auto"/>
              <w:left w:val="single" w:sz="4" w:space="0" w:color="auto"/>
              <w:bottom w:val="single" w:sz="4" w:space="0" w:color="auto"/>
              <w:right w:val="single" w:sz="4" w:space="0" w:color="auto"/>
            </w:tcBorders>
            <w:vAlign w:val="center"/>
            <w:hideMark/>
          </w:tcPr>
          <w:p w14:paraId="4F2C8525" w14:textId="085C7CDD" w:rsidR="002C258E" w:rsidRPr="0052271C" w:rsidRDefault="002C258E" w:rsidP="003F4658">
            <w:pPr>
              <w:spacing w:before="100" w:beforeAutospacing="1" w:after="100" w:afterAutospacing="1" w:line="276" w:lineRule="auto"/>
              <w:rPr>
                <w:lang w:val="sr-Cyrl-RS" w:eastAsia="en-US"/>
              </w:rPr>
            </w:pPr>
            <w:r w:rsidRPr="0052271C">
              <w:rPr>
                <w:lang w:val="sr-Cyrl-RS" w:eastAsia="en-US"/>
              </w:rPr>
              <w:t>Скупштина акционара</w:t>
            </w:r>
            <w:r w:rsidR="003F4658" w:rsidRPr="0052271C">
              <w:rPr>
                <w:lang w:val="sr-Cyrl-RS" w:eastAsia="en-US"/>
              </w:rPr>
              <w:t xml:space="preserve"> или чланова </w:t>
            </w:r>
            <w:r w:rsidR="000502DB" w:rsidRPr="0052271C">
              <w:rPr>
                <w:lang w:val="sr-Cyrl-RS" w:eastAsia="en-US"/>
              </w:rPr>
              <w:t>ПСРС</w:t>
            </w:r>
          </w:p>
        </w:tc>
        <w:tc>
          <w:tcPr>
            <w:tcW w:w="5103" w:type="dxa"/>
            <w:tcBorders>
              <w:top w:val="single" w:sz="4" w:space="0" w:color="auto"/>
              <w:left w:val="single" w:sz="4" w:space="0" w:color="auto"/>
              <w:bottom w:val="single" w:sz="4" w:space="0" w:color="auto"/>
              <w:right w:val="nil"/>
            </w:tcBorders>
            <w:vAlign w:val="center"/>
            <w:hideMark/>
          </w:tcPr>
          <w:p w14:paraId="79FCBD65" w14:textId="77777777" w:rsidR="002C258E" w:rsidRPr="0052271C" w:rsidRDefault="002C258E">
            <w:pPr>
              <w:spacing w:before="100" w:beforeAutospacing="1" w:after="100" w:afterAutospacing="1" w:line="276" w:lineRule="auto"/>
              <w:jc w:val="both"/>
              <w:rPr>
                <w:lang w:val="sr-Cyrl-RS" w:eastAsia="en-US"/>
              </w:rPr>
            </w:pPr>
            <w:r w:rsidRPr="0052271C">
              <w:rPr>
                <w:lang w:val="sr-Cyrl-RS" w:eastAsia="en-US"/>
              </w:rPr>
              <w:t>Скупштина друштва у акционарском друштву или друштву с ограниченом одговорношћу</w:t>
            </w:r>
          </w:p>
        </w:tc>
      </w:tr>
      <w:tr w:rsidR="002C258E" w:rsidRPr="0052271C" w14:paraId="5EA323DD" w14:textId="77777777" w:rsidTr="002C258E">
        <w:trPr>
          <w:jc w:val="center"/>
        </w:trPr>
        <w:tc>
          <w:tcPr>
            <w:tcW w:w="1843" w:type="dxa"/>
            <w:tcBorders>
              <w:top w:val="single" w:sz="4" w:space="0" w:color="auto"/>
              <w:left w:val="nil"/>
              <w:bottom w:val="single" w:sz="4" w:space="0" w:color="auto"/>
              <w:right w:val="single" w:sz="4" w:space="0" w:color="auto"/>
            </w:tcBorders>
            <w:vAlign w:val="center"/>
            <w:hideMark/>
          </w:tcPr>
          <w:p w14:paraId="03AC1F19" w14:textId="77777777" w:rsidR="002C258E" w:rsidRPr="0052271C" w:rsidRDefault="002C258E">
            <w:pPr>
              <w:spacing w:before="100" w:beforeAutospacing="1" w:after="100" w:afterAutospacing="1" w:line="276" w:lineRule="auto"/>
              <w:jc w:val="both"/>
              <w:rPr>
                <w:lang w:val="sr-Cyrl-RS" w:eastAsia="en-US"/>
              </w:rPr>
            </w:pPr>
            <w:r w:rsidRPr="0052271C">
              <w:rPr>
                <w:lang w:val="sr-Cyrl-RS" w:eastAsia="en-US"/>
              </w:rPr>
              <w:t>Писмо очекивања</w:t>
            </w:r>
          </w:p>
        </w:tc>
        <w:tc>
          <w:tcPr>
            <w:tcW w:w="1985" w:type="dxa"/>
            <w:tcBorders>
              <w:top w:val="single" w:sz="4" w:space="0" w:color="auto"/>
              <w:left w:val="single" w:sz="4" w:space="0" w:color="auto"/>
              <w:bottom w:val="single" w:sz="4" w:space="0" w:color="auto"/>
              <w:right w:val="single" w:sz="4" w:space="0" w:color="auto"/>
            </w:tcBorders>
            <w:vAlign w:val="center"/>
            <w:hideMark/>
          </w:tcPr>
          <w:p w14:paraId="7D31AE36" w14:textId="77777777" w:rsidR="002C258E" w:rsidRPr="0052271C" w:rsidRDefault="002C258E">
            <w:pPr>
              <w:spacing w:before="100" w:beforeAutospacing="1" w:after="100" w:afterAutospacing="1" w:line="276" w:lineRule="auto"/>
              <w:rPr>
                <w:lang w:val="sr-Cyrl-RS" w:eastAsia="en-US"/>
              </w:rPr>
            </w:pPr>
            <w:r w:rsidRPr="0052271C">
              <w:rPr>
                <w:lang w:val="sr-Cyrl-RS" w:eastAsia="en-US"/>
              </w:rPr>
              <w:t xml:space="preserve">Писмо очекивања </w:t>
            </w:r>
          </w:p>
        </w:tc>
        <w:tc>
          <w:tcPr>
            <w:tcW w:w="5103" w:type="dxa"/>
            <w:tcBorders>
              <w:top w:val="single" w:sz="4" w:space="0" w:color="auto"/>
              <w:left w:val="single" w:sz="4" w:space="0" w:color="auto"/>
              <w:bottom w:val="single" w:sz="4" w:space="0" w:color="auto"/>
              <w:right w:val="nil"/>
            </w:tcBorders>
            <w:vAlign w:val="center"/>
            <w:hideMark/>
          </w:tcPr>
          <w:p w14:paraId="75F54D4B" w14:textId="79DC98FA" w:rsidR="002C258E" w:rsidRPr="0052271C" w:rsidRDefault="002C258E" w:rsidP="008571BC">
            <w:pPr>
              <w:spacing w:before="100" w:beforeAutospacing="1" w:after="100" w:afterAutospacing="1" w:line="276" w:lineRule="auto"/>
              <w:jc w:val="both"/>
              <w:rPr>
                <w:lang w:val="sr-Cyrl-RS" w:eastAsia="en-US"/>
              </w:rPr>
            </w:pPr>
            <w:r w:rsidRPr="0052271C">
              <w:rPr>
                <w:lang w:val="sr-Cyrl-RS" w:eastAsia="en-US"/>
              </w:rPr>
              <w:t>Акт којим се Министарство обраћа ПСРС у вези</w:t>
            </w:r>
            <w:r w:rsidR="000502DB" w:rsidRPr="0052271C">
              <w:rPr>
                <w:lang w:val="sr-Cyrl-RS" w:eastAsia="en-US"/>
              </w:rPr>
              <w:t xml:space="preserve"> са плановима и циљевима</w:t>
            </w:r>
          </w:p>
        </w:tc>
      </w:tr>
      <w:bookmarkEnd w:id="18"/>
      <w:bookmarkEnd w:id="50"/>
    </w:tbl>
    <w:p w14:paraId="6F2BD80A" w14:textId="291D44CD" w:rsidR="00E66320" w:rsidRPr="0052271C" w:rsidRDefault="00E66320" w:rsidP="002C258E">
      <w:pPr>
        <w:spacing w:before="100" w:beforeAutospacing="1" w:after="100" w:afterAutospacing="1" w:line="276" w:lineRule="auto"/>
        <w:jc w:val="both"/>
        <w:rPr>
          <w:b/>
          <w:bCs/>
          <w:lang w:val="sr-Cyrl-RS" w:eastAsia="en-US"/>
        </w:rPr>
      </w:pPr>
    </w:p>
    <w:p w14:paraId="2108D51A" w14:textId="400DB80A" w:rsidR="00E66320" w:rsidRPr="0052271C" w:rsidRDefault="00E66320" w:rsidP="0030648B">
      <w:pPr>
        <w:spacing w:after="160" w:line="259" w:lineRule="auto"/>
        <w:rPr>
          <w:b/>
          <w:bCs/>
          <w:lang w:val="sr-Cyrl-RS" w:eastAsia="en-US"/>
        </w:rPr>
      </w:pPr>
      <w:r w:rsidRPr="0052271C">
        <w:rPr>
          <w:b/>
          <w:bCs/>
          <w:lang w:val="sr-Cyrl-RS" w:eastAsia="en-US"/>
        </w:rPr>
        <w:br w:type="page"/>
      </w:r>
    </w:p>
    <w:p w14:paraId="5AD3CCF9" w14:textId="1993232E" w:rsidR="00E66320" w:rsidRPr="0052271C" w:rsidRDefault="00E66320" w:rsidP="0030648B">
      <w:pPr>
        <w:pStyle w:val="Heading1"/>
        <w:numPr>
          <w:ilvl w:val="0"/>
          <w:numId w:val="26"/>
        </w:numPr>
        <w:tabs>
          <w:tab w:val="left" w:pos="426"/>
        </w:tabs>
        <w:spacing w:before="0" w:after="0" w:line="276" w:lineRule="auto"/>
        <w:ind w:left="0" w:firstLine="0"/>
        <w:jc w:val="center"/>
        <w:rPr>
          <w:rFonts w:ascii="Times New Roman" w:hAnsi="Times New Roman"/>
          <w:b w:val="0"/>
          <w:sz w:val="24"/>
          <w:szCs w:val="24"/>
          <w:lang w:val="sr-Cyrl-RS"/>
        </w:rPr>
      </w:pPr>
      <w:bookmarkStart w:id="67" w:name="_Toc63452469"/>
      <w:bookmarkStart w:id="68" w:name="_Toc63587104"/>
      <w:r w:rsidRPr="0052271C">
        <w:rPr>
          <w:rFonts w:ascii="Times New Roman" w:hAnsi="Times New Roman"/>
          <w:b w:val="0"/>
          <w:sz w:val="24"/>
          <w:szCs w:val="24"/>
          <w:lang w:val="sr-Cyrl-RS"/>
        </w:rPr>
        <w:lastRenderedPageBreak/>
        <w:t>ЗАВРШНЕ ОДРЕДБЕ</w:t>
      </w:r>
      <w:bookmarkEnd w:id="67"/>
      <w:bookmarkEnd w:id="68"/>
    </w:p>
    <w:p w14:paraId="3CB9660A" w14:textId="5C49A01F" w:rsidR="0030648B" w:rsidRPr="0052271C" w:rsidRDefault="0030648B" w:rsidP="0030648B">
      <w:pPr>
        <w:rPr>
          <w:lang w:val="sr-Cyrl-RS"/>
        </w:rPr>
      </w:pPr>
    </w:p>
    <w:p w14:paraId="0F9099F0" w14:textId="77777777" w:rsidR="0030648B" w:rsidRPr="0052271C" w:rsidRDefault="0030648B" w:rsidP="0030648B">
      <w:pPr>
        <w:rPr>
          <w:lang w:val="sr-Cyrl-RS"/>
        </w:rPr>
      </w:pPr>
    </w:p>
    <w:p w14:paraId="0A6B61F3" w14:textId="60CF12EC" w:rsidR="00E66320" w:rsidRPr="0052271C" w:rsidRDefault="00E66320" w:rsidP="0030648B">
      <w:pPr>
        <w:spacing w:line="276" w:lineRule="auto"/>
        <w:jc w:val="both"/>
        <w:rPr>
          <w:lang w:val="sr-Cyrl-RS" w:eastAsia="en-US"/>
        </w:rPr>
      </w:pPr>
      <w:r w:rsidRPr="0052271C">
        <w:rPr>
          <w:rFonts w:eastAsiaTheme="minorHAnsi"/>
          <w:b/>
          <w:lang w:val="sr-Cyrl-RS" w:eastAsia="en-US"/>
        </w:rPr>
        <w:tab/>
      </w:r>
      <w:r w:rsidRPr="0052271C">
        <w:rPr>
          <w:lang w:val="sr-Cyrl-RS" w:eastAsia="en-US"/>
        </w:rPr>
        <w:t xml:space="preserve">Ову стратегију објавити на интернет страници Владе, </w:t>
      </w:r>
      <w:r w:rsidR="0030648B" w:rsidRPr="0052271C">
        <w:rPr>
          <w:lang w:val="sr-Cyrl-RS" w:eastAsia="en-US"/>
        </w:rPr>
        <w:t xml:space="preserve">порталу е-Управa </w:t>
      </w:r>
      <w:r w:rsidR="004C5FD9" w:rsidRPr="0052271C">
        <w:rPr>
          <w:lang w:val="sr-Cyrl-RS" w:eastAsia="en-US"/>
        </w:rPr>
        <w:t xml:space="preserve">и </w:t>
      </w:r>
      <w:r w:rsidRPr="0052271C">
        <w:rPr>
          <w:lang w:val="sr-Cyrl-RS" w:eastAsia="en-US"/>
        </w:rPr>
        <w:t>интер</w:t>
      </w:r>
      <w:r w:rsidR="0030648B" w:rsidRPr="0052271C">
        <w:rPr>
          <w:lang w:val="sr-Cyrl-RS" w:eastAsia="en-US"/>
        </w:rPr>
        <w:t>нет страници Министарства привреде</w:t>
      </w:r>
      <w:r w:rsidRPr="0052271C">
        <w:rPr>
          <w:lang w:val="sr-Cyrl-RS" w:eastAsia="en-US"/>
        </w:rPr>
        <w:t xml:space="preserve">, у року од седам радних дана од дана усвајања. </w:t>
      </w:r>
    </w:p>
    <w:p w14:paraId="5499538F" w14:textId="32F9FC98" w:rsidR="00E66320" w:rsidRPr="0052271C" w:rsidRDefault="00E66320" w:rsidP="0030648B">
      <w:pPr>
        <w:spacing w:line="276" w:lineRule="auto"/>
        <w:ind w:firstLine="720"/>
        <w:jc w:val="both"/>
        <w:rPr>
          <w:lang w:val="sr-Cyrl-RS" w:eastAsia="en-US"/>
        </w:rPr>
      </w:pPr>
      <w:r w:rsidRPr="0052271C">
        <w:rPr>
          <w:lang w:val="sr-Cyrl-RS" w:eastAsia="en-US"/>
        </w:rPr>
        <w:t xml:space="preserve">Ову стратегију објавити у „Службеном гласнику Републике Србијеˮ. </w:t>
      </w:r>
    </w:p>
    <w:p w14:paraId="7A1D4070" w14:textId="7FEC6B75" w:rsidR="00E66320" w:rsidRPr="0052271C" w:rsidRDefault="00E66320" w:rsidP="00E66320">
      <w:pPr>
        <w:spacing w:before="100" w:beforeAutospacing="1" w:after="100" w:afterAutospacing="1" w:line="276" w:lineRule="auto"/>
        <w:jc w:val="both"/>
        <w:rPr>
          <w:b/>
          <w:bCs/>
          <w:lang w:val="sr-Cyrl-RS" w:eastAsia="en-US"/>
        </w:rPr>
      </w:pPr>
    </w:p>
    <w:p w14:paraId="28153C52" w14:textId="6DCE8D68" w:rsidR="0030648B" w:rsidRPr="0052271C" w:rsidRDefault="0030648B" w:rsidP="0030648B">
      <w:pPr>
        <w:tabs>
          <w:tab w:val="left" w:pos="851"/>
        </w:tabs>
        <w:jc w:val="both"/>
        <w:rPr>
          <w:lang w:val="sr-Cyrl-RS" w:eastAsia="en-US"/>
        </w:rPr>
      </w:pPr>
      <w:r w:rsidRPr="0052271C">
        <w:rPr>
          <w:lang w:val="sr-Cyrl-RS" w:eastAsia="en-US"/>
        </w:rPr>
        <w:t>05 Број:</w:t>
      </w:r>
      <w:r w:rsidR="00EC45A7" w:rsidRPr="0052271C">
        <w:rPr>
          <w:lang w:val="sr-Cyrl-RS" w:eastAsia="en-US"/>
        </w:rPr>
        <w:t xml:space="preserve"> 023-1270/2021-4</w:t>
      </w:r>
    </w:p>
    <w:p w14:paraId="51B7EF54" w14:textId="21A5B99D" w:rsidR="0030648B" w:rsidRPr="0052271C" w:rsidRDefault="0030648B" w:rsidP="0030648B">
      <w:pPr>
        <w:tabs>
          <w:tab w:val="left" w:pos="851"/>
        </w:tabs>
        <w:jc w:val="both"/>
        <w:rPr>
          <w:lang w:val="sr-Cyrl-RS" w:eastAsia="en-US"/>
        </w:rPr>
      </w:pPr>
      <w:r w:rsidRPr="0052271C">
        <w:rPr>
          <w:lang w:val="sr-Cyrl-RS" w:eastAsia="en-US"/>
        </w:rPr>
        <w:t xml:space="preserve">У Београду, </w:t>
      </w:r>
      <w:r w:rsidR="00EC45A7" w:rsidRPr="0052271C">
        <w:rPr>
          <w:lang w:val="sr-Cyrl-RS" w:eastAsia="en-US"/>
        </w:rPr>
        <w:t>1. априла 2021. године</w:t>
      </w:r>
      <w:r w:rsidRPr="0052271C">
        <w:rPr>
          <w:lang w:val="sr-Cyrl-RS" w:eastAsia="en-US"/>
        </w:rPr>
        <w:t xml:space="preserve">   </w:t>
      </w:r>
    </w:p>
    <w:p w14:paraId="186545AE" w14:textId="77777777" w:rsidR="0030648B" w:rsidRPr="0052271C" w:rsidRDefault="0030648B" w:rsidP="0030648B">
      <w:pPr>
        <w:tabs>
          <w:tab w:val="left" w:pos="851"/>
        </w:tabs>
        <w:jc w:val="both"/>
        <w:rPr>
          <w:lang w:val="sr-Cyrl-RS" w:eastAsia="en-US"/>
        </w:rPr>
      </w:pPr>
    </w:p>
    <w:p w14:paraId="002EE7BA" w14:textId="77777777" w:rsidR="0030648B" w:rsidRPr="0052271C" w:rsidRDefault="0030648B" w:rsidP="0030648B">
      <w:pPr>
        <w:tabs>
          <w:tab w:val="left" w:pos="851"/>
        </w:tabs>
        <w:jc w:val="both"/>
        <w:rPr>
          <w:lang w:val="sr-Cyrl-RS" w:eastAsia="en-US"/>
        </w:rPr>
      </w:pPr>
    </w:p>
    <w:p w14:paraId="227C70F0" w14:textId="77777777" w:rsidR="0030648B" w:rsidRPr="0052271C" w:rsidRDefault="0030648B" w:rsidP="0030648B">
      <w:pPr>
        <w:tabs>
          <w:tab w:val="left" w:pos="851"/>
        </w:tabs>
        <w:jc w:val="both"/>
        <w:rPr>
          <w:lang w:val="sr-Cyrl-RS" w:eastAsia="en-US"/>
        </w:rPr>
      </w:pPr>
      <w:r w:rsidRPr="0052271C">
        <w:rPr>
          <w:lang w:val="sr-Cyrl-RS" w:eastAsia="en-US"/>
        </w:rPr>
        <w:t xml:space="preserve">                                                                В  Л  А  Д  А</w:t>
      </w:r>
    </w:p>
    <w:p w14:paraId="1B055AAB" w14:textId="77777777" w:rsidR="0030648B" w:rsidRPr="0052271C" w:rsidRDefault="0030648B" w:rsidP="0030648B">
      <w:pPr>
        <w:tabs>
          <w:tab w:val="left" w:pos="851"/>
        </w:tabs>
        <w:jc w:val="both"/>
        <w:rPr>
          <w:lang w:val="sr-Cyrl-RS" w:eastAsia="en-US"/>
        </w:rPr>
      </w:pPr>
      <w:r w:rsidRPr="0052271C">
        <w:rPr>
          <w:lang w:val="sr-Cyrl-RS" w:eastAsia="en-US"/>
        </w:rPr>
        <w:t xml:space="preserve">                                                                                       </w:t>
      </w:r>
    </w:p>
    <w:p w14:paraId="37740BD1" w14:textId="77777777" w:rsidR="0030648B" w:rsidRPr="0052271C" w:rsidRDefault="0030648B" w:rsidP="0030648B">
      <w:pPr>
        <w:tabs>
          <w:tab w:val="left" w:pos="851"/>
        </w:tabs>
        <w:jc w:val="both"/>
        <w:rPr>
          <w:lang w:val="sr-Cyrl-RS" w:eastAsia="en-US"/>
        </w:rPr>
      </w:pPr>
    </w:p>
    <w:p w14:paraId="2813B2AA" w14:textId="77777777" w:rsidR="00EC45A7" w:rsidRPr="0052271C" w:rsidRDefault="0030648B" w:rsidP="0030648B">
      <w:pPr>
        <w:tabs>
          <w:tab w:val="left" w:pos="851"/>
        </w:tabs>
        <w:jc w:val="both"/>
        <w:rPr>
          <w:lang w:val="sr-Cyrl-RS" w:eastAsia="en-US"/>
        </w:rPr>
      </w:pPr>
      <w:r w:rsidRPr="0052271C">
        <w:rPr>
          <w:lang w:val="sr-Cyrl-RS" w:eastAsia="en-US"/>
        </w:rPr>
        <w:t xml:space="preserve">                                                                                                           ПРЕДСЕДНИК </w:t>
      </w:r>
    </w:p>
    <w:p w14:paraId="7340A1EE" w14:textId="77777777" w:rsidR="00EC45A7" w:rsidRPr="0052271C" w:rsidRDefault="00EC45A7" w:rsidP="0030648B">
      <w:pPr>
        <w:tabs>
          <w:tab w:val="left" w:pos="851"/>
        </w:tabs>
        <w:jc w:val="both"/>
        <w:rPr>
          <w:lang w:val="sr-Cyrl-RS" w:eastAsia="en-US"/>
        </w:rPr>
      </w:pPr>
    </w:p>
    <w:p w14:paraId="4EA090E8" w14:textId="77777777" w:rsidR="00EC45A7" w:rsidRPr="0052271C" w:rsidRDefault="00EC45A7" w:rsidP="00EC45A7">
      <w:pPr>
        <w:tabs>
          <w:tab w:val="left" w:pos="851"/>
        </w:tabs>
        <w:jc w:val="right"/>
        <w:rPr>
          <w:lang w:val="sr-Cyrl-RS" w:eastAsia="en-US"/>
        </w:rPr>
      </w:pPr>
    </w:p>
    <w:p w14:paraId="79F62584" w14:textId="27EF71BB" w:rsidR="0030648B" w:rsidRPr="0052271C" w:rsidRDefault="00EC45A7" w:rsidP="00EC45A7">
      <w:pPr>
        <w:tabs>
          <w:tab w:val="left" w:pos="851"/>
        </w:tabs>
        <w:jc w:val="center"/>
        <w:rPr>
          <w:lang w:val="sr-Cyrl-RS" w:eastAsia="en-US"/>
        </w:rPr>
      </w:pPr>
      <w:r w:rsidRPr="0052271C">
        <w:rPr>
          <w:lang w:val="sr-Cyrl-RS" w:eastAsia="en-US"/>
        </w:rPr>
        <w:t xml:space="preserve">                                                                  </w:t>
      </w:r>
      <w:r w:rsidR="00FD6381">
        <w:rPr>
          <w:lang w:val="sr-Cyrl-RS" w:eastAsia="en-US"/>
        </w:rPr>
        <w:t xml:space="preserve">                         </w:t>
      </w:r>
      <w:r w:rsidRPr="0052271C">
        <w:rPr>
          <w:lang w:val="sr-Cyrl-RS" w:eastAsia="en-US"/>
        </w:rPr>
        <w:t xml:space="preserve"> </w:t>
      </w:r>
      <w:r w:rsidR="002663A3" w:rsidRPr="0052271C">
        <w:rPr>
          <w:lang w:val="sr-Cyrl-RS" w:eastAsia="en-US"/>
        </w:rPr>
        <w:t xml:space="preserve"> </w:t>
      </w:r>
      <w:r w:rsidRPr="0052271C">
        <w:rPr>
          <w:lang w:val="sr-Cyrl-RS" w:eastAsia="en-US"/>
        </w:rPr>
        <w:t>Ана Брнабић, с.р.</w:t>
      </w:r>
    </w:p>
    <w:p w14:paraId="2BE3744C" w14:textId="77777777" w:rsidR="0030648B" w:rsidRPr="0052271C" w:rsidRDefault="0030648B" w:rsidP="00E66320">
      <w:pPr>
        <w:spacing w:before="100" w:beforeAutospacing="1" w:after="100" w:afterAutospacing="1" w:line="276" w:lineRule="auto"/>
        <w:jc w:val="both"/>
        <w:rPr>
          <w:b/>
          <w:bCs/>
          <w:lang w:val="sr-Cyrl-RS" w:eastAsia="en-US"/>
        </w:rPr>
      </w:pPr>
    </w:p>
    <w:sectPr w:rsidR="0030648B" w:rsidRPr="0052271C" w:rsidSect="00A57C06">
      <w:footerReference w:type="default" r:id="rId18"/>
      <w:pgSz w:w="11907" w:h="16839" w:code="9"/>
      <w:pgMar w:top="1440" w:right="1417" w:bottom="1440" w:left="1440" w:header="0" w:footer="11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69455F" w14:textId="77777777" w:rsidR="00F8212C" w:rsidRDefault="00F8212C" w:rsidP="000E23B2">
      <w:r>
        <w:separator/>
      </w:r>
    </w:p>
  </w:endnote>
  <w:endnote w:type="continuationSeparator" w:id="0">
    <w:p w14:paraId="07B5F7E0" w14:textId="77777777" w:rsidR="00F8212C" w:rsidRDefault="00F8212C" w:rsidP="000E23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Minion Pro">
    <w:altName w:val="Times New Roman"/>
    <w:panose1 w:val="00000000000000000000"/>
    <w:charset w:val="00"/>
    <w:family w:val="roman"/>
    <w:notTrueType/>
    <w:pitch w:val="default"/>
    <w:sig w:usb0="00000001" w:usb1="00000000" w:usb2="00000000" w:usb3="00000000" w:csb0="00000003"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2BE787" w14:textId="77777777" w:rsidR="00757C68" w:rsidRDefault="00757C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3674442"/>
      <w:docPartObj>
        <w:docPartGallery w:val="Page Numbers (Bottom of Page)"/>
        <w:docPartUnique/>
      </w:docPartObj>
    </w:sdtPr>
    <w:sdtEndPr>
      <w:rPr>
        <w:noProof/>
      </w:rPr>
    </w:sdtEndPr>
    <w:sdtContent>
      <w:p w14:paraId="1040C0CB" w14:textId="3271C3C2" w:rsidR="00757C68" w:rsidRDefault="00757C68">
        <w:pPr>
          <w:pStyle w:val="Footer"/>
          <w:jc w:val="right"/>
        </w:pPr>
        <w:r>
          <w:fldChar w:fldCharType="begin"/>
        </w:r>
        <w:r>
          <w:instrText xml:space="preserve"> PAGE   \* MERGEFORMAT </w:instrText>
        </w:r>
        <w:r>
          <w:fldChar w:fldCharType="separate"/>
        </w:r>
        <w:r w:rsidR="0009144F">
          <w:rPr>
            <w:noProof/>
          </w:rPr>
          <w:t>21</w:t>
        </w:r>
        <w:r>
          <w:rPr>
            <w:noProof/>
          </w:rPr>
          <w:fldChar w:fldCharType="end"/>
        </w:r>
      </w:p>
    </w:sdtContent>
  </w:sdt>
  <w:p w14:paraId="2FA6E30D" w14:textId="77777777" w:rsidR="00757C68" w:rsidRDefault="00757C6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2587951"/>
      <w:docPartObj>
        <w:docPartGallery w:val="Page Numbers (Bottom of Page)"/>
        <w:docPartUnique/>
      </w:docPartObj>
    </w:sdtPr>
    <w:sdtEndPr>
      <w:rPr>
        <w:noProof/>
      </w:rPr>
    </w:sdtEndPr>
    <w:sdtContent>
      <w:p w14:paraId="0BE1AD4E" w14:textId="594450BB" w:rsidR="00757C68" w:rsidRDefault="00F8212C">
        <w:pPr>
          <w:pStyle w:val="Footer"/>
          <w:jc w:val="right"/>
        </w:pPr>
      </w:p>
    </w:sdtContent>
  </w:sdt>
  <w:p w14:paraId="665051A8" w14:textId="77777777" w:rsidR="00757C68" w:rsidRDefault="00757C6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54166446"/>
      <w:docPartObj>
        <w:docPartGallery w:val="Page Numbers (Bottom of Page)"/>
        <w:docPartUnique/>
      </w:docPartObj>
    </w:sdtPr>
    <w:sdtEndPr>
      <w:rPr>
        <w:noProof/>
      </w:rPr>
    </w:sdtEndPr>
    <w:sdtContent>
      <w:p w14:paraId="67441E33" w14:textId="55AA790A" w:rsidR="00757C68" w:rsidRDefault="00757C68">
        <w:pPr>
          <w:pStyle w:val="Footer"/>
          <w:jc w:val="right"/>
        </w:pPr>
        <w:r>
          <w:fldChar w:fldCharType="begin"/>
        </w:r>
        <w:r>
          <w:instrText xml:space="preserve"> PAGE   \* MERGEFORMAT </w:instrText>
        </w:r>
        <w:r>
          <w:fldChar w:fldCharType="separate"/>
        </w:r>
        <w:r w:rsidR="0009144F">
          <w:rPr>
            <w:noProof/>
          </w:rPr>
          <w:t>41</w:t>
        </w:r>
        <w:r>
          <w:rPr>
            <w:noProof/>
          </w:rPr>
          <w:fldChar w:fldCharType="end"/>
        </w:r>
      </w:p>
    </w:sdtContent>
  </w:sdt>
  <w:p w14:paraId="6397609F" w14:textId="77777777" w:rsidR="00757C68" w:rsidRDefault="00757C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F48354" w14:textId="77777777" w:rsidR="00F8212C" w:rsidRDefault="00F8212C" w:rsidP="000E23B2">
      <w:r>
        <w:separator/>
      </w:r>
    </w:p>
  </w:footnote>
  <w:footnote w:type="continuationSeparator" w:id="0">
    <w:p w14:paraId="47450D3D" w14:textId="77777777" w:rsidR="00F8212C" w:rsidRDefault="00F8212C" w:rsidP="000E23B2">
      <w:r>
        <w:continuationSeparator/>
      </w:r>
    </w:p>
  </w:footnote>
  <w:footnote w:id="1">
    <w:p w14:paraId="2BC55FB1" w14:textId="1D108D77" w:rsidR="00757C68" w:rsidRPr="00742E84" w:rsidRDefault="00757C68">
      <w:pPr>
        <w:pStyle w:val="FootnoteText"/>
        <w:rPr>
          <w:rFonts w:ascii="Times New Roman" w:hAnsi="Times New Roman"/>
          <w:sz w:val="16"/>
          <w:szCs w:val="16"/>
          <w:lang w:val="sr-Cyrl-RS"/>
        </w:rPr>
      </w:pPr>
      <w:r w:rsidRPr="00D93305">
        <w:rPr>
          <w:rStyle w:val="FootnoteReference"/>
          <w:rFonts w:ascii="Times New Roman" w:hAnsi="Times New Roman"/>
          <w:sz w:val="16"/>
          <w:szCs w:val="16"/>
        </w:rPr>
        <w:footnoteRef/>
      </w:r>
      <w:r w:rsidRPr="00D93305">
        <w:rPr>
          <w:rFonts w:ascii="Times New Roman" w:hAnsi="Times New Roman"/>
          <w:sz w:val="16"/>
          <w:szCs w:val="16"/>
        </w:rPr>
        <w:t xml:space="preserve"> </w:t>
      </w:r>
      <w:r w:rsidRPr="00D93305">
        <w:rPr>
          <w:rFonts w:ascii="Times New Roman" w:hAnsi="Times New Roman"/>
          <w:sz w:val="16"/>
          <w:szCs w:val="16"/>
          <w:lang w:val="sr-Cyrl-RS"/>
        </w:rPr>
        <w:t xml:space="preserve">Кодекс корпоративног управљања </w:t>
      </w:r>
      <w:r>
        <w:rPr>
          <w:rFonts w:ascii="Times New Roman" w:hAnsi="Times New Roman"/>
          <w:sz w:val="16"/>
          <w:szCs w:val="16"/>
          <w:lang w:val="sr-Latn-RS"/>
        </w:rPr>
        <w:t>(</w:t>
      </w:r>
      <w:r w:rsidRPr="00D93305">
        <w:rPr>
          <w:rFonts w:ascii="Times New Roman" w:hAnsi="Times New Roman"/>
          <w:sz w:val="16"/>
          <w:szCs w:val="16"/>
          <w:lang w:val="sr-Cyrl-RS"/>
        </w:rPr>
        <w:t>„Службени гласник РС</w:t>
      </w:r>
      <w:r>
        <w:rPr>
          <w:rFonts w:ascii="Times New Roman" w:hAnsi="Times New Roman"/>
          <w:sz w:val="16"/>
          <w:szCs w:val="16"/>
          <w:lang w:val="sr-Cyrl-RS"/>
        </w:rPr>
        <w:t>ˮ</w:t>
      </w:r>
      <w:r>
        <w:rPr>
          <w:rFonts w:ascii="Times New Roman" w:hAnsi="Times New Roman"/>
          <w:sz w:val="16"/>
          <w:szCs w:val="16"/>
          <w:lang w:val="sr-Latn-RS"/>
        </w:rPr>
        <w:t>,</w:t>
      </w:r>
      <w:r w:rsidRPr="00D93305">
        <w:rPr>
          <w:rFonts w:ascii="Times New Roman" w:hAnsi="Times New Roman"/>
          <w:sz w:val="16"/>
          <w:szCs w:val="16"/>
          <w:lang w:val="sr-Cyrl-RS"/>
        </w:rPr>
        <w:t xml:space="preserve"> број 99/12</w:t>
      </w:r>
      <w:r>
        <w:rPr>
          <w:rFonts w:ascii="Times New Roman" w:hAnsi="Times New Roman"/>
          <w:sz w:val="16"/>
          <w:szCs w:val="16"/>
          <w:lang w:val="sr-Latn-RS"/>
        </w:rPr>
        <w:t xml:space="preserve">), </w:t>
      </w:r>
      <w:r>
        <w:rPr>
          <w:rFonts w:ascii="Times New Roman" w:hAnsi="Times New Roman"/>
          <w:sz w:val="16"/>
          <w:szCs w:val="16"/>
          <w:lang w:val="sr-Cyrl-RS"/>
        </w:rPr>
        <w:t>који је донела Привредна комора Србије</w:t>
      </w:r>
      <w:r w:rsidR="00CB0B2B">
        <w:rPr>
          <w:rFonts w:ascii="Times New Roman" w:hAnsi="Times New Roman"/>
          <w:sz w:val="16"/>
          <w:szCs w:val="16"/>
          <w:lang w:val="sr-Cyrl-RS"/>
        </w:rPr>
        <w:t>.</w:t>
      </w:r>
    </w:p>
  </w:footnote>
  <w:footnote w:id="2">
    <w:p w14:paraId="34D228D4" w14:textId="1F0FC72E" w:rsidR="00757C68" w:rsidRPr="00D93305" w:rsidRDefault="00757C68" w:rsidP="009C41C3">
      <w:pPr>
        <w:jc w:val="both"/>
        <w:rPr>
          <w:rFonts w:eastAsia="Calibri"/>
          <w:b/>
          <w:bCs/>
          <w:sz w:val="16"/>
          <w:szCs w:val="16"/>
          <w:lang w:val="sr-Cyrl-RS"/>
        </w:rPr>
      </w:pPr>
      <w:r w:rsidRPr="00D93305">
        <w:rPr>
          <w:rStyle w:val="FootnoteReference"/>
          <w:sz w:val="16"/>
          <w:szCs w:val="16"/>
        </w:rPr>
        <w:footnoteRef/>
      </w:r>
      <w:r w:rsidRPr="00D93305">
        <w:rPr>
          <w:sz w:val="16"/>
          <w:szCs w:val="16"/>
        </w:rPr>
        <w:t xml:space="preserve"> </w:t>
      </w:r>
      <w:r w:rsidRPr="00D93305">
        <w:rPr>
          <w:sz w:val="16"/>
          <w:szCs w:val="16"/>
          <w:lang w:val="sr-Cyrl-RS"/>
        </w:rPr>
        <w:t>У</w:t>
      </w:r>
      <w:r w:rsidRPr="00D93305">
        <w:rPr>
          <w:rFonts w:eastAsia="Calibri"/>
          <w:bCs/>
          <w:sz w:val="16"/>
          <w:szCs w:val="16"/>
          <w:lang w:val="sr-Latn-CS"/>
        </w:rPr>
        <w:t xml:space="preserve">поредни преглед модела </w:t>
      </w:r>
      <w:r w:rsidRPr="00D93305">
        <w:rPr>
          <w:rFonts w:eastAsia="Calibri"/>
          <w:bCs/>
          <w:sz w:val="16"/>
          <w:szCs w:val="16"/>
          <w:lang w:val="sr-Cyrl-RS"/>
        </w:rPr>
        <w:t xml:space="preserve">управљања државним власништвом израђен од стране </w:t>
      </w:r>
      <w:r>
        <w:rPr>
          <w:rFonts w:eastAsia="Calibri"/>
          <w:bCs/>
          <w:sz w:val="16"/>
          <w:szCs w:val="16"/>
          <w:lang w:val="sr-Cyrl-RS"/>
        </w:rPr>
        <w:t>Међународне финансијске корпорације</w:t>
      </w:r>
      <w:r w:rsidRPr="00742E84">
        <w:rPr>
          <w:rFonts w:eastAsia="Calibri"/>
          <w:bCs/>
          <w:sz w:val="16"/>
          <w:szCs w:val="16"/>
          <w:lang w:val="sr-Cyrl-RS"/>
        </w:rPr>
        <w:t xml:space="preserve"> (IFC)</w:t>
      </w:r>
      <w:r w:rsidRPr="00D93305">
        <w:rPr>
          <w:rFonts w:eastAsia="Calibri"/>
          <w:bCs/>
          <w:sz w:val="16"/>
          <w:szCs w:val="16"/>
          <w:lang w:val="sr-Latn-RS"/>
        </w:rPr>
        <w:t xml:space="preserve"> </w:t>
      </w:r>
      <w:r w:rsidRPr="00D93305">
        <w:rPr>
          <w:rFonts w:eastAsia="Calibri"/>
          <w:bCs/>
          <w:sz w:val="16"/>
          <w:szCs w:val="16"/>
          <w:lang w:val="sr-Cyrl-RS"/>
        </w:rPr>
        <w:t xml:space="preserve">у оквиру пројекта </w:t>
      </w:r>
      <w:r w:rsidRPr="00D93305">
        <w:rPr>
          <w:noProof/>
          <w:sz w:val="16"/>
          <w:szCs w:val="16"/>
          <w:lang w:val="sr-Cyrl-RS"/>
        </w:rPr>
        <w:t xml:space="preserve">саветодавног ангажмана, </w:t>
      </w:r>
      <w:r w:rsidRPr="00D93305">
        <w:rPr>
          <w:sz w:val="16"/>
          <w:szCs w:val="16"/>
          <w:lang w:val="sr-Cyrl-RS"/>
        </w:rPr>
        <w:t>са Међународном финансијском корпорацијом (IFC)</w:t>
      </w:r>
      <w:r w:rsidR="00CB0B2B">
        <w:rPr>
          <w:sz w:val="16"/>
          <w:szCs w:val="16"/>
          <w:lang w:val="sr-Cyrl-RS"/>
        </w:rPr>
        <w:t>.</w:t>
      </w:r>
    </w:p>
  </w:footnote>
  <w:footnote w:id="3">
    <w:p w14:paraId="7D7520C8" w14:textId="3B58E4FC" w:rsidR="00757C68" w:rsidRPr="00CB0B2B" w:rsidRDefault="00757C68" w:rsidP="009C41C3">
      <w:pPr>
        <w:pStyle w:val="FootnoteText"/>
        <w:jc w:val="both"/>
        <w:rPr>
          <w:rFonts w:ascii="Times New Roman" w:hAnsi="Times New Roman"/>
          <w:sz w:val="16"/>
          <w:szCs w:val="16"/>
          <w:lang w:val="sr-Cyrl-RS"/>
        </w:rPr>
      </w:pPr>
      <w:r w:rsidRPr="00D93305">
        <w:rPr>
          <w:rStyle w:val="FootnoteReference"/>
          <w:rFonts w:ascii="Times New Roman" w:eastAsiaTheme="majorEastAsia" w:hAnsi="Times New Roman"/>
          <w:sz w:val="16"/>
          <w:szCs w:val="16"/>
        </w:rPr>
        <w:footnoteRef/>
      </w:r>
      <w:r w:rsidRPr="00D93305">
        <w:rPr>
          <w:rFonts w:ascii="Times New Roman" w:hAnsi="Times New Roman"/>
          <w:sz w:val="16"/>
          <w:szCs w:val="16"/>
        </w:rPr>
        <w:t xml:space="preserve"> World Bank. 2014. Corporate Governance of State-Owned Enterprises: A Toolkit</w:t>
      </w:r>
      <w:r w:rsidR="00CB0B2B">
        <w:rPr>
          <w:rFonts w:ascii="Times New Roman" w:hAnsi="Times New Roman"/>
          <w:sz w:val="16"/>
          <w:szCs w:val="16"/>
          <w:lang w:val="sr-Cyrl-RS"/>
        </w:rPr>
        <w:t>.</w:t>
      </w:r>
    </w:p>
  </w:footnote>
  <w:footnote w:id="4">
    <w:p w14:paraId="2BFBD79F" w14:textId="2F735DFC" w:rsidR="00757C68" w:rsidRPr="00D93305" w:rsidRDefault="00757C68" w:rsidP="00D93305">
      <w:pPr>
        <w:spacing w:line="276" w:lineRule="auto"/>
        <w:contextualSpacing/>
        <w:jc w:val="both"/>
        <w:rPr>
          <w:rFonts w:eastAsia="Calibri"/>
          <w:sz w:val="16"/>
          <w:szCs w:val="16"/>
          <w:lang w:val="sr-Cyrl-RS"/>
        </w:rPr>
      </w:pPr>
      <w:r w:rsidRPr="00D93305">
        <w:rPr>
          <w:rStyle w:val="FootnoteReference"/>
          <w:sz w:val="16"/>
          <w:szCs w:val="16"/>
        </w:rPr>
        <w:footnoteRef/>
      </w:r>
      <w:r w:rsidRPr="00D93305">
        <w:rPr>
          <w:sz w:val="16"/>
          <w:szCs w:val="16"/>
        </w:rPr>
        <w:t xml:space="preserve"> </w:t>
      </w:r>
      <w:r w:rsidRPr="00D93305">
        <w:rPr>
          <w:rFonts w:eastAsia="Calibri"/>
          <w:sz w:val="16"/>
          <w:szCs w:val="16"/>
          <w:lang w:val="sr-Cyrl-RS"/>
        </w:rPr>
        <w:t xml:space="preserve">Смернице ОЕЦД препоручују да тај </w:t>
      </w:r>
      <w:r>
        <w:rPr>
          <w:rFonts w:eastAsia="Calibri"/>
          <w:sz w:val="16"/>
          <w:szCs w:val="16"/>
          <w:lang w:val="sr-Cyrl-RS"/>
        </w:rPr>
        <w:t xml:space="preserve">стратешки </w:t>
      </w:r>
      <w:r w:rsidRPr="00D93305">
        <w:rPr>
          <w:rFonts w:eastAsia="Calibri"/>
          <w:sz w:val="16"/>
          <w:szCs w:val="16"/>
          <w:lang w:val="sr-Cyrl-RS"/>
        </w:rPr>
        <w:t>документ: (1) садржи аргументацију тј. разлоге за  државно власништво; (2) прикаже дефинисане циљеве јавних политика; (3) садржи стратегију за вршење власничке функције; и (4) упути на политике, законе и прописе који се примењују на ПСРС и обједини их.</w:t>
      </w:r>
    </w:p>
  </w:footnote>
  <w:footnote w:id="5">
    <w:p w14:paraId="6F804564" w14:textId="0B5883FF" w:rsidR="00757C68" w:rsidRPr="00A76A65" w:rsidRDefault="00757C68" w:rsidP="009C41C3">
      <w:pPr>
        <w:pStyle w:val="FootnoteText"/>
        <w:jc w:val="both"/>
        <w:rPr>
          <w:rFonts w:ascii="Times New Roman" w:hAnsi="Times New Roman"/>
          <w:sz w:val="16"/>
          <w:szCs w:val="16"/>
          <w:lang w:val="sr-Cyrl-RS"/>
        </w:rPr>
      </w:pPr>
      <w:r w:rsidRPr="00D93305">
        <w:rPr>
          <w:rStyle w:val="FootnoteReference"/>
          <w:rFonts w:ascii="Times New Roman" w:hAnsi="Times New Roman"/>
          <w:sz w:val="16"/>
          <w:szCs w:val="16"/>
          <w:lang w:val="sr-Cyrl-RS"/>
        </w:rPr>
        <w:footnoteRef/>
      </w:r>
      <w:r w:rsidRPr="00D93305">
        <w:rPr>
          <w:rFonts w:ascii="Times New Roman" w:hAnsi="Times New Roman"/>
          <w:sz w:val="16"/>
          <w:szCs w:val="16"/>
          <w:lang w:val="sr-Cyrl-RS"/>
        </w:rPr>
        <w:t xml:space="preserve"> ОЕЦД (2015), Смернице ОЕЦД за корпоративно управљање државним предузећима, издање 2015. године, </w:t>
      </w:r>
      <w:r w:rsidRPr="00D93305">
        <w:rPr>
          <w:rFonts w:ascii="Times New Roman" w:hAnsi="Times New Roman"/>
          <w:i/>
          <w:sz w:val="16"/>
          <w:szCs w:val="16"/>
          <w:lang w:val="sr-Cyrl-RS"/>
        </w:rPr>
        <w:t>OECD Publishing</w:t>
      </w:r>
      <w:r w:rsidRPr="00D93305">
        <w:rPr>
          <w:rFonts w:ascii="Times New Roman" w:hAnsi="Times New Roman"/>
          <w:sz w:val="16"/>
          <w:szCs w:val="16"/>
          <w:lang w:val="sr-Cyrl-RS"/>
        </w:rPr>
        <w:t xml:space="preserve">, Paris. </w:t>
      </w:r>
      <w:r w:rsidRPr="00051A05">
        <w:rPr>
          <w:rFonts w:ascii="Times New Roman" w:hAnsi="Times New Roman"/>
          <w:sz w:val="16"/>
          <w:szCs w:val="16"/>
          <w:lang w:val="sr-Cyrl-RS"/>
        </w:rPr>
        <w:t>http://dx.doi.org/10.1787/9789264244160-en</w:t>
      </w:r>
      <w:r>
        <w:rPr>
          <w:rFonts w:ascii="Times New Roman" w:hAnsi="Times New Roman"/>
          <w:sz w:val="16"/>
          <w:szCs w:val="16"/>
          <w:lang w:val="sr-Cyrl-RS"/>
        </w:rPr>
        <w:t>.</w:t>
      </w:r>
    </w:p>
  </w:footnote>
  <w:footnote w:id="6">
    <w:p w14:paraId="349D3CC1" w14:textId="77777777" w:rsidR="00757C68" w:rsidRPr="00D147E8" w:rsidRDefault="00757C68" w:rsidP="00E26918">
      <w:pPr>
        <w:pStyle w:val="FootnoteText"/>
        <w:jc w:val="both"/>
        <w:rPr>
          <w:rFonts w:ascii="Times New Roman" w:hAnsi="Times New Roman"/>
          <w:sz w:val="16"/>
          <w:szCs w:val="16"/>
        </w:rPr>
      </w:pPr>
      <w:r w:rsidRPr="00D147E8">
        <w:rPr>
          <w:rStyle w:val="FootnoteReference"/>
          <w:rFonts w:ascii="Times New Roman" w:eastAsiaTheme="majorEastAsia" w:hAnsi="Times New Roman"/>
          <w:sz w:val="16"/>
          <w:szCs w:val="16"/>
        </w:rPr>
        <w:footnoteRef/>
      </w:r>
      <w:r w:rsidRPr="00D147E8">
        <w:rPr>
          <w:rFonts w:ascii="Times New Roman" w:hAnsi="Times New Roman"/>
          <w:sz w:val="16"/>
          <w:szCs w:val="16"/>
        </w:rPr>
        <w:t xml:space="preserve"> OECD (2018), Ownership and Governance of State-Owned Enterprises: A Compendium of National Practices</w:t>
      </w:r>
    </w:p>
  </w:footnote>
  <w:footnote w:id="7">
    <w:p w14:paraId="0F309554" w14:textId="77777777" w:rsidR="00757C68" w:rsidRPr="00D147E8" w:rsidRDefault="00757C68" w:rsidP="00E26918">
      <w:pPr>
        <w:pStyle w:val="FootnoteText"/>
        <w:jc w:val="both"/>
        <w:rPr>
          <w:rFonts w:ascii="Times New Roman" w:hAnsi="Times New Roman"/>
          <w:sz w:val="16"/>
          <w:szCs w:val="16"/>
        </w:rPr>
      </w:pPr>
      <w:r w:rsidRPr="00D147E8">
        <w:rPr>
          <w:rStyle w:val="FootnoteReference"/>
          <w:rFonts w:ascii="Times New Roman" w:eastAsiaTheme="majorEastAsia" w:hAnsi="Times New Roman"/>
          <w:sz w:val="16"/>
          <w:szCs w:val="16"/>
        </w:rPr>
        <w:footnoteRef/>
      </w:r>
      <w:r w:rsidRPr="00D147E8">
        <w:rPr>
          <w:rFonts w:ascii="Times New Roman" w:hAnsi="Times New Roman"/>
          <w:sz w:val="16"/>
          <w:szCs w:val="16"/>
        </w:rPr>
        <w:t xml:space="preserve"> IMF, 2019. Reassessing the Role of State-Owned Enterprises in Central, Eastern, and Southeastern Europe</w:t>
      </w:r>
    </w:p>
  </w:footnote>
  <w:footnote w:id="8">
    <w:p w14:paraId="2C55983D" w14:textId="77777777" w:rsidR="00757C68" w:rsidRPr="00D147E8" w:rsidRDefault="00757C68" w:rsidP="00E26918">
      <w:pPr>
        <w:pStyle w:val="FootnoteText"/>
        <w:jc w:val="both"/>
        <w:rPr>
          <w:rFonts w:ascii="Times New Roman" w:hAnsi="Times New Roman"/>
          <w:sz w:val="16"/>
          <w:szCs w:val="16"/>
        </w:rPr>
      </w:pPr>
      <w:r w:rsidRPr="00D147E8">
        <w:rPr>
          <w:rStyle w:val="FootnoteReference"/>
          <w:rFonts w:ascii="Times New Roman" w:eastAsiaTheme="majorEastAsia" w:hAnsi="Times New Roman"/>
          <w:sz w:val="16"/>
          <w:szCs w:val="16"/>
        </w:rPr>
        <w:footnoteRef/>
      </w:r>
      <w:r w:rsidRPr="00D147E8">
        <w:rPr>
          <w:rFonts w:ascii="Times New Roman" w:hAnsi="Times New Roman"/>
          <w:sz w:val="16"/>
          <w:szCs w:val="16"/>
          <w:lang w:val="ru-RU"/>
        </w:rPr>
        <w:t xml:space="preserve"> </w:t>
      </w:r>
      <w:r w:rsidRPr="00D147E8">
        <w:rPr>
          <w:rFonts w:ascii="Times New Roman" w:hAnsi="Times New Roman"/>
          <w:sz w:val="16"/>
          <w:szCs w:val="16"/>
        </w:rPr>
        <w:t>Смернице ОЕЦД за корпоративно управљање државним предузећима (2015), страна 18.</w:t>
      </w:r>
    </w:p>
  </w:footnote>
  <w:footnote w:id="9">
    <w:p w14:paraId="6ABE2D74" w14:textId="48AF623C" w:rsidR="00757C68" w:rsidRPr="00757C68" w:rsidRDefault="00757C68" w:rsidP="00E26918">
      <w:pPr>
        <w:pStyle w:val="FootnoteText"/>
        <w:jc w:val="both"/>
        <w:rPr>
          <w:rFonts w:ascii="Times New Roman" w:hAnsi="Times New Roman"/>
          <w:sz w:val="16"/>
          <w:szCs w:val="16"/>
          <w:lang w:val="sr-Cyrl-RS"/>
        </w:rPr>
      </w:pPr>
      <w:r w:rsidRPr="00D147E8">
        <w:rPr>
          <w:rStyle w:val="FootnoteReference"/>
          <w:rFonts w:ascii="Times New Roman" w:eastAsiaTheme="majorEastAsia" w:hAnsi="Times New Roman"/>
          <w:sz w:val="16"/>
          <w:szCs w:val="16"/>
        </w:rPr>
        <w:footnoteRef/>
      </w:r>
      <w:r w:rsidRPr="00D147E8">
        <w:rPr>
          <w:rFonts w:ascii="Times New Roman" w:hAnsi="Times New Roman"/>
          <w:sz w:val="16"/>
          <w:szCs w:val="16"/>
        </w:rPr>
        <w:t xml:space="preserve"> </w:t>
      </w:r>
      <w:r w:rsidRPr="00D147E8">
        <w:rPr>
          <w:rStyle w:val="jlqj4b"/>
          <w:rFonts w:ascii="Times New Roman" w:eastAsiaTheme="majorEastAsia" w:hAnsi="Times New Roman"/>
          <w:sz w:val="16"/>
          <w:szCs w:val="16"/>
          <w:lang w:val="sr-Latn-RS"/>
        </w:rPr>
        <w:t>Међуамеричка банка за развој</w:t>
      </w:r>
      <w:r w:rsidRPr="00D147E8">
        <w:rPr>
          <w:rFonts w:ascii="Times New Roman" w:hAnsi="Times New Roman"/>
          <w:sz w:val="16"/>
          <w:szCs w:val="16"/>
        </w:rPr>
        <w:t>, Енрике Морено де Асеведо Санчез (2016). Управљање државним предузећима: Предности централизованих модела</w:t>
      </w:r>
      <w:r>
        <w:rPr>
          <w:rFonts w:ascii="Times New Roman" w:hAnsi="Times New Roman"/>
          <w:sz w:val="16"/>
          <w:szCs w:val="16"/>
          <w:lang w:val="sr-Cyrl-RS"/>
        </w:rPr>
        <w:t>.</w:t>
      </w:r>
    </w:p>
  </w:footnote>
  <w:footnote w:id="10">
    <w:p w14:paraId="217E0763" w14:textId="5D5FA670" w:rsidR="00757C68" w:rsidRPr="00D147E8" w:rsidRDefault="00757C68" w:rsidP="00E26918">
      <w:pPr>
        <w:spacing w:line="276" w:lineRule="auto"/>
        <w:contextualSpacing/>
        <w:jc w:val="both"/>
        <w:rPr>
          <w:sz w:val="16"/>
          <w:szCs w:val="16"/>
          <w:lang w:val="sr-Latn-RS"/>
        </w:rPr>
      </w:pPr>
      <w:r w:rsidRPr="00D147E8">
        <w:rPr>
          <w:rStyle w:val="FootnoteReference"/>
          <w:sz w:val="16"/>
          <w:szCs w:val="16"/>
        </w:rPr>
        <w:footnoteRef/>
      </w:r>
      <w:r w:rsidRPr="00D147E8">
        <w:rPr>
          <w:sz w:val="16"/>
          <w:szCs w:val="16"/>
        </w:rPr>
        <w:t xml:space="preserve"> </w:t>
      </w:r>
      <w:r w:rsidRPr="00D147E8">
        <w:rPr>
          <w:sz w:val="16"/>
          <w:szCs w:val="16"/>
          <w:lang w:val="sr-Cyrl-RS"/>
        </w:rPr>
        <w:t>Критеријуми М</w:t>
      </w:r>
      <w:r>
        <w:rPr>
          <w:sz w:val="16"/>
          <w:szCs w:val="16"/>
          <w:lang w:val="sr-Cyrl-RS"/>
        </w:rPr>
        <w:t>еђународног монетарног фонда</w:t>
      </w:r>
      <w:r w:rsidRPr="00D147E8">
        <w:rPr>
          <w:sz w:val="16"/>
          <w:szCs w:val="16"/>
          <w:lang w:val="sr-Cyrl-RS"/>
        </w:rPr>
        <w:t xml:space="preserve"> наводе да </w:t>
      </w:r>
      <w:r w:rsidRPr="00D147E8">
        <w:rPr>
          <w:rFonts w:eastAsia="Calibri"/>
          <w:sz w:val="16"/>
          <w:szCs w:val="16"/>
          <w:lang w:val="sr-Cyrl-RS"/>
        </w:rPr>
        <w:t>владе треба да:  знају шта поседују и сачине обухватне спискове ПСРС; дефинишу зашто је држава власник и то прикажу у документу који ће формулисати власничку политику и одлуче којем</w:t>
      </w:r>
      <w:r w:rsidRPr="00D147E8">
        <w:rPr>
          <w:rFonts w:eastAsia="Calibri"/>
          <w:b/>
          <w:sz w:val="16"/>
          <w:szCs w:val="16"/>
          <w:lang w:val="sr-Cyrl-RS"/>
        </w:rPr>
        <w:t xml:space="preserve"> </w:t>
      </w:r>
      <w:r w:rsidRPr="00E66320">
        <w:rPr>
          <w:rFonts w:eastAsia="Calibri"/>
          <w:sz w:val="16"/>
          <w:szCs w:val="16"/>
          <w:lang w:val="sr-Cyrl-RS"/>
        </w:rPr>
        <w:t>телу</w:t>
      </w:r>
      <w:r w:rsidRPr="00D147E8">
        <w:rPr>
          <w:rFonts w:eastAsia="Calibri"/>
          <w:sz w:val="16"/>
          <w:szCs w:val="16"/>
          <w:lang w:val="sr-Cyrl-RS"/>
        </w:rPr>
        <w:t xml:space="preserve"> ће бити поверен задатак да врши власничка права; одреде ко ће управљати ПСРС на основу јасног процеса избора руководства и критеријума.</w:t>
      </w:r>
    </w:p>
  </w:footnote>
  <w:footnote w:id="11">
    <w:p w14:paraId="55DD697E" w14:textId="60B529FE" w:rsidR="00757C68" w:rsidRPr="00051A05" w:rsidRDefault="00757C68" w:rsidP="00051A05">
      <w:pPr>
        <w:spacing w:line="276" w:lineRule="auto"/>
        <w:contextualSpacing/>
        <w:jc w:val="both"/>
        <w:rPr>
          <w:sz w:val="16"/>
          <w:szCs w:val="16"/>
          <w:lang w:val="sr-Latn-RS"/>
        </w:rPr>
      </w:pPr>
      <w:r w:rsidRPr="00051A05">
        <w:rPr>
          <w:rStyle w:val="FootnoteReference"/>
          <w:rFonts w:eastAsiaTheme="majorEastAsia"/>
          <w:sz w:val="16"/>
          <w:szCs w:val="16"/>
        </w:rPr>
        <w:footnoteRef/>
      </w:r>
      <w:r w:rsidRPr="00051A05">
        <w:rPr>
          <w:sz w:val="16"/>
          <w:szCs w:val="16"/>
        </w:rPr>
        <w:t xml:space="preserve"> </w:t>
      </w:r>
      <w:r w:rsidRPr="00D147E8">
        <w:rPr>
          <w:sz w:val="16"/>
          <w:szCs w:val="16"/>
          <w:lang w:val="sr-Cyrl-RS"/>
        </w:rPr>
        <w:t>Критеријуми М</w:t>
      </w:r>
      <w:r>
        <w:rPr>
          <w:sz w:val="16"/>
          <w:szCs w:val="16"/>
          <w:lang w:val="sr-Cyrl-RS"/>
        </w:rPr>
        <w:t>еђународног монетарног фонда</w:t>
      </w:r>
      <w:r w:rsidRPr="00D147E8">
        <w:rPr>
          <w:sz w:val="16"/>
          <w:szCs w:val="16"/>
          <w:lang w:val="sr-Cyrl-RS"/>
        </w:rPr>
        <w:t xml:space="preserve"> наводе да </w:t>
      </w:r>
      <w:r w:rsidRPr="00D147E8">
        <w:rPr>
          <w:rFonts w:eastAsia="Calibri"/>
          <w:sz w:val="16"/>
          <w:szCs w:val="16"/>
          <w:lang w:val="sr-Cyrl-RS"/>
        </w:rPr>
        <w:t>владе треба да:  знају шта поседују и сачине обухватне спискове ПСРС; дефинишу зашто је држава власник и то прикажу у документу који ће формулисати власничку политику и одлуче којем</w:t>
      </w:r>
      <w:r w:rsidRPr="00D147E8">
        <w:rPr>
          <w:rFonts w:eastAsia="Calibri"/>
          <w:b/>
          <w:sz w:val="16"/>
          <w:szCs w:val="16"/>
          <w:lang w:val="sr-Cyrl-RS"/>
        </w:rPr>
        <w:t xml:space="preserve"> </w:t>
      </w:r>
      <w:r w:rsidRPr="00E66320">
        <w:rPr>
          <w:rFonts w:eastAsia="Calibri"/>
          <w:sz w:val="16"/>
          <w:szCs w:val="16"/>
          <w:lang w:val="sr-Cyrl-RS"/>
        </w:rPr>
        <w:t>телу</w:t>
      </w:r>
      <w:r w:rsidRPr="00D147E8">
        <w:rPr>
          <w:rFonts w:eastAsia="Calibri"/>
          <w:sz w:val="16"/>
          <w:szCs w:val="16"/>
          <w:lang w:val="sr-Cyrl-RS"/>
        </w:rPr>
        <w:t xml:space="preserve"> ће бити поверен задатак да врши власничка права; одреде ко ће управљати ПСРС на основу јасног процеса избора руководства и критеријума.</w:t>
      </w:r>
    </w:p>
  </w:footnote>
  <w:footnote w:id="12">
    <w:p w14:paraId="4821335D" w14:textId="3C0FE420" w:rsidR="00757C68" w:rsidRPr="00D93305" w:rsidRDefault="00757C68" w:rsidP="00E26918">
      <w:pPr>
        <w:pStyle w:val="wyq060---pododeljak"/>
        <w:jc w:val="both"/>
        <w:rPr>
          <w:rFonts w:ascii="Times New Roman" w:hAnsi="Times New Roman" w:cs="Times New Roman"/>
          <w:sz w:val="16"/>
          <w:szCs w:val="16"/>
          <w:lang w:val="sr-Cyrl-RS"/>
        </w:rPr>
      </w:pPr>
      <w:r w:rsidRPr="00D93305">
        <w:rPr>
          <w:rStyle w:val="FootnoteReference"/>
          <w:rFonts w:ascii="Times New Roman" w:hAnsi="Times New Roman" w:cs="Times New Roman"/>
          <w:sz w:val="16"/>
          <w:szCs w:val="16"/>
        </w:rPr>
        <w:footnoteRef/>
      </w:r>
      <w:r w:rsidRPr="00D93305">
        <w:rPr>
          <w:rFonts w:ascii="Times New Roman" w:hAnsi="Times New Roman" w:cs="Times New Roman"/>
          <w:sz w:val="16"/>
          <w:szCs w:val="16"/>
          <w:lang w:val="sr-Cyrl-RS"/>
        </w:rPr>
        <w:t>Кодекс корпоративног управљања</w:t>
      </w:r>
      <w:r>
        <w:rPr>
          <w:rFonts w:ascii="Times New Roman" w:hAnsi="Times New Roman" w:cs="Times New Roman"/>
          <w:sz w:val="16"/>
          <w:szCs w:val="16"/>
          <w:lang w:val="sr-Cyrl-RS"/>
        </w:rPr>
        <w:t xml:space="preserve"> (који је донела Привредна комора Србије) </w:t>
      </w:r>
      <w:r w:rsidRPr="00D93305">
        <w:rPr>
          <w:rFonts w:ascii="Times New Roman" w:hAnsi="Times New Roman" w:cs="Times New Roman"/>
          <w:sz w:val="16"/>
          <w:szCs w:val="16"/>
          <w:lang w:val="sr-Cyrl-RS"/>
        </w:rPr>
        <w:t xml:space="preserve">део трећи - </w:t>
      </w:r>
      <w:r w:rsidRPr="00D93305">
        <w:rPr>
          <w:rFonts w:ascii="Times New Roman" w:hAnsi="Times New Roman" w:cs="Times New Roman"/>
          <w:sz w:val="16"/>
          <w:szCs w:val="16"/>
          <w:lang w:val="sr-Latn-RS"/>
        </w:rPr>
        <w:t xml:space="preserve">Додатни принципи и препоруке за друштва капитала у којима је држава члан </w:t>
      </w:r>
      <w:r w:rsidRPr="00D93305">
        <w:rPr>
          <w:rFonts w:ascii="Times New Roman" w:hAnsi="Times New Roman" w:cs="Times New Roman"/>
          <w:sz w:val="16"/>
          <w:szCs w:val="16"/>
          <w:lang w:val="sr-Cyrl-RS"/>
        </w:rPr>
        <w:t>–</w:t>
      </w:r>
      <w:r>
        <w:rPr>
          <w:rFonts w:ascii="Times New Roman" w:hAnsi="Times New Roman" w:cs="Times New Roman"/>
          <w:sz w:val="16"/>
          <w:szCs w:val="16"/>
          <w:lang w:val="sr-Latn-RS"/>
        </w:rPr>
        <w:t xml:space="preserve"> </w:t>
      </w:r>
      <w:r w:rsidRPr="00D93305">
        <w:rPr>
          <w:rFonts w:ascii="Times New Roman" w:hAnsi="Times New Roman" w:cs="Times New Roman"/>
          <w:sz w:val="16"/>
          <w:szCs w:val="16"/>
          <w:lang w:val="sr-Cyrl-RS"/>
        </w:rPr>
        <w:t>Принципи и препоруке за државу</w:t>
      </w:r>
      <w:r>
        <w:rPr>
          <w:rFonts w:ascii="Times New Roman" w:hAnsi="Times New Roman" w:cs="Times New Roman"/>
          <w:sz w:val="16"/>
          <w:szCs w:val="16"/>
          <w:lang w:val="sr-Cyrl-RS"/>
        </w:rPr>
        <w:t>.</w:t>
      </w:r>
    </w:p>
  </w:footnote>
  <w:footnote w:id="13">
    <w:p w14:paraId="4C6E03A9" w14:textId="7BDF1FE8" w:rsidR="00757C68" w:rsidRPr="00D93305" w:rsidRDefault="00757C68" w:rsidP="00E26918">
      <w:pPr>
        <w:pStyle w:val="FootnoteText"/>
        <w:jc w:val="both"/>
        <w:rPr>
          <w:rFonts w:ascii="Times New Roman" w:hAnsi="Times New Roman"/>
          <w:sz w:val="16"/>
          <w:szCs w:val="16"/>
          <w:lang w:val="ru-RU"/>
        </w:rPr>
      </w:pPr>
      <w:r w:rsidRPr="00D93305">
        <w:rPr>
          <w:rStyle w:val="FootnoteReference"/>
          <w:rFonts w:ascii="Times New Roman" w:hAnsi="Times New Roman"/>
          <w:sz w:val="16"/>
          <w:szCs w:val="16"/>
        </w:rPr>
        <w:footnoteRef/>
      </w:r>
      <w:r w:rsidRPr="00D93305">
        <w:rPr>
          <w:rFonts w:ascii="Times New Roman" w:hAnsi="Times New Roman"/>
          <w:sz w:val="16"/>
          <w:szCs w:val="16"/>
          <w:lang w:val="ru-RU"/>
        </w:rPr>
        <w:t xml:space="preserve"> Министарство надзире </w:t>
      </w:r>
      <w:r w:rsidRPr="00D93305">
        <w:rPr>
          <w:rFonts w:ascii="Times New Roman" w:hAnsi="Times New Roman"/>
          <w:sz w:val="16"/>
          <w:szCs w:val="16"/>
          <w:lang w:val="sr-Cyrl-RS"/>
        </w:rPr>
        <w:t>ЈП и друг</w:t>
      </w:r>
      <w:r>
        <w:rPr>
          <w:rFonts w:ascii="Times New Roman" w:hAnsi="Times New Roman"/>
          <w:sz w:val="16"/>
          <w:szCs w:val="16"/>
          <w:lang w:val="sr-Cyrl-RS"/>
        </w:rPr>
        <w:t>е</w:t>
      </w:r>
      <w:r w:rsidRPr="00D93305">
        <w:rPr>
          <w:rFonts w:ascii="Times New Roman" w:hAnsi="Times New Roman"/>
          <w:sz w:val="16"/>
          <w:szCs w:val="16"/>
          <w:lang w:val="sr-Cyrl-RS"/>
        </w:rPr>
        <w:t xml:space="preserve"> ПСРС кој</w:t>
      </w:r>
      <w:r>
        <w:rPr>
          <w:rFonts w:ascii="Times New Roman" w:hAnsi="Times New Roman"/>
          <w:sz w:val="16"/>
          <w:szCs w:val="16"/>
          <w:lang w:val="sr-Cyrl-RS"/>
        </w:rPr>
        <w:t>и</w:t>
      </w:r>
      <w:r w:rsidRPr="00D93305">
        <w:rPr>
          <w:rFonts w:ascii="Times New Roman" w:hAnsi="Times New Roman"/>
          <w:sz w:val="16"/>
          <w:szCs w:val="16"/>
          <w:lang w:val="sr-Cyrl-RS"/>
        </w:rPr>
        <w:t xml:space="preserve"> обављају делатности од општег интереса и ПСРС кој</w:t>
      </w:r>
      <w:r>
        <w:rPr>
          <w:rFonts w:ascii="Times New Roman" w:hAnsi="Times New Roman"/>
          <w:sz w:val="16"/>
          <w:szCs w:val="16"/>
          <w:lang w:val="sr-Cyrl-RS"/>
        </w:rPr>
        <w:t>и</w:t>
      </w:r>
      <w:r w:rsidRPr="00D93305">
        <w:rPr>
          <w:rFonts w:ascii="Times New Roman" w:hAnsi="Times New Roman"/>
          <w:sz w:val="16"/>
          <w:szCs w:val="16"/>
          <w:lang w:val="sr-Cyrl-RS"/>
        </w:rPr>
        <w:t xml:space="preserve"> подлежу приватизацији.</w:t>
      </w:r>
    </w:p>
  </w:footnote>
  <w:footnote w:id="14">
    <w:p w14:paraId="338F5ACA" w14:textId="39D8047D" w:rsidR="00757C68" w:rsidRPr="00D93305" w:rsidRDefault="00757C68" w:rsidP="00E26918">
      <w:pPr>
        <w:pStyle w:val="FootnoteText"/>
        <w:jc w:val="both"/>
        <w:rPr>
          <w:rFonts w:ascii="Times New Roman" w:hAnsi="Times New Roman"/>
          <w:sz w:val="16"/>
          <w:szCs w:val="16"/>
          <w:lang w:val="ru-RU"/>
        </w:rPr>
      </w:pPr>
      <w:r w:rsidRPr="00D93305">
        <w:rPr>
          <w:rStyle w:val="FootnoteReference"/>
          <w:rFonts w:ascii="Times New Roman" w:hAnsi="Times New Roman"/>
          <w:sz w:val="16"/>
          <w:szCs w:val="16"/>
        </w:rPr>
        <w:footnoteRef/>
      </w:r>
      <w:r w:rsidRPr="00D93305">
        <w:rPr>
          <w:rFonts w:ascii="Times New Roman" w:hAnsi="Times New Roman"/>
          <w:sz w:val="16"/>
          <w:szCs w:val="16"/>
          <w:lang w:val="ru-RU"/>
        </w:rPr>
        <w:t xml:space="preserve"> </w:t>
      </w:r>
      <w:r w:rsidRPr="00D93305">
        <w:rPr>
          <w:rFonts w:ascii="Times New Roman" w:hAnsi="Times New Roman"/>
          <w:sz w:val="16"/>
          <w:szCs w:val="16"/>
          <w:lang w:val="sr-Cyrl-RS"/>
        </w:rPr>
        <w:t>Министарство финансија надзире ПСРС кој</w:t>
      </w:r>
      <w:r>
        <w:rPr>
          <w:rFonts w:ascii="Times New Roman" w:hAnsi="Times New Roman"/>
          <w:sz w:val="16"/>
          <w:szCs w:val="16"/>
          <w:lang w:val="sr-Cyrl-RS"/>
        </w:rPr>
        <w:t>и</w:t>
      </w:r>
      <w:r w:rsidRPr="00D93305">
        <w:rPr>
          <w:rFonts w:ascii="Times New Roman" w:hAnsi="Times New Roman"/>
          <w:sz w:val="16"/>
          <w:szCs w:val="16"/>
          <w:lang w:val="sr-Cyrl-RS"/>
        </w:rPr>
        <w:t xml:space="preserve"> представљају фискални ризик.</w:t>
      </w:r>
    </w:p>
  </w:footnote>
  <w:footnote w:id="15">
    <w:p w14:paraId="1A2BA2D4" w14:textId="519C046B" w:rsidR="00757C68" w:rsidRPr="00D93305" w:rsidRDefault="00757C68" w:rsidP="00E26918">
      <w:pPr>
        <w:pStyle w:val="FootnoteText"/>
        <w:jc w:val="both"/>
        <w:rPr>
          <w:rFonts w:ascii="Times New Roman" w:hAnsi="Times New Roman"/>
          <w:sz w:val="16"/>
          <w:szCs w:val="16"/>
          <w:lang w:val="sr-Cyrl-RS"/>
        </w:rPr>
      </w:pPr>
      <w:r w:rsidRPr="00D93305">
        <w:rPr>
          <w:rStyle w:val="FootnoteReference"/>
          <w:rFonts w:ascii="Times New Roman" w:hAnsi="Times New Roman"/>
          <w:sz w:val="16"/>
          <w:szCs w:val="16"/>
        </w:rPr>
        <w:footnoteRef/>
      </w:r>
      <w:r w:rsidRPr="00D93305">
        <w:rPr>
          <w:rFonts w:ascii="Times New Roman" w:hAnsi="Times New Roman"/>
          <w:sz w:val="16"/>
          <w:szCs w:val="16"/>
        </w:rPr>
        <w:t xml:space="preserve"> </w:t>
      </w:r>
      <w:r w:rsidRPr="00D93305">
        <w:rPr>
          <w:rFonts w:ascii="Times New Roman" w:hAnsi="Times New Roman"/>
          <w:sz w:val="16"/>
          <w:szCs w:val="16"/>
          <w:lang w:val="sr-Latn-RS"/>
        </w:rPr>
        <w:t>Svetska banka. 2014. Korporativno upravljanje preduzećima u državnom vlasništvu: Pribor za rad. DOI: 10.1596/978-1-4648-0222-5. Vašington: Svetska banka. Odobrenje: Creative Commons Attribution CC BY 3.0 IGO</w:t>
      </w:r>
      <w:r w:rsidR="00C233AE">
        <w:rPr>
          <w:rFonts w:ascii="Times New Roman" w:hAnsi="Times New Roman"/>
          <w:sz w:val="16"/>
          <w:szCs w:val="16"/>
          <w:lang w:val="sr-Latn-RS"/>
        </w:rPr>
        <w:t>.</w:t>
      </w:r>
    </w:p>
  </w:footnote>
  <w:footnote w:id="16">
    <w:p w14:paraId="72130DC5" w14:textId="696268FE" w:rsidR="00757C68" w:rsidRPr="00C233AE" w:rsidRDefault="00757C68" w:rsidP="00F76CCB">
      <w:pPr>
        <w:pStyle w:val="FootnoteText"/>
        <w:rPr>
          <w:rFonts w:ascii="Times New Roman" w:hAnsi="Times New Roman"/>
          <w:sz w:val="16"/>
          <w:szCs w:val="16"/>
          <w:lang w:val="en-US"/>
        </w:rPr>
      </w:pPr>
      <w:r w:rsidRPr="004E240E">
        <w:rPr>
          <w:rStyle w:val="FootnoteReference"/>
          <w:rFonts w:ascii="Times New Roman" w:hAnsi="Times New Roman"/>
          <w:sz w:val="16"/>
          <w:szCs w:val="16"/>
        </w:rPr>
        <w:footnoteRef/>
      </w:r>
      <w:r w:rsidRPr="004E240E">
        <w:rPr>
          <w:rFonts w:ascii="Times New Roman" w:hAnsi="Times New Roman"/>
          <w:sz w:val="16"/>
          <w:szCs w:val="16"/>
        </w:rPr>
        <w:t xml:space="preserve"> </w:t>
      </w:r>
      <w:r w:rsidRPr="004E240E">
        <w:rPr>
          <w:rFonts w:ascii="Times New Roman" w:hAnsi="Times New Roman"/>
          <w:sz w:val="16"/>
          <w:szCs w:val="16"/>
          <w:lang w:val="sr-Cyrl-RS"/>
        </w:rPr>
        <w:t xml:space="preserve">Преглед, анализа и уочени недостаци власничког управљања дати су у </w:t>
      </w:r>
      <w:r>
        <w:rPr>
          <w:rFonts w:ascii="Times New Roman" w:hAnsi="Times New Roman"/>
          <w:sz w:val="16"/>
          <w:szCs w:val="16"/>
          <w:lang w:val="sr-Cyrl-RS"/>
        </w:rPr>
        <w:t>глави</w:t>
      </w:r>
      <w:r w:rsidRPr="004E240E">
        <w:rPr>
          <w:rFonts w:ascii="Times New Roman" w:hAnsi="Times New Roman"/>
          <w:sz w:val="16"/>
          <w:szCs w:val="16"/>
          <w:lang w:val="sr-Cyrl-RS"/>
        </w:rPr>
        <w:t xml:space="preserve"> </w:t>
      </w:r>
      <w:r w:rsidRPr="004E240E">
        <w:rPr>
          <w:rFonts w:ascii="Times New Roman" w:hAnsi="Times New Roman"/>
          <w:sz w:val="16"/>
          <w:szCs w:val="16"/>
          <w:lang w:val="sr-Latn-RS"/>
        </w:rPr>
        <w:t>III.</w:t>
      </w:r>
      <w:r>
        <w:rPr>
          <w:rFonts w:ascii="Times New Roman" w:hAnsi="Times New Roman"/>
          <w:sz w:val="16"/>
          <w:szCs w:val="16"/>
          <w:lang w:val="sr-Cyrl-RS"/>
        </w:rPr>
        <w:t xml:space="preserve"> ПРЕГЛЕД И АНАЛИЗА ПОСТОЈЕЋЕГ СТАЊА, одељак </w:t>
      </w:r>
      <w:r w:rsidRPr="004E240E">
        <w:rPr>
          <w:rFonts w:ascii="Times New Roman" w:hAnsi="Times New Roman"/>
          <w:sz w:val="16"/>
          <w:szCs w:val="16"/>
          <w:lang w:val="sr-Latn-RS"/>
        </w:rPr>
        <w:t>2</w:t>
      </w:r>
      <w:r>
        <w:rPr>
          <w:rFonts w:ascii="Times New Roman" w:hAnsi="Times New Roman"/>
          <w:sz w:val="16"/>
          <w:szCs w:val="16"/>
          <w:lang w:val="sr-Cyrl-RS"/>
        </w:rPr>
        <w:t>. Власничко управљање</w:t>
      </w:r>
      <w:r w:rsidR="00C233AE">
        <w:rPr>
          <w:rFonts w:ascii="Times New Roman" w:hAnsi="Times New Roman"/>
          <w:sz w:val="16"/>
          <w:szCs w:val="16"/>
          <w:lang w:val="en-US"/>
        </w:rPr>
        <w:t>.</w:t>
      </w:r>
    </w:p>
  </w:footnote>
  <w:footnote w:id="17">
    <w:p w14:paraId="0C26C5F2" w14:textId="6DEFD047" w:rsidR="00757C68" w:rsidRPr="00F76CCB" w:rsidRDefault="00757C68" w:rsidP="00F76CCB">
      <w:pPr>
        <w:keepNext/>
        <w:spacing w:line="276" w:lineRule="auto"/>
        <w:jc w:val="both"/>
        <w:outlineLvl w:val="1"/>
        <w:rPr>
          <w:b/>
          <w:iCs/>
          <w:kern w:val="32"/>
          <w:sz w:val="16"/>
          <w:szCs w:val="16"/>
          <w:lang w:val="sr-Cyrl-RS"/>
        </w:rPr>
      </w:pPr>
      <w:r w:rsidRPr="00F76CCB">
        <w:rPr>
          <w:rStyle w:val="FootnoteReference"/>
          <w:sz w:val="16"/>
          <w:szCs w:val="16"/>
        </w:rPr>
        <w:footnoteRef/>
      </w:r>
      <w:r w:rsidRPr="00F76CCB">
        <w:rPr>
          <w:sz w:val="16"/>
          <w:szCs w:val="16"/>
        </w:rPr>
        <w:t xml:space="preserve"> </w:t>
      </w:r>
      <w:r w:rsidRPr="00F76CCB">
        <w:rPr>
          <w:sz w:val="16"/>
          <w:szCs w:val="16"/>
          <w:lang w:val="sr-Cyrl-RS"/>
        </w:rPr>
        <w:t xml:space="preserve">Више описано </w:t>
      </w:r>
      <w:r>
        <w:rPr>
          <w:sz w:val="16"/>
          <w:szCs w:val="16"/>
          <w:lang w:val="sr-Cyrl-RS"/>
        </w:rPr>
        <w:t xml:space="preserve">у глави </w:t>
      </w:r>
      <w:r w:rsidRPr="00027A41">
        <w:rPr>
          <w:iCs/>
          <w:sz w:val="16"/>
          <w:szCs w:val="16"/>
          <w:lang w:val="sr-Cyrl-RS"/>
        </w:rPr>
        <w:t>V.</w:t>
      </w:r>
      <w:r>
        <w:rPr>
          <w:iCs/>
          <w:sz w:val="16"/>
          <w:szCs w:val="16"/>
          <w:lang w:val="sr-Cyrl-RS"/>
        </w:rPr>
        <w:t xml:space="preserve"> </w:t>
      </w:r>
      <w:r w:rsidRPr="00027A41">
        <w:rPr>
          <w:iCs/>
          <w:sz w:val="16"/>
          <w:szCs w:val="16"/>
          <w:lang w:val="sr-Cyrl-RS"/>
        </w:rPr>
        <w:t>Мере за постизање општих и посебних циљева</w:t>
      </w:r>
      <w:r>
        <w:rPr>
          <w:iCs/>
          <w:sz w:val="16"/>
          <w:szCs w:val="16"/>
          <w:lang w:val="sr-Cyrl-RS"/>
        </w:rPr>
        <w:t xml:space="preserve">, одељак 1. </w:t>
      </w:r>
      <w:r w:rsidRPr="00027A41">
        <w:rPr>
          <w:iCs/>
          <w:sz w:val="16"/>
          <w:szCs w:val="16"/>
          <w:lang w:val="sr-Cyrl-RS"/>
        </w:rPr>
        <w:t>Мере за први посебни циљ - развој јединственог оквира власништва и управљања за све ПСРС</w:t>
      </w:r>
      <w:r>
        <w:rPr>
          <w:iCs/>
          <w:sz w:val="16"/>
          <w:szCs w:val="16"/>
          <w:lang w:val="sr-Cyrl-RS"/>
        </w:rPr>
        <w:t xml:space="preserve">, </w:t>
      </w:r>
      <w:r w:rsidRPr="00F76CCB">
        <w:rPr>
          <w:sz w:val="16"/>
          <w:szCs w:val="16"/>
          <w:lang w:val="sr-Cyrl-RS"/>
        </w:rPr>
        <w:t xml:space="preserve">у </w:t>
      </w:r>
      <w:r>
        <w:rPr>
          <w:sz w:val="16"/>
          <w:szCs w:val="16"/>
          <w:lang w:val="sr-Cyrl-RS"/>
        </w:rPr>
        <w:t>оквиру</w:t>
      </w:r>
      <w:r w:rsidRPr="00F76CCB">
        <w:rPr>
          <w:iCs/>
          <w:kern w:val="32"/>
          <w:sz w:val="16"/>
          <w:szCs w:val="16"/>
          <w:lang w:val="sr-Cyrl-RS"/>
        </w:rPr>
        <w:t xml:space="preserve"> Мер</w:t>
      </w:r>
      <w:r>
        <w:rPr>
          <w:iCs/>
          <w:kern w:val="32"/>
          <w:sz w:val="16"/>
          <w:szCs w:val="16"/>
          <w:lang w:val="sr-Cyrl-RS"/>
        </w:rPr>
        <w:t>е</w:t>
      </w:r>
      <w:r w:rsidRPr="00F76CCB">
        <w:rPr>
          <w:iCs/>
          <w:kern w:val="32"/>
          <w:sz w:val="16"/>
          <w:szCs w:val="16"/>
          <w:lang w:val="sr-Cyrl-RS"/>
        </w:rPr>
        <w:t xml:space="preserve"> 5</w:t>
      </w:r>
      <w:r>
        <w:rPr>
          <w:iCs/>
          <w:kern w:val="32"/>
          <w:sz w:val="16"/>
          <w:szCs w:val="16"/>
          <w:lang w:val="sr-Cyrl-RS"/>
        </w:rPr>
        <w:t>:</w:t>
      </w:r>
      <w:r w:rsidRPr="00F76CCB">
        <w:rPr>
          <w:iCs/>
          <w:kern w:val="32"/>
          <w:sz w:val="16"/>
          <w:szCs w:val="16"/>
          <w:lang w:val="sr-Cyrl-RS"/>
        </w:rPr>
        <w:t xml:space="preserve"> К</w:t>
      </w:r>
      <w:r>
        <w:rPr>
          <w:iCs/>
          <w:kern w:val="32"/>
          <w:sz w:val="16"/>
          <w:szCs w:val="16"/>
          <w:lang w:val="sr-Cyrl-RS"/>
        </w:rPr>
        <w:t>ласификација</w:t>
      </w:r>
      <w:r w:rsidRPr="00F76CCB">
        <w:rPr>
          <w:iCs/>
          <w:kern w:val="32"/>
          <w:sz w:val="16"/>
          <w:szCs w:val="16"/>
          <w:lang w:val="sr-Cyrl-RS"/>
        </w:rPr>
        <w:t xml:space="preserve"> ПСРС</w:t>
      </w:r>
    </w:p>
    <w:p w14:paraId="1AB41C04" w14:textId="4079650F" w:rsidR="00757C68" w:rsidRPr="00F76CCB" w:rsidRDefault="00757C68">
      <w:pPr>
        <w:pStyle w:val="FootnoteText"/>
        <w:rPr>
          <w:lang w:val="sr-Cyrl-RS"/>
        </w:rPr>
      </w:pPr>
    </w:p>
  </w:footnote>
  <w:footnote w:id="18">
    <w:p w14:paraId="1E0AF51D" w14:textId="7151AEE1" w:rsidR="00757C68" w:rsidRPr="00F10DEB" w:rsidRDefault="00757C68" w:rsidP="00E26918">
      <w:pPr>
        <w:pStyle w:val="FootnoteText"/>
        <w:jc w:val="both"/>
        <w:rPr>
          <w:rFonts w:ascii="Times New Roman" w:hAnsi="Times New Roman"/>
          <w:sz w:val="16"/>
          <w:szCs w:val="16"/>
          <w:lang w:val="sr-Cyrl-RS"/>
        </w:rPr>
      </w:pPr>
      <w:r w:rsidRPr="00F10DEB">
        <w:rPr>
          <w:rStyle w:val="FootnoteReference"/>
          <w:rFonts w:ascii="Times New Roman" w:hAnsi="Times New Roman"/>
          <w:sz w:val="16"/>
          <w:szCs w:val="16"/>
        </w:rPr>
        <w:footnoteRef/>
      </w:r>
      <w:r w:rsidRPr="00F10DEB">
        <w:rPr>
          <w:rFonts w:ascii="Times New Roman" w:hAnsi="Times New Roman"/>
          <w:sz w:val="16"/>
          <w:szCs w:val="16"/>
        </w:rPr>
        <w:t xml:space="preserve"> </w:t>
      </w:r>
      <w:r w:rsidRPr="00F10DEB">
        <w:rPr>
          <w:rFonts w:ascii="Times New Roman" w:hAnsi="Times New Roman"/>
          <w:sz w:val="16"/>
          <w:szCs w:val="16"/>
          <w:lang w:val="sr-Cyrl-RS"/>
        </w:rPr>
        <w:t>Закон о јавним предузећима, Закон о привредним друштв</w:t>
      </w:r>
      <w:r>
        <w:rPr>
          <w:rFonts w:ascii="Times New Roman" w:hAnsi="Times New Roman"/>
          <w:sz w:val="16"/>
          <w:szCs w:val="16"/>
          <w:lang w:val="sr-Cyrl-RS"/>
        </w:rPr>
        <w:t>има, Закон о јавној својини („Службени гласник РСˮ,</w:t>
      </w:r>
      <w:r w:rsidRPr="00591975">
        <w:rPr>
          <w:rFonts w:ascii="Times New Roman" w:hAnsi="Times New Roman"/>
          <w:sz w:val="16"/>
          <w:szCs w:val="16"/>
          <w:lang w:val="sr-Cyrl-RS"/>
        </w:rPr>
        <w:t xml:space="preserve"> бр</w:t>
      </w:r>
      <w:r w:rsidRPr="00591975">
        <w:rPr>
          <w:rFonts w:ascii="Times New Roman" w:hAnsi="Times New Roman"/>
          <w:sz w:val="16"/>
          <w:szCs w:val="16"/>
        </w:rPr>
        <w:t xml:space="preserve">. 72/11, 88/13, 105/14, 104/16 – </w:t>
      </w:r>
      <w:r w:rsidRPr="00591975">
        <w:rPr>
          <w:rFonts w:ascii="Times New Roman" w:hAnsi="Times New Roman"/>
          <w:sz w:val="16"/>
          <w:szCs w:val="16"/>
          <w:lang w:val="sr-Cyrl-RS"/>
        </w:rPr>
        <w:t>др. закон,</w:t>
      </w:r>
      <w:r w:rsidRPr="00591975">
        <w:rPr>
          <w:rFonts w:ascii="Times New Roman" w:hAnsi="Times New Roman"/>
          <w:sz w:val="16"/>
          <w:szCs w:val="16"/>
        </w:rPr>
        <w:t xml:space="preserve"> 108/16, 113/17, 95/18 </w:t>
      </w:r>
      <w:r w:rsidRPr="00591975">
        <w:rPr>
          <w:rFonts w:ascii="Times New Roman" w:hAnsi="Times New Roman"/>
          <w:sz w:val="16"/>
          <w:szCs w:val="16"/>
          <w:lang w:val="sr-Cyrl-RS"/>
        </w:rPr>
        <w:t>и</w:t>
      </w:r>
      <w:r w:rsidRPr="00591975">
        <w:rPr>
          <w:rFonts w:ascii="Times New Roman" w:hAnsi="Times New Roman"/>
          <w:sz w:val="16"/>
          <w:szCs w:val="16"/>
        </w:rPr>
        <w:t xml:space="preserve"> 153/20)</w:t>
      </w:r>
      <w:r w:rsidR="00EA0E6F">
        <w:rPr>
          <w:rFonts w:ascii="Times New Roman" w:hAnsi="Times New Roman"/>
          <w:sz w:val="16"/>
          <w:szCs w:val="16"/>
          <w:lang w:val="sr-Cyrl-RS"/>
        </w:rPr>
        <w:t>,</w:t>
      </w:r>
      <w:r>
        <w:rPr>
          <w:rFonts w:ascii="Times New Roman" w:hAnsi="Times New Roman"/>
          <w:sz w:val="16"/>
          <w:szCs w:val="16"/>
          <w:lang w:val="sr-Cyrl-RS"/>
        </w:rPr>
        <w:t xml:space="preserve"> итд.</w:t>
      </w:r>
    </w:p>
  </w:footnote>
  <w:footnote w:id="19">
    <w:p w14:paraId="09F95159" w14:textId="0DA862D6" w:rsidR="00757C68" w:rsidRPr="001E60D6" w:rsidRDefault="00757C68" w:rsidP="00E26918">
      <w:pPr>
        <w:pStyle w:val="FootnoteText"/>
        <w:jc w:val="both"/>
        <w:rPr>
          <w:rFonts w:ascii="Times New Roman" w:hAnsi="Times New Roman"/>
        </w:rPr>
      </w:pPr>
      <w:r w:rsidRPr="00F10DEB">
        <w:rPr>
          <w:rStyle w:val="FootnoteReference"/>
          <w:rFonts w:ascii="Times New Roman" w:eastAsiaTheme="majorEastAsia" w:hAnsi="Times New Roman"/>
          <w:sz w:val="16"/>
          <w:szCs w:val="16"/>
        </w:rPr>
        <w:footnoteRef/>
      </w:r>
      <w:r>
        <w:rPr>
          <w:rFonts w:ascii="Times New Roman" w:hAnsi="Times New Roman"/>
          <w:sz w:val="16"/>
          <w:szCs w:val="16"/>
        </w:rPr>
        <w:t xml:space="preserve"> Члан 2</w:t>
      </w:r>
      <w:r>
        <w:rPr>
          <w:rFonts w:ascii="Times New Roman" w:hAnsi="Times New Roman"/>
          <w:sz w:val="16"/>
          <w:szCs w:val="16"/>
          <w:lang w:val="sr-Cyrl-RS"/>
        </w:rPr>
        <w:t>.</w:t>
      </w:r>
      <w:r>
        <w:rPr>
          <w:rFonts w:ascii="Times New Roman" w:hAnsi="Times New Roman"/>
          <w:sz w:val="16"/>
          <w:szCs w:val="16"/>
        </w:rPr>
        <w:t xml:space="preserve"> Закон</w:t>
      </w:r>
      <w:r>
        <w:rPr>
          <w:rFonts w:ascii="Times New Roman" w:hAnsi="Times New Roman"/>
          <w:sz w:val="16"/>
          <w:szCs w:val="16"/>
          <w:lang w:val="sr-Cyrl-RS"/>
        </w:rPr>
        <w:t>а</w:t>
      </w:r>
      <w:r>
        <w:rPr>
          <w:rFonts w:ascii="Times New Roman" w:hAnsi="Times New Roman"/>
          <w:sz w:val="16"/>
          <w:szCs w:val="16"/>
        </w:rPr>
        <w:t xml:space="preserve"> о јавним предузећима</w:t>
      </w:r>
    </w:p>
  </w:footnote>
  <w:footnote w:id="20">
    <w:p w14:paraId="773788FC" w14:textId="77777777" w:rsidR="00757C68" w:rsidRPr="00AF6A9B" w:rsidRDefault="00757C68" w:rsidP="00616772">
      <w:pPr>
        <w:pStyle w:val="FootnoteText"/>
        <w:jc w:val="both"/>
        <w:rPr>
          <w:rFonts w:ascii="Times New Roman" w:hAnsi="Times New Roman"/>
          <w:sz w:val="16"/>
          <w:szCs w:val="16"/>
        </w:rPr>
      </w:pPr>
      <w:r w:rsidRPr="00AF6A9B">
        <w:rPr>
          <w:rStyle w:val="FootnoteReference"/>
          <w:rFonts w:ascii="Times New Roman" w:eastAsiaTheme="majorEastAsia" w:hAnsi="Times New Roman"/>
          <w:sz w:val="16"/>
          <w:szCs w:val="16"/>
        </w:rPr>
        <w:footnoteRef/>
      </w:r>
      <w:r w:rsidRPr="00AF6A9B">
        <w:rPr>
          <w:rFonts w:ascii="Times New Roman" w:hAnsi="Times New Roman"/>
          <w:sz w:val="16"/>
          <w:szCs w:val="16"/>
        </w:rPr>
        <w:t xml:space="preserve"> OECD (2018), Ownership and Governance of State-Owned Enterprises: A Compendium of National Practices</w:t>
      </w:r>
    </w:p>
  </w:footnote>
  <w:footnote w:id="21">
    <w:p w14:paraId="288F1845" w14:textId="77777777" w:rsidR="00757C68" w:rsidRPr="00D93305" w:rsidRDefault="00757C68" w:rsidP="00616772">
      <w:pPr>
        <w:pStyle w:val="FootnoteText"/>
        <w:rPr>
          <w:rFonts w:ascii="Times New Roman" w:hAnsi="Times New Roman"/>
          <w:sz w:val="16"/>
          <w:szCs w:val="16"/>
        </w:rPr>
      </w:pPr>
      <w:r w:rsidRPr="00D93305">
        <w:rPr>
          <w:rStyle w:val="FootnoteReference"/>
          <w:rFonts w:ascii="Times New Roman" w:eastAsiaTheme="majorEastAsia" w:hAnsi="Times New Roman"/>
          <w:sz w:val="16"/>
          <w:szCs w:val="16"/>
        </w:rPr>
        <w:footnoteRef/>
      </w:r>
      <w:r w:rsidRPr="00D93305">
        <w:rPr>
          <w:rFonts w:ascii="Times New Roman" w:hAnsi="Times New Roman"/>
          <w:sz w:val="16"/>
          <w:szCs w:val="16"/>
        </w:rPr>
        <w:t xml:space="preserve"> Corporate Governance of State-Owned Enterprises: A Toolkit, </w:t>
      </w:r>
      <w:r w:rsidRPr="00D93305">
        <w:rPr>
          <w:rFonts w:ascii="Times New Roman" w:hAnsi="Times New Roman"/>
          <w:sz w:val="16"/>
          <w:szCs w:val="16"/>
          <w:lang w:val="sr-Cyrl-CS"/>
        </w:rPr>
        <w:t>Светска банка</w:t>
      </w:r>
      <w:r w:rsidRPr="00D93305">
        <w:rPr>
          <w:rFonts w:ascii="Times New Roman" w:hAnsi="Times New Roman"/>
          <w:sz w:val="16"/>
          <w:szCs w:val="16"/>
        </w:rPr>
        <w:t xml:space="preserve"> 2014.</w:t>
      </w:r>
    </w:p>
  </w:footnote>
  <w:footnote w:id="22">
    <w:p w14:paraId="0EDB67A8" w14:textId="00154F26" w:rsidR="00757C68" w:rsidRPr="00D93305" w:rsidRDefault="00757C68" w:rsidP="00B02069">
      <w:pPr>
        <w:spacing w:after="160" w:line="259" w:lineRule="auto"/>
        <w:jc w:val="both"/>
        <w:rPr>
          <w:rFonts w:eastAsiaTheme="minorHAnsi"/>
          <w:sz w:val="16"/>
          <w:szCs w:val="16"/>
          <w:lang w:val="sr-Cyrl-RS" w:eastAsia="en-US"/>
        </w:rPr>
      </w:pPr>
      <w:r w:rsidRPr="00D93305">
        <w:rPr>
          <w:rStyle w:val="FootnoteReference"/>
          <w:sz w:val="16"/>
          <w:szCs w:val="16"/>
        </w:rPr>
        <w:footnoteRef/>
      </w:r>
      <w:r w:rsidRPr="00D93305">
        <w:rPr>
          <w:sz w:val="16"/>
          <w:szCs w:val="16"/>
        </w:rPr>
        <w:t xml:space="preserve"> </w:t>
      </w:r>
      <w:r w:rsidRPr="00D93305">
        <w:rPr>
          <w:rFonts w:eastAsiaTheme="minorHAnsi"/>
          <w:sz w:val="16"/>
          <w:szCs w:val="16"/>
          <w:lang w:val="sr-Cyrl-RS" w:eastAsia="en-US"/>
        </w:rPr>
        <w:t>Правилник о обрасцима тромесечних извештаја о реализацији годишњег, односно трогодишњег програма пословања јавних предузећа („Сл</w:t>
      </w:r>
      <w:r>
        <w:rPr>
          <w:rFonts w:eastAsiaTheme="minorHAnsi"/>
          <w:sz w:val="16"/>
          <w:szCs w:val="16"/>
          <w:lang w:val="sr-Cyrl-RS" w:eastAsia="en-US"/>
        </w:rPr>
        <w:t>ужбени</w:t>
      </w:r>
      <w:r w:rsidRPr="00D93305">
        <w:rPr>
          <w:rFonts w:eastAsiaTheme="minorHAnsi"/>
          <w:sz w:val="16"/>
          <w:szCs w:val="16"/>
          <w:lang w:val="sr-Cyrl-RS" w:eastAsia="en-US"/>
        </w:rPr>
        <w:t xml:space="preserve"> гласник РС</w:t>
      </w:r>
      <w:r>
        <w:rPr>
          <w:rFonts w:eastAsiaTheme="minorHAnsi"/>
          <w:sz w:val="16"/>
          <w:szCs w:val="16"/>
          <w:lang w:val="sr-Cyrl-RS" w:eastAsia="en-US"/>
        </w:rPr>
        <w:t>ˮ,</w:t>
      </w:r>
      <w:r w:rsidRPr="00D93305">
        <w:rPr>
          <w:rFonts w:eastAsiaTheme="minorHAnsi"/>
          <w:sz w:val="16"/>
          <w:szCs w:val="16"/>
          <w:lang w:val="sr-Cyrl-RS" w:eastAsia="en-US"/>
        </w:rPr>
        <w:t xml:space="preserve"> број 36/16).</w:t>
      </w:r>
    </w:p>
    <w:p w14:paraId="126D47BC" w14:textId="29A59079" w:rsidR="00757C68" w:rsidRPr="00B02069" w:rsidRDefault="00757C68">
      <w:pPr>
        <w:pStyle w:val="FootnoteText"/>
        <w:rPr>
          <w:lang w:val="sr-Cyrl-RS"/>
        </w:rPr>
      </w:pPr>
    </w:p>
  </w:footnote>
  <w:footnote w:id="23">
    <w:p w14:paraId="58F35D97" w14:textId="03452ABE" w:rsidR="00757C68" w:rsidRPr="005C22EC" w:rsidRDefault="00757C68" w:rsidP="00D147E8">
      <w:pPr>
        <w:pStyle w:val="FootnoteText"/>
        <w:jc w:val="both"/>
        <w:rPr>
          <w:rFonts w:ascii="Times New Roman" w:hAnsi="Times New Roman"/>
          <w:sz w:val="16"/>
          <w:szCs w:val="16"/>
          <w:lang w:val="sr-Cyrl-RS"/>
        </w:rPr>
      </w:pPr>
      <w:r w:rsidRPr="008023F2">
        <w:rPr>
          <w:rStyle w:val="FootnoteReference"/>
          <w:rFonts w:ascii="Times New Roman" w:eastAsiaTheme="majorEastAsia" w:hAnsi="Times New Roman"/>
          <w:sz w:val="16"/>
          <w:szCs w:val="16"/>
        </w:rPr>
        <w:footnoteRef/>
      </w:r>
      <w:r w:rsidRPr="008023F2">
        <w:rPr>
          <w:rFonts w:ascii="Times New Roman" w:hAnsi="Times New Roman"/>
          <w:sz w:val="16"/>
          <w:szCs w:val="16"/>
        </w:rPr>
        <w:t xml:space="preserve"> С</w:t>
      </w:r>
      <w:r w:rsidRPr="008023F2">
        <w:rPr>
          <w:rFonts w:ascii="Times New Roman" w:hAnsi="Times New Roman"/>
          <w:color w:val="000000"/>
          <w:sz w:val="16"/>
          <w:szCs w:val="16"/>
        </w:rPr>
        <w:t>тудија „Ниво корпорaтивног упрaвљaњa у јaвним предузећимa чији је оснивaч Републикa Србијa</w:t>
      </w:r>
      <w:r>
        <w:rPr>
          <w:rFonts w:ascii="Times New Roman" w:hAnsi="Times New Roman"/>
          <w:color w:val="000000"/>
          <w:sz w:val="16"/>
          <w:szCs w:val="16"/>
        </w:rPr>
        <w:t>ˮ</w:t>
      </w:r>
      <w:r w:rsidR="005C22EC">
        <w:rPr>
          <w:rFonts w:ascii="Times New Roman" w:hAnsi="Times New Roman"/>
          <w:color w:val="000000"/>
          <w:sz w:val="16"/>
          <w:szCs w:val="16"/>
          <w:lang w:val="sr-Cyrl-RS"/>
        </w:rPr>
        <w:t>.</w:t>
      </w:r>
    </w:p>
  </w:footnote>
  <w:footnote w:id="24">
    <w:p w14:paraId="207BF2CD" w14:textId="3402A616" w:rsidR="00757C68" w:rsidRPr="008023F2" w:rsidRDefault="00757C68" w:rsidP="008023F2">
      <w:pPr>
        <w:tabs>
          <w:tab w:val="left" w:pos="284"/>
        </w:tabs>
        <w:spacing w:line="276" w:lineRule="auto"/>
        <w:contextualSpacing/>
        <w:jc w:val="both"/>
        <w:rPr>
          <w:rFonts w:eastAsiaTheme="minorHAnsi"/>
          <w:sz w:val="16"/>
          <w:szCs w:val="16"/>
          <w:lang w:val="sr-Cyrl-RS" w:eastAsia="en-US"/>
        </w:rPr>
      </w:pPr>
      <w:r w:rsidRPr="008023F2">
        <w:rPr>
          <w:rStyle w:val="FootnoteReference"/>
          <w:sz w:val="16"/>
          <w:szCs w:val="16"/>
        </w:rPr>
        <w:footnoteRef/>
      </w:r>
      <w:r w:rsidRPr="008023F2">
        <w:rPr>
          <w:sz w:val="16"/>
          <w:szCs w:val="16"/>
        </w:rPr>
        <w:t xml:space="preserve"> </w:t>
      </w:r>
      <w:r w:rsidRPr="00C44C5D">
        <w:rPr>
          <w:sz w:val="15"/>
          <w:szCs w:val="15"/>
          <w:lang w:val="sr-Cyrl-RS"/>
        </w:rPr>
        <w:t xml:space="preserve">Сарадња са међународним институцијама се односила на корпоративно управљање искључиво јавних предузећа и друштава капитала (ДОО и АД) која обављају делатност од општег интереса  и у складу са тим је у Стратегији приказана анализа нивоа корпоративног управљања у овим предузећима. У циљу остварења истраживања система корпоративног управљања, Министарство је учествовало у спровођењу пројеката „Перформˮ који је подржала Швајцарска агенција за развој и сарадњу SDC, а истраживачки тим Економског факултета и Фондације за развој економске науке </w:t>
      </w:r>
      <w:r w:rsidR="00C44C5D" w:rsidRPr="00C44C5D">
        <w:rPr>
          <w:sz w:val="15"/>
          <w:szCs w:val="15"/>
          <w:lang w:val="sr-Cyrl-RS"/>
        </w:rPr>
        <w:t xml:space="preserve">су </w:t>
      </w:r>
      <w:r w:rsidRPr="00C44C5D">
        <w:rPr>
          <w:sz w:val="15"/>
          <w:szCs w:val="15"/>
          <w:lang w:val="sr-Cyrl-RS"/>
        </w:rPr>
        <w:t>изради</w:t>
      </w:r>
      <w:r w:rsidR="00C44C5D" w:rsidRPr="00C44C5D">
        <w:rPr>
          <w:sz w:val="15"/>
          <w:szCs w:val="15"/>
          <w:lang w:val="sr-Cyrl-RS"/>
        </w:rPr>
        <w:t>ли</w:t>
      </w:r>
      <w:r w:rsidRPr="00C44C5D">
        <w:rPr>
          <w:sz w:val="15"/>
          <w:szCs w:val="15"/>
          <w:lang w:val="sr-Cyrl-RS"/>
        </w:rPr>
        <w:t xml:space="preserve"> студију „Ниво корпорaтивног упрaвљaња у јaвним предузећимa чији је оснивaч Републикa Србијаˮ. Такође, на основу</w:t>
      </w:r>
      <w:r w:rsidRPr="00C44C5D">
        <w:rPr>
          <w:noProof/>
          <w:sz w:val="15"/>
          <w:szCs w:val="15"/>
          <w:lang w:val="sr-Cyrl-RS"/>
        </w:rPr>
        <w:t xml:space="preserve"> саветодавног ангажмана, </w:t>
      </w:r>
      <w:r w:rsidRPr="00C44C5D">
        <w:rPr>
          <w:sz w:val="15"/>
          <w:szCs w:val="15"/>
          <w:lang w:val="sr-Cyrl-RS"/>
        </w:rPr>
        <w:t>са Међународном финансијском корпорацијом (IFC)</w:t>
      </w:r>
      <w:r w:rsidRPr="00C44C5D">
        <w:rPr>
          <w:noProof/>
          <w:sz w:val="15"/>
          <w:szCs w:val="15"/>
          <w:lang w:val="sr-Cyrl-RS"/>
        </w:rPr>
        <w:t xml:space="preserve"> </w:t>
      </w:r>
      <w:r w:rsidRPr="00C44C5D">
        <w:rPr>
          <w:sz w:val="15"/>
          <w:szCs w:val="15"/>
          <w:lang w:val="sr-Cyrl-RS"/>
        </w:rPr>
        <w:t xml:space="preserve">спроведено је истраживање затеченог нивоа корпоративног управљања у 25 јавних предузећа и друштава капитала која обављају делатност од општег интереса, од којих су </w:t>
      </w:r>
      <w:r w:rsidRPr="00C44C5D">
        <w:rPr>
          <w:kern w:val="16"/>
          <w:sz w:val="15"/>
          <w:szCs w:val="15"/>
          <w:lang w:val="sr-Cyrl-RS" w:eastAsia="ar-SA"/>
        </w:rPr>
        <w:t>прикупљени подаци, путем упитника (</w:t>
      </w:r>
      <w:r w:rsidRPr="00C44C5D">
        <w:rPr>
          <w:i/>
          <w:kern w:val="16"/>
          <w:sz w:val="15"/>
          <w:szCs w:val="15"/>
          <w:lang w:val="sr-Cyrl-RS" w:eastAsia="ar-SA"/>
        </w:rPr>
        <w:t>Scorecard</w:t>
      </w:r>
      <w:r w:rsidRPr="00C44C5D">
        <w:rPr>
          <w:kern w:val="16"/>
          <w:sz w:val="15"/>
          <w:szCs w:val="15"/>
          <w:lang w:val="sr-Cyrl-RS" w:eastAsia="ar-SA"/>
        </w:rPr>
        <w:t>-a) и интервјуа.</w:t>
      </w:r>
      <w:r w:rsidRPr="00C44C5D">
        <w:rPr>
          <w:rFonts w:eastAsia="Calibri"/>
          <w:sz w:val="15"/>
          <w:szCs w:val="15"/>
          <w:lang w:val="sr-Cyrl-RS"/>
        </w:rPr>
        <w:t xml:space="preserve"> </w:t>
      </w:r>
      <w:r w:rsidRPr="00C44C5D">
        <w:rPr>
          <w:sz w:val="15"/>
          <w:szCs w:val="15"/>
          <w:lang w:val="sr-Cyrl-RS"/>
        </w:rPr>
        <w:t xml:space="preserve">У циљу даљег унапређења корпоративног управљања у јавним предузећима, </w:t>
      </w:r>
      <w:r w:rsidRPr="00C44C5D">
        <w:rPr>
          <w:rFonts w:eastAsia="Calibri"/>
          <w:sz w:val="15"/>
          <w:szCs w:val="15"/>
          <w:lang w:val="sr-Cyrl-RS"/>
        </w:rPr>
        <w:t>настављена је сарадња</w:t>
      </w:r>
      <w:r w:rsidRPr="00C44C5D">
        <w:rPr>
          <w:noProof/>
          <w:sz w:val="15"/>
          <w:szCs w:val="15"/>
          <w:lang w:val="sr-Cyrl-RS"/>
        </w:rPr>
        <w:t xml:space="preserve"> са Међународном финансијском корпорацијом (IFC), са којом се у сарадњи </w:t>
      </w:r>
      <w:r w:rsidRPr="00C44C5D">
        <w:rPr>
          <w:sz w:val="15"/>
          <w:szCs w:val="15"/>
          <w:lang w:val="sr-Cyrl-RS"/>
        </w:rPr>
        <w:t>израђују акти за додатно стручно усавршавање у области корпоративног управљања органа управљања у јавним предузећима.</w:t>
      </w:r>
    </w:p>
    <w:p w14:paraId="37B33BD3" w14:textId="515E72DA" w:rsidR="00757C68" w:rsidRPr="00607114" w:rsidRDefault="00757C68" w:rsidP="00D147E8">
      <w:pPr>
        <w:pStyle w:val="FootnoteText"/>
        <w:jc w:val="both"/>
        <w:rPr>
          <w:rFonts w:ascii="Times New Roman" w:hAnsi="Times New Roman"/>
          <w:sz w:val="16"/>
          <w:szCs w:val="16"/>
          <w:lang w:val="sr-Cyrl-RS"/>
        </w:rPr>
      </w:pPr>
    </w:p>
  </w:footnote>
  <w:footnote w:id="25">
    <w:p w14:paraId="23D7D353" w14:textId="68C4DAB1" w:rsidR="00757C68" w:rsidRPr="00FB4901" w:rsidRDefault="00757C68" w:rsidP="00DA0363">
      <w:pPr>
        <w:pStyle w:val="FootnoteText"/>
        <w:jc w:val="both"/>
        <w:rPr>
          <w:rFonts w:ascii="Times New Roman" w:hAnsi="Times New Roman"/>
          <w:sz w:val="16"/>
          <w:szCs w:val="16"/>
        </w:rPr>
      </w:pPr>
      <w:r w:rsidRPr="00FB4901">
        <w:rPr>
          <w:rStyle w:val="FootnoteReference"/>
          <w:rFonts w:ascii="Times New Roman" w:eastAsiaTheme="majorEastAsia" w:hAnsi="Times New Roman"/>
          <w:sz w:val="16"/>
          <w:szCs w:val="16"/>
        </w:rPr>
        <w:footnoteRef/>
      </w:r>
      <w:r w:rsidRPr="00FB4901">
        <w:rPr>
          <w:rFonts w:ascii="Times New Roman" w:hAnsi="Times New Roman"/>
          <w:sz w:val="16"/>
          <w:szCs w:val="16"/>
        </w:rPr>
        <w:t xml:space="preserve"> О</w:t>
      </w:r>
      <w:r w:rsidRPr="00FB4901">
        <w:rPr>
          <w:rStyle w:val="jlqj4b"/>
          <w:rFonts w:ascii="Times New Roman" w:eastAsiaTheme="majorEastAsia" w:hAnsi="Times New Roman"/>
          <w:sz w:val="16"/>
          <w:szCs w:val="16"/>
          <w:lang w:val="sr-Latn-RS"/>
        </w:rPr>
        <w:t>во није дозвољено у јавн</w:t>
      </w:r>
      <w:r w:rsidRPr="00FB4901">
        <w:rPr>
          <w:rStyle w:val="jlqj4b"/>
          <w:rFonts w:ascii="Times New Roman" w:eastAsiaTheme="majorEastAsia" w:hAnsi="Times New Roman"/>
          <w:sz w:val="16"/>
          <w:szCs w:val="16"/>
        </w:rPr>
        <w:t>им</w:t>
      </w:r>
      <w:r w:rsidRPr="00FB4901">
        <w:rPr>
          <w:rStyle w:val="jlqj4b"/>
          <w:rFonts w:ascii="Times New Roman" w:eastAsiaTheme="majorEastAsia" w:hAnsi="Times New Roman"/>
          <w:sz w:val="16"/>
          <w:szCs w:val="16"/>
          <w:lang w:val="sr-Latn-RS"/>
        </w:rPr>
        <w:t xml:space="preserve"> АД</w:t>
      </w:r>
      <w:r>
        <w:rPr>
          <w:rStyle w:val="jlqj4b"/>
          <w:rFonts w:ascii="Times New Roman" w:eastAsiaTheme="majorEastAsia" w:hAnsi="Times New Roman"/>
          <w:sz w:val="16"/>
          <w:szCs w:val="16"/>
          <w:lang w:val="sr-Cyrl-RS"/>
        </w:rPr>
        <w:t>,</w:t>
      </w:r>
      <w:r w:rsidRPr="00FB4901">
        <w:rPr>
          <w:rStyle w:val="jlqj4b"/>
          <w:rFonts w:ascii="Times New Roman" w:eastAsiaTheme="majorEastAsia" w:hAnsi="Times New Roman"/>
          <w:sz w:val="16"/>
          <w:szCs w:val="16"/>
          <w:lang w:val="sr-Latn-RS"/>
        </w:rPr>
        <w:t xml:space="preserve"> према Закону о </w:t>
      </w:r>
      <w:r w:rsidRPr="00FB4901">
        <w:rPr>
          <w:rStyle w:val="jlqj4b"/>
          <w:rFonts w:ascii="Times New Roman" w:eastAsiaTheme="majorEastAsia" w:hAnsi="Times New Roman"/>
          <w:sz w:val="16"/>
          <w:szCs w:val="16"/>
        </w:rPr>
        <w:t>привредним друштвима</w:t>
      </w:r>
      <w:r w:rsidRPr="00FB4901">
        <w:rPr>
          <w:rStyle w:val="jlqj4b"/>
          <w:rFonts w:ascii="Times New Roman" w:eastAsiaTheme="majorEastAsia" w:hAnsi="Times New Roman"/>
          <w:sz w:val="16"/>
          <w:szCs w:val="16"/>
          <w:lang w:val="sr-Latn-RS"/>
        </w:rPr>
        <w:t>. Поред тога, З</w:t>
      </w:r>
      <w:r>
        <w:rPr>
          <w:rStyle w:val="jlqj4b"/>
          <w:rFonts w:ascii="Times New Roman" w:eastAsiaTheme="majorEastAsia" w:hAnsi="Times New Roman"/>
          <w:sz w:val="16"/>
          <w:szCs w:val="16"/>
          <w:lang w:val="sr-Cyrl-RS"/>
        </w:rPr>
        <w:t>аконом о јавним предузећима</w:t>
      </w:r>
      <w:r w:rsidRPr="00FB4901">
        <w:rPr>
          <w:rStyle w:val="jlqj4b"/>
          <w:rFonts w:ascii="Times New Roman" w:eastAsiaTheme="majorEastAsia" w:hAnsi="Times New Roman"/>
          <w:sz w:val="16"/>
          <w:szCs w:val="16"/>
          <w:lang w:val="sr-Latn-RS"/>
        </w:rPr>
        <w:t xml:space="preserve"> н</w:t>
      </w:r>
      <w:r>
        <w:rPr>
          <w:rStyle w:val="jlqj4b"/>
          <w:rFonts w:ascii="Times New Roman" w:eastAsiaTheme="majorEastAsia" w:hAnsi="Times New Roman"/>
          <w:sz w:val="16"/>
          <w:szCs w:val="16"/>
          <w:lang w:val="sr-Cyrl-RS"/>
        </w:rPr>
        <w:t>ије</w:t>
      </w:r>
      <w:r w:rsidRPr="00FB4901">
        <w:rPr>
          <w:rStyle w:val="jlqj4b"/>
          <w:rFonts w:ascii="Times New Roman" w:eastAsiaTheme="majorEastAsia" w:hAnsi="Times New Roman"/>
          <w:sz w:val="16"/>
          <w:szCs w:val="16"/>
          <w:lang w:val="sr-Latn-RS"/>
        </w:rPr>
        <w:t xml:space="preserve"> да</w:t>
      </w:r>
      <w:r>
        <w:rPr>
          <w:rStyle w:val="jlqj4b"/>
          <w:rFonts w:ascii="Times New Roman" w:eastAsiaTheme="majorEastAsia" w:hAnsi="Times New Roman"/>
          <w:sz w:val="16"/>
          <w:szCs w:val="16"/>
          <w:lang w:val="sr-Cyrl-RS"/>
        </w:rPr>
        <w:t>то</w:t>
      </w:r>
      <w:r w:rsidRPr="00FB4901">
        <w:rPr>
          <w:rStyle w:val="jlqj4b"/>
          <w:rFonts w:ascii="Times New Roman" w:eastAsiaTheme="majorEastAsia" w:hAnsi="Times New Roman"/>
          <w:sz w:val="16"/>
          <w:szCs w:val="16"/>
          <w:lang w:val="sr-Latn-RS"/>
        </w:rPr>
        <w:t xml:space="preserve"> </w:t>
      </w:r>
      <w:r w:rsidRPr="00E66320">
        <w:rPr>
          <w:rStyle w:val="jlqj4b"/>
          <w:rFonts w:ascii="Times New Roman" w:eastAsiaTheme="majorEastAsia" w:hAnsi="Times New Roman"/>
          <w:sz w:val="16"/>
          <w:szCs w:val="16"/>
          <w:lang w:val="sr-Latn-RS"/>
        </w:rPr>
        <w:t>изричито</w:t>
      </w:r>
      <w:r w:rsidRPr="0076660E">
        <w:rPr>
          <w:rStyle w:val="jlqj4b"/>
          <w:rFonts w:ascii="Times New Roman" w:eastAsiaTheme="majorEastAsia" w:hAnsi="Times New Roman"/>
          <w:sz w:val="16"/>
          <w:szCs w:val="16"/>
          <w:lang w:val="sr-Latn-RS"/>
        </w:rPr>
        <w:t xml:space="preserve"> </w:t>
      </w:r>
      <w:r w:rsidRPr="00FB4901">
        <w:rPr>
          <w:rStyle w:val="jlqj4b"/>
          <w:rFonts w:ascii="Times New Roman" w:eastAsiaTheme="majorEastAsia" w:hAnsi="Times New Roman"/>
          <w:sz w:val="16"/>
          <w:szCs w:val="16"/>
          <w:lang w:val="sr-Latn-RS"/>
        </w:rPr>
        <w:t xml:space="preserve">овлашћење извршним директорима да предлажу чланове </w:t>
      </w:r>
      <w:r w:rsidRPr="00FB4901">
        <w:rPr>
          <w:rStyle w:val="jlqj4b"/>
          <w:rFonts w:ascii="Times New Roman" w:eastAsiaTheme="majorEastAsia" w:hAnsi="Times New Roman"/>
          <w:sz w:val="16"/>
          <w:szCs w:val="16"/>
        </w:rPr>
        <w:t>комисије</w:t>
      </w:r>
      <w:r w:rsidRPr="00FB4901">
        <w:rPr>
          <w:rStyle w:val="jlqj4b"/>
          <w:rFonts w:ascii="Times New Roman" w:eastAsiaTheme="majorEastAsia" w:hAnsi="Times New Roman"/>
          <w:sz w:val="16"/>
          <w:szCs w:val="16"/>
          <w:lang w:val="sr-Latn-RS"/>
        </w:rPr>
        <w:t xml:space="preserve"> за ревизију</w:t>
      </w:r>
      <w:r w:rsidRPr="00FB4901">
        <w:rPr>
          <w:rFonts w:ascii="Times New Roman" w:hAnsi="Times New Roman"/>
          <w:sz w:val="16"/>
          <w:szCs w:val="16"/>
        </w:rPr>
        <w:t>.</w:t>
      </w:r>
    </w:p>
  </w:footnote>
  <w:footnote w:id="26">
    <w:p w14:paraId="29D2E6E1" w14:textId="40068A2A" w:rsidR="00757C68" w:rsidRPr="00FB4901" w:rsidRDefault="00757C68" w:rsidP="00C52235">
      <w:pPr>
        <w:pStyle w:val="FootnoteText"/>
        <w:rPr>
          <w:rFonts w:ascii="Times New Roman" w:hAnsi="Times New Roman"/>
          <w:sz w:val="16"/>
          <w:szCs w:val="16"/>
        </w:rPr>
      </w:pPr>
      <w:r w:rsidRPr="00FB4901">
        <w:rPr>
          <w:rStyle w:val="FootnoteReference"/>
          <w:rFonts w:ascii="Times New Roman" w:eastAsiaTheme="majorEastAsia" w:hAnsi="Times New Roman"/>
          <w:sz w:val="16"/>
          <w:szCs w:val="16"/>
        </w:rPr>
        <w:footnoteRef/>
      </w:r>
      <w:r w:rsidRPr="00FB4901">
        <w:rPr>
          <w:rFonts w:ascii="Times New Roman" w:hAnsi="Times New Roman"/>
          <w:sz w:val="16"/>
          <w:szCs w:val="16"/>
        </w:rPr>
        <w:t xml:space="preserve"> Члан 80</w:t>
      </w:r>
      <w:r>
        <w:rPr>
          <w:rFonts w:ascii="Times New Roman" w:hAnsi="Times New Roman"/>
          <w:sz w:val="16"/>
          <w:szCs w:val="16"/>
          <w:lang w:val="sr-Cyrl-RS"/>
        </w:rPr>
        <w:t>.</w:t>
      </w:r>
      <w:r w:rsidRPr="00FB4901">
        <w:rPr>
          <w:rFonts w:ascii="Times New Roman" w:hAnsi="Times New Roman"/>
          <w:sz w:val="16"/>
          <w:szCs w:val="16"/>
        </w:rPr>
        <w:t xml:space="preserve"> Закона о буџетском систему.</w:t>
      </w:r>
    </w:p>
  </w:footnote>
  <w:footnote w:id="27">
    <w:p w14:paraId="1AF00368" w14:textId="3E4F7F8B" w:rsidR="00757C68" w:rsidRPr="00A36BB7" w:rsidRDefault="00757C68" w:rsidP="00C52235">
      <w:pPr>
        <w:pStyle w:val="FootnoteText"/>
        <w:rPr>
          <w:rFonts w:ascii="Times New Roman" w:hAnsi="Times New Roman"/>
          <w:sz w:val="16"/>
          <w:szCs w:val="16"/>
        </w:rPr>
      </w:pPr>
      <w:r w:rsidRPr="00A36BB7">
        <w:rPr>
          <w:rStyle w:val="FootnoteReference"/>
          <w:rFonts w:ascii="Times New Roman" w:eastAsiaTheme="majorEastAsia" w:hAnsi="Times New Roman"/>
          <w:sz w:val="16"/>
          <w:szCs w:val="16"/>
        </w:rPr>
        <w:footnoteRef/>
      </w:r>
      <w:r w:rsidRPr="00A36BB7">
        <w:rPr>
          <w:rFonts w:ascii="Times New Roman" w:hAnsi="Times New Roman"/>
          <w:sz w:val="16"/>
          <w:szCs w:val="16"/>
        </w:rPr>
        <w:t xml:space="preserve"> Члан 82</w:t>
      </w:r>
      <w:r>
        <w:rPr>
          <w:rFonts w:ascii="Times New Roman" w:hAnsi="Times New Roman"/>
          <w:sz w:val="16"/>
          <w:szCs w:val="16"/>
          <w:lang w:val="sr-Cyrl-RS"/>
        </w:rPr>
        <w:t>.</w:t>
      </w:r>
      <w:r w:rsidRPr="00A36BB7">
        <w:rPr>
          <w:rFonts w:ascii="Times New Roman" w:hAnsi="Times New Roman"/>
          <w:sz w:val="16"/>
          <w:szCs w:val="16"/>
        </w:rPr>
        <w:t xml:space="preserve"> Закона о буџетском систему.</w:t>
      </w:r>
    </w:p>
  </w:footnote>
  <w:footnote w:id="28">
    <w:p w14:paraId="04BF7311" w14:textId="63069908" w:rsidR="00757C68" w:rsidRPr="00A36BB7" w:rsidRDefault="00757C68" w:rsidP="00C52235">
      <w:pPr>
        <w:pStyle w:val="FootnoteText"/>
        <w:rPr>
          <w:rFonts w:ascii="Times New Roman" w:hAnsi="Times New Roman"/>
          <w:sz w:val="16"/>
          <w:szCs w:val="16"/>
        </w:rPr>
      </w:pPr>
      <w:r w:rsidRPr="00A36BB7">
        <w:rPr>
          <w:rStyle w:val="FootnoteReference"/>
          <w:rFonts w:ascii="Times New Roman" w:eastAsiaTheme="majorEastAsia" w:hAnsi="Times New Roman"/>
          <w:sz w:val="16"/>
          <w:szCs w:val="16"/>
        </w:rPr>
        <w:footnoteRef/>
      </w:r>
      <w:r w:rsidRPr="00A36BB7">
        <w:rPr>
          <w:rFonts w:ascii="Times New Roman" w:hAnsi="Times New Roman"/>
          <w:sz w:val="16"/>
          <w:szCs w:val="16"/>
        </w:rPr>
        <w:t xml:space="preserve"> Чл</w:t>
      </w:r>
      <w:r>
        <w:rPr>
          <w:rFonts w:ascii="Times New Roman" w:hAnsi="Times New Roman"/>
          <w:sz w:val="16"/>
          <w:szCs w:val="16"/>
          <w:lang w:val="sr-Cyrl-RS"/>
        </w:rPr>
        <w:t>.</w:t>
      </w:r>
      <w:r w:rsidRPr="00A36BB7">
        <w:rPr>
          <w:rFonts w:ascii="Times New Roman" w:hAnsi="Times New Roman"/>
          <w:sz w:val="16"/>
          <w:szCs w:val="16"/>
        </w:rPr>
        <w:t xml:space="preserve"> 81</w:t>
      </w:r>
      <w:r>
        <w:rPr>
          <w:rFonts w:ascii="Times New Roman" w:hAnsi="Times New Roman"/>
          <w:sz w:val="16"/>
          <w:szCs w:val="16"/>
          <w:lang w:val="sr-Cyrl-RS"/>
        </w:rPr>
        <w:t>.</w:t>
      </w:r>
      <w:r w:rsidRPr="00A36BB7">
        <w:rPr>
          <w:rFonts w:ascii="Times New Roman" w:hAnsi="Times New Roman"/>
          <w:sz w:val="16"/>
          <w:szCs w:val="16"/>
        </w:rPr>
        <w:t xml:space="preserve"> и 82</w:t>
      </w:r>
      <w:r>
        <w:rPr>
          <w:rFonts w:ascii="Times New Roman" w:hAnsi="Times New Roman"/>
          <w:sz w:val="16"/>
          <w:szCs w:val="16"/>
          <w:lang w:val="sr-Cyrl-RS"/>
        </w:rPr>
        <w:t>.</w:t>
      </w:r>
      <w:r w:rsidRPr="00A36BB7">
        <w:rPr>
          <w:rFonts w:ascii="Times New Roman" w:hAnsi="Times New Roman"/>
          <w:sz w:val="16"/>
          <w:szCs w:val="16"/>
        </w:rPr>
        <w:t xml:space="preserve"> Закона о буџетском систему.</w:t>
      </w:r>
    </w:p>
  </w:footnote>
  <w:footnote w:id="29">
    <w:p w14:paraId="2D6B6F28" w14:textId="2E34730A" w:rsidR="00757C68" w:rsidRPr="00B3054A" w:rsidRDefault="00757C68">
      <w:pPr>
        <w:pStyle w:val="FootnoteText"/>
        <w:rPr>
          <w:lang w:val="sr-Cyrl-RS"/>
        </w:rPr>
      </w:pPr>
      <w:r w:rsidRPr="00B3054A">
        <w:rPr>
          <w:rStyle w:val="FootnoteReference"/>
          <w:rFonts w:ascii="Times New Roman" w:hAnsi="Times New Roman"/>
          <w:sz w:val="16"/>
          <w:szCs w:val="16"/>
        </w:rPr>
        <w:footnoteRef/>
      </w:r>
      <w:r w:rsidRPr="00B3054A">
        <w:rPr>
          <w:rFonts w:ascii="Times New Roman" w:hAnsi="Times New Roman"/>
          <w:sz w:val="16"/>
          <w:szCs w:val="16"/>
        </w:rPr>
        <w:t xml:space="preserve"> </w:t>
      </w:r>
      <w:r w:rsidRPr="00B3054A">
        <w:rPr>
          <w:rFonts w:ascii="Times New Roman" w:hAnsi="Times New Roman"/>
          <w:sz w:val="16"/>
          <w:szCs w:val="16"/>
          <w:lang w:val="sr-Cyrl-RS"/>
        </w:rPr>
        <w:t>У постојећој пракси интерна ревизија је одговорна руководиоцу, што по трен</w:t>
      </w:r>
      <w:r>
        <w:rPr>
          <w:rFonts w:ascii="Times New Roman" w:hAnsi="Times New Roman"/>
          <w:sz w:val="16"/>
          <w:szCs w:val="16"/>
          <w:lang w:val="sr-Cyrl-RS"/>
        </w:rPr>
        <w:t xml:space="preserve">утном правном оквиру може бити: </w:t>
      </w:r>
      <w:r w:rsidRPr="00B3054A">
        <w:rPr>
          <w:rFonts w:ascii="Times New Roman" w:hAnsi="Times New Roman"/>
          <w:sz w:val="16"/>
          <w:szCs w:val="16"/>
          <w:lang w:val="sr-Cyrl-RS"/>
        </w:rPr>
        <w:t>директор или на</w:t>
      </w:r>
      <w:r>
        <w:rPr>
          <w:rFonts w:ascii="Times New Roman" w:hAnsi="Times New Roman"/>
          <w:sz w:val="16"/>
          <w:szCs w:val="16"/>
          <w:lang w:val="sr-Cyrl-RS"/>
        </w:rPr>
        <w:t>д</w:t>
      </w:r>
      <w:r w:rsidRPr="00B3054A">
        <w:rPr>
          <w:rFonts w:ascii="Times New Roman" w:hAnsi="Times New Roman"/>
          <w:sz w:val="16"/>
          <w:szCs w:val="16"/>
          <w:lang w:val="sr-Cyrl-RS"/>
        </w:rPr>
        <w:t>зорни одбор или скупштина</w:t>
      </w:r>
      <w:r>
        <w:rPr>
          <w:rFonts w:ascii="Times New Roman" w:hAnsi="Times New Roman"/>
          <w:sz w:val="16"/>
          <w:szCs w:val="16"/>
          <w:lang w:val="sr-Cyrl-RS"/>
        </w:rPr>
        <w:t xml:space="preserve"> друштва.</w:t>
      </w:r>
    </w:p>
  </w:footnote>
  <w:footnote w:id="30">
    <w:p w14:paraId="1B564FC9" w14:textId="4E0BED14" w:rsidR="00757C68" w:rsidRPr="00A538F3" w:rsidRDefault="00757C68" w:rsidP="00D20B72">
      <w:pPr>
        <w:pStyle w:val="FootnoteText"/>
        <w:jc w:val="both"/>
        <w:rPr>
          <w:rFonts w:ascii="Times New Roman" w:hAnsi="Times New Roman"/>
        </w:rPr>
      </w:pPr>
      <w:r w:rsidRPr="00DA0363">
        <w:rPr>
          <w:rStyle w:val="FootnoteReference"/>
          <w:rFonts w:ascii="Times New Roman" w:eastAsiaTheme="majorEastAsia" w:hAnsi="Times New Roman"/>
          <w:sz w:val="16"/>
          <w:szCs w:val="16"/>
        </w:rPr>
        <w:footnoteRef/>
      </w:r>
      <w:r w:rsidRPr="00DA0363">
        <w:rPr>
          <w:rFonts w:ascii="Times New Roman" w:hAnsi="Times New Roman"/>
          <w:sz w:val="16"/>
          <w:szCs w:val="16"/>
        </w:rPr>
        <w:t xml:space="preserve"> Одлука о критеријумима и мерилима за утврђивање висине накнаде за рад у надзорним одборима </w:t>
      </w:r>
      <w:r>
        <w:rPr>
          <w:rFonts w:ascii="Times New Roman" w:hAnsi="Times New Roman"/>
          <w:sz w:val="16"/>
          <w:szCs w:val="16"/>
          <w:lang w:val="sr-Cyrl-RS"/>
        </w:rPr>
        <w:t>јавних предузећа</w:t>
      </w:r>
      <w:r w:rsidRPr="00DA0363">
        <w:rPr>
          <w:rFonts w:ascii="Times New Roman" w:hAnsi="Times New Roman"/>
          <w:sz w:val="16"/>
          <w:szCs w:val="16"/>
        </w:rPr>
        <w:t xml:space="preserve"> (</w:t>
      </w:r>
      <w:r>
        <w:rPr>
          <w:rFonts w:ascii="Times New Roman" w:hAnsi="Times New Roman"/>
          <w:sz w:val="16"/>
          <w:szCs w:val="16"/>
          <w:lang w:val="sr-Cyrl-RS"/>
        </w:rPr>
        <w:t>„</w:t>
      </w:r>
      <w:r w:rsidRPr="00DA0363">
        <w:rPr>
          <w:rFonts w:ascii="Times New Roman" w:hAnsi="Times New Roman"/>
          <w:sz w:val="16"/>
          <w:szCs w:val="16"/>
        </w:rPr>
        <w:t>Службени гласник РС</w:t>
      </w:r>
      <w:r>
        <w:rPr>
          <w:rFonts w:ascii="Times New Roman" w:hAnsi="Times New Roman"/>
          <w:sz w:val="16"/>
          <w:szCs w:val="16"/>
          <w:lang w:val="sr-Cyrl-RS"/>
        </w:rPr>
        <w:t xml:space="preserve">ˮ, </w:t>
      </w:r>
      <w:r w:rsidRPr="00DA0363">
        <w:rPr>
          <w:rFonts w:ascii="Times New Roman" w:hAnsi="Times New Roman"/>
          <w:sz w:val="16"/>
          <w:szCs w:val="16"/>
        </w:rPr>
        <w:t>бр</w:t>
      </w:r>
      <w:r w:rsidRPr="00DA0363">
        <w:rPr>
          <w:rFonts w:ascii="Times New Roman" w:hAnsi="Times New Roman"/>
          <w:sz w:val="16"/>
          <w:szCs w:val="16"/>
          <w:lang w:val="sr-Cyrl-RS"/>
        </w:rPr>
        <w:t>ој</w:t>
      </w:r>
      <w:r w:rsidRPr="00DA0363">
        <w:rPr>
          <w:rFonts w:ascii="Times New Roman" w:hAnsi="Times New Roman"/>
          <w:sz w:val="16"/>
          <w:szCs w:val="16"/>
        </w:rPr>
        <w:t xml:space="preserve"> 102/16).</w:t>
      </w:r>
    </w:p>
  </w:footnote>
  <w:footnote w:id="31">
    <w:p w14:paraId="338512F7" w14:textId="59EB1BF2" w:rsidR="00757C68" w:rsidRPr="00D20B72" w:rsidRDefault="00757C68" w:rsidP="00E26918">
      <w:pPr>
        <w:pStyle w:val="FootnoteText"/>
        <w:jc w:val="both"/>
        <w:rPr>
          <w:rFonts w:ascii="Times New Roman" w:hAnsi="Times New Roman"/>
          <w:sz w:val="16"/>
          <w:szCs w:val="16"/>
          <w:lang w:val="sr-Cyrl-RS"/>
        </w:rPr>
      </w:pPr>
      <w:r w:rsidRPr="00D20B72">
        <w:rPr>
          <w:rStyle w:val="FootnoteReference"/>
          <w:rFonts w:ascii="Times New Roman" w:hAnsi="Times New Roman"/>
          <w:sz w:val="16"/>
          <w:szCs w:val="16"/>
        </w:rPr>
        <w:footnoteRef/>
      </w:r>
      <w:r w:rsidRPr="00D20B72">
        <w:rPr>
          <w:rFonts w:ascii="Times New Roman" w:hAnsi="Times New Roman"/>
          <w:sz w:val="16"/>
          <w:szCs w:val="16"/>
          <w:lang w:val="sr-Latn-RS"/>
        </w:rPr>
        <w:t xml:space="preserve"> ОЕЦД (2015), ОЕЦД Смернице за корпоративно </w:t>
      </w:r>
      <w:r>
        <w:rPr>
          <w:rFonts w:ascii="Times New Roman" w:hAnsi="Times New Roman"/>
          <w:sz w:val="16"/>
          <w:szCs w:val="16"/>
          <w:lang w:val="sr-Latn-RS"/>
        </w:rPr>
        <w:t>управљање у државн</w:t>
      </w:r>
      <w:r w:rsidR="00B72D23">
        <w:rPr>
          <w:rFonts w:ascii="Times New Roman" w:hAnsi="Times New Roman"/>
          <w:sz w:val="16"/>
          <w:szCs w:val="16"/>
          <w:lang w:val="sr-Latn-RS"/>
        </w:rPr>
        <w:t>им преду</w:t>
      </w:r>
      <w:r w:rsidR="00B72D23">
        <w:rPr>
          <w:rFonts w:ascii="Times New Roman" w:hAnsi="Times New Roman"/>
          <w:sz w:val="16"/>
          <w:szCs w:val="16"/>
          <w:lang w:val="sr-Cyrl-RS"/>
        </w:rPr>
        <w:t>з</w:t>
      </w:r>
      <w:r>
        <w:rPr>
          <w:rFonts w:ascii="Times New Roman" w:hAnsi="Times New Roman"/>
          <w:sz w:val="16"/>
          <w:szCs w:val="16"/>
          <w:lang w:val="sr-Latn-RS"/>
        </w:rPr>
        <w:t>ећима</w:t>
      </w:r>
      <w:r w:rsidRPr="00781520">
        <w:rPr>
          <w:rFonts w:ascii="Times New Roman" w:hAnsi="Times New Roman"/>
          <w:sz w:val="16"/>
          <w:szCs w:val="16"/>
          <w:lang w:val="sr-Latn-RS"/>
        </w:rPr>
        <w:t>,</w:t>
      </w:r>
      <w:r w:rsidRPr="00D20B72">
        <w:rPr>
          <w:rFonts w:ascii="Times New Roman" w:hAnsi="Times New Roman"/>
          <w:sz w:val="16"/>
          <w:szCs w:val="16"/>
          <w:lang w:val="sr-Latn-RS"/>
        </w:rPr>
        <w:t xml:space="preserve"> издање 2015, ОЕЦД Издаваштво, Париз. </w:t>
      </w:r>
      <w:hyperlink r:id="rId1" w:history="1">
        <w:r w:rsidRPr="00D20B72">
          <w:rPr>
            <w:rStyle w:val="Hyperlink"/>
            <w:rFonts w:ascii="Times New Roman" w:hAnsi="Times New Roman"/>
            <w:sz w:val="16"/>
            <w:szCs w:val="16"/>
            <w:lang w:val="sr-Latn-RS"/>
          </w:rPr>
          <w:t>http://dx.doi.org/10.1787/9789264244160-en</w:t>
        </w:r>
      </w:hyperlink>
      <w:r w:rsidRPr="00D20B72">
        <w:rPr>
          <w:rFonts w:ascii="Times New Roman" w:hAnsi="Times New Roman"/>
          <w:sz w:val="16"/>
          <w:szCs w:val="16"/>
          <w:lang w:val="sr-Cyrl-RS"/>
        </w:rPr>
        <w:t xml:space="preserve"> </w:t>
      </w:r>
    </w:p>
  </w:footnote>
  <w:footnote w:id="32">
    <w:p w14:paraId="27C41BAA" w14:textId="77777777" w:rsidR="00757C68" w:rsidRPr="00DA0363" w:rsidRDefault="00757C68" w:rsidP="00E158C5">
      <w:pPr>
        <w:pStyle w:val="FootnoteText"/>
        <w:rPr>
          <w:rFonts w:ascii="Times New Roman" w:hAnsi="Times New Roman"/>
          <w:sz w:val="16"/>
          <w:szCs w:val="16"/>
          <w:lang w:val="sr-Cyrl-RS"/>
        </w:rPr>
      </w:pPr>
      <w:r w:rsidRPr="00DA0363">
        <w:rPr>
          <w:rStyle w:val="FootnoteReference"/>
          <w:rFonts w:ascii="Times New Roman" w:hAnsi="Times New Roman"/>
          <w:sz w:val="16"/>
          <w:szCs w:val="16"/>
        </w:rPr>
        <w:footnoteRef/>
      </w:r>
      <w:r w:rsidRPr="00DA0363">
        <w:rPr>
          <w:rFonts w:ascii="Times New Roman" w:hAnsi="Times New Roman"/>
          <w:sz w:val="16"/>
          <w:szCs w:val="16"/>
        </w:rPr>
        <w:t xml:space="preserve"> </w:t>
      </w:r>
      <w:r w:rsidRPr="00DA0363">
        <w:rPr>
          <w:rFonts w:ascii="Times New Roman" w:hAnsi="Times New Roman"/>
          <w:sz w:val="16"/>
          <w:szCs w:val="16"/>
          <w:lang w:val="sr-Cyrl-RS"/>
        </w:rPr>
        <w:t>Полазне основе</w:t>
      </w:r>
    </w:p>
  </w:footnote>
  <w:footnote w:id="33">
    <w:p w14:paraId="45CBB52A" w14:textId="2189D0E5" w:rsidR="00757C68" w:rsidRPr="00742405" w:rsidRDefault="00757C68" w:rsidP="00C74FA9">
      <w:pPr>
        <w:pStyle w:val="FootnoteText"/>
        <w:jc w:val="both"/>
        <w:rPr>
          <w:rFonts w:ascii="Times New Roman" w:hAnsi="Times New Roman"/>
          <w:sz w:val="16"/>
          <w:szCs w:val="16"/>
        </w:rPr>
      </w:pPr>
      <w:r>
        <w:rPr>
          <w:rStyle w:val="FootnoteReference"/>
        </w:rPr>
        <w:footnoteRef/>
      </w:r>
      <w:r>
        <w:t xml:space="preserve"> </w:t>
      </w:r>
      <w:r w:rsidRPr="00742405">
        <w:rPr>
          <w:rFonts w:ascii="Times New Roman" w:hAnsi="Times New Roman"/>
          <w:sz w:val="16"/>
          <w:szCs w:val="16"/>
        </w:rPr>
        <w:t>Могу да</w:t>
      </w:r>
      <w:r w:rsidRPr="00742405">
        <w:rPr>
          <w:rFonts w:ascii="Times New Roman" w:hAnsi="Times New Roman"/>
          <w:sz w:val="16"/>
          <w:szCs w:val="16"/>
          <w:lang w:val="sr-Latn-RS"/>
        </w:rPr>
        <w:t xml:space="preserve"> постоје одређени изузеци. </w:t>
      </w:r>
      <w:r w:rsidRPr="00742405">
        <w:rPr>
          <w:rFonts w:ascii="Times New Roman" w:hAnsi="Times New Roman"/>
          <w:sz w:val="16"/>
          <w:szCs w:val="16"/>
        </w:rPr>
        <w:t xml:space="preserve">У складу са </w:t>
      </w:r>
      <w:r w:rsidRPr="00742405">
        <w:rPr>
          <w:rFonts w:ascii="Times New Roman" w:hAnsi="Times New Roman"/>
          <w:sz w:val="16"/>
          <w:szCs w:val="16"/>
          <w:lang w:val="sr-Latn-RS"/>
        </w:rPr>
        <w:t>Закон</w:t>
      </w:r>
      <w:r w:rsidRPr="00742405">
        <w:rPr>
          <w:rFonts w:ascii="Times New Roman" w:hAnsi="Times New Roman"/>
          <w:sz w:val="16"/>
          <w:szCs w:val="16"/>
        </w:rPr>
        <w:t xml:space="preserve">ом </w:t>
      </w:r>
      <w:r w:rsidRPr="00742405">
        <w:rPr>
          <w:rFonts w:ascii="Times New Roman" w:hAnsi="Times New Roman"/>
          <w:sz w:val="16"/>
          <w:szCs w:val="16"/>
          <w:lang w:val="sr-Latn-RS"/>
        </w:rPr>
        <w:t xml:space="preserve">о министарствима, </w:t>
      </w:r>
      <w:r w:rsidRPr="00742405">
        <w:rPr>
          <w:rFonts w:ascii="Times New Roman" w:hAnsi="Times New Roman"/>
          <w:sz w:val="16"/>
          <w:szCs w:val="16"/>
          <w:lang w:val="sr-Cyrl-RS"/>
        </w:rPr>
        <w:t>ПСРС кој</w:t>
      </w:r>
      <w:r>
        <w:rPr>
          <w:rFonts w:ascii="Times New Roman" w:hAnsi="Times New Roman"/>
          <w:sz w:val="16"/>
          <w:szCs w:val="16"/>
          <w:lang w:val="sr-Cyrl-RS"/>
        </w:rPr>
        <w:t>и</w:t>
      </w:r>
      <w:r w:rsidRPr="00742405">
        <w:rPr>
          <w:rFonts w:ascii="Times New Roman" w:hAnsi="Times New Roman"/>
          <w:sz w:val="16"/>
          <w:szCs w:val="16"/>
          <w:lang w:val="sr-Cyrl-RS"/>
        </w:rPr>
        <w:t xml:space="preserve"> обавља послове </w:t>
      </w:r>
      <w:r w:rsidRPr="00742405">
        <w:rPr>
          <w:rFonts w:ascii="Times New Roman" w:hAnsi="Times New Roman"/>
          <w:sz w:val="16"/>
          <w:szCs w:val="16"/>
          <w:lang w:val="sr-Latn-RS"/>
        </w:rPr>
        <w:t>производње и дистрибуциј</w:t>
      </w:r>
      <w:r w:rsidRPr="00742405">
        <w:rPr>
          <w:rFonts w:ascii="Times New Roman" w:hAnsi="Times New Roman"/>
          <w:sz w:val="16"/>
          <w:szCs w:val="16"/>
          <w:lang w:val="sr-Cyrl-RS"/>
        </w:rPr>
        <w:t>е</w:t>
      </w:r>
      <w:r w:rsidRPr="00742405">
        <w:rPr>
          <w:rFonts w:ascii="Times New Roman" w:hAnsi="Times New Roman"/>
          <w:sz w:val="16"/>
          <w:szCs w:val="16"/>
          <w:lang w:val="sr-Latn-RS"/>
        </w:rPr>
        <w:t xml:space="preserve"> електричне енергије</w:t>
      </w:r>
      <w:r w:rsidRPr="00742405">
        <w:rPr>
          <w:rFonts w:ascii="Times New Roman" w:hAnsi="Times New Roman"/>
          <w:sz w:val="16"/>
          <w:szCs w:val="16"/>
          <w:lang w:val="sr-Cyrl-RS"/>
        </w:rPr>
        <w:t xml:space="preserve">, </w:t>
      </w:r>
      <w:r w:rsidRPr="00742405">
        <w:rPr>
          <w:rFonts w:ascii="Times New Roman" w:hAnsi="Times New Roman"/>
          <w:sz w:val="16"/>
          <w:szCs w:val="16"/>
          <w:lang w:val="sr-Latn-RS"/>
        </w:rPr>
        <w:t>односно природн</w:t>
      </w:r>
      <w:r>
        <w:rPr>
          <w:rFonts w:ascii="Times New Roman" w:hAnsi="Times New Roman"/>
          <w:sz w:val="16"/>
          <w:szCs w:val="16"/>
          <w:lang w:val="sr-Cyrl-RS"/>
        </w:rPr>
        <w:t>ог</w:t>
      </w:r>
      <w:r w:rsidRPr="00742405">
        <w:rPr>
          <w:rFonts w:ascii="Times New Roman" w:hAnsi="Times New Roman"/>
          <w:sz w:val="16"/>
          <w:szCs w:val="16"/>
          <w:lang w:val="sr-Latn-RS"/>
        </w:rPr>
        <w:t xml:space="preserve"> га</w:t>
      </w:r>
      <w:r w:rsidR="003A1E93">
        <w:rPr>
          <w:rFonts w:ascii="Times New Roman" w:hAnsi="Times New Roman"/>
          <w:sz w:val="16"/>
          <w:szCs w:val="16"/>
          <w:lang w:val="sr-Cyrl-RS"/>
        </w:rPr>
        <w:t>с</w:t>
      </w:r>
      <w:r>
        <w:rPr>
          <w:rFonts w:ascii="Times New Roman" w:hAnsi="Times New Roman"/>
          <w:sz w:val="16"/>
          <w:szCs w:val="16"/>
          <w:lang w:val="sr-Cyrl-RS"/>
        </w:rPr>
        <w:t>а</w:t>
      </w:r>
      <w:r w:rsidRPr="00742405">
        <w:rPr>
          <w:sz w:val="16"/>
          <w:szCs w:val="16"/>
          <w:lang w:val="sr-Cyrl-RS"/>
        </w:rPr>
        <w:t xml:space="preserve"> </w:t>
      </w:r>
      <w:r w:rsidRPr="00742405">
        <w:rPr>
          <w:rFonts w:ascii="Times New Roman" w:hAnsi="Times New Roman"/>
          <w:sz w:val="16"/>
          <w:szCs w:val="16"/>
          <w:lang w:val="sr-Cyrl-RS"/>
        </w:rPr>
        <w:t xml:space="preserve">и ПСРС који обавља послове </w:t>
      </w:r>
      <w:r w:rsidRPr="00742405">
        <w:rPr>
          <w:rFonts w:ascii="Times New Roman" w:hAnsi="Times New Roman"/>
          <w:sz w:val="16"/>
          <w:szCs w:val="16"/>
          <w:lang w:val="sr-Latn-RS"/>
        </w:rPr>
        <w:t>пренос</w:t>
      </w:r>
      <w:r w:rsidRPr="00742405">
        <w:rPr>
          <w:rFonts w:ascii="Times New Roman" w:hAnsi="Times New Roman"/>
          <w:sz w:val="16"/>
          <w:szCs w:val="16"/>
          <w:lang w:val="sr-Cyrl-RS"/>
        </w:rPr>
        <w:t>а</w:t>
      </w:r>
      <w:r w:rsidRPr="00742405">
        <w:rPr>
          <w:rFonts w:ascii="Times New Roman" w:hAnsi="Times New Roman"/>
          <w:sz w:val="16"/>
          <w:szCs w:val="16"/>
          <w:lang w:val="sr-Latn-RS"/>
        </w:rPr>
        <w:t xml:space="preserve"> електричне енергије, односно природн</w:t>
      </w:r>
      <w:r>
        <w:rPr>
          <w:rFonts w:ascii="Times New Roman" w:hAnsi="Times New Roman"/>
          <w:sz w:val="16"/>
          <w:szCs w:val="16"/>
          <w:lang w:val="sr-Cyrl-RS"/>
        </w:rPr>
        <w:t>ог</w:t>
      </w:r>
      <w:r w:rsidRPr="00742405">
        <w:rPr>
          <w:rFonts w:ascii="Times New Roman" w:hAnsi="Times New Roman"/>
          <w:sz w:val="16"/>
          <w:szCs w:val="16"/>
          <w:lang w:val="sr-Latn-RS"/>
        </w:rPr>
        <w:t xml:space="preserve"> гас</w:t>
      </w:r>
      <w:r>
        <w:rPr>
          <w:rFonts w:ascii="Times New Roman" w:hAnsi="Times New Roman"/>
          <w:sz w:val="16"/>
          <w:szCs w:val="16"/>
          <w:lang w:val="sr-Cyrl-RS"/>
        </w:rPr>
        <w:t>а</w:t>
      </w:r>
      <w:r w:rsidRPr="00742405">
        <w:rPr>
          <w:rFonts w:ascii="Times New Roman" w:hAnsi="Times New Roman"/>
          <w:sz w:val="16"/>
          <w:szCs w:val="16"/>
          <w:lang w:val="sr-Latn-RS"/>
        </w:rPr>
        <w:t xml:space="preserve"> </w:t>
      </w:r>
      <w:r w:rsidRPr="00742405">
        <w:rPr>
          <w:rFonts w:ascii="Times New Roman" w:hAnsi="Times New Roman"/>
          <w:sz w:val="16"/>
          <w:szCs w:val="16"/>
          <w:lang w:val="sr-Cyrl-RS"/>
        </w:rPr>
        <w:t xml:space="preserve">не </w:t>
      </w:r>
      <w:r w:rsidRPr="00742405">
        <w:rPr>
          <w:rFonts w:ascii="Times New Roman" w:hAnsi="Times New Roman"/>
          <w:sz w:val="16"/>
          <w:szCs w:val="16"/>
        </w:rPr>
        <w:t>налазе</w:t>
      </w:r>
      <w:r w:rsidRPr="00742405">
        <w:rPr>
          <w:rFonts w:ascii="Times New Roman" w:hAnsi="Times New Roman"/>
          <w:sz w:val="16"/>
          <w:szCs w:val="16"/>
          <w:lang w:val="sr-Cyrl-RS"/>
        </w:rPr>
        <w:t xml:space="preserve"> се</w:t>
      </w:r>
      <w:r w:rsidRPr="00742405">
        <w:rPr>
          <w:rFonts w:ascii="Times New Roman" w:hAnsi="Times New Roman"/>
          <w:sz w:val="16"/>
          <w:szCs w:val="16"/>
        </w:rPr>
        <w:t xml:space="preserve"> под надзором </w:t>
      </w:r>
      <w:r w:rsidRPr="00742405">
        <w:rPr>
          <w:rFonts w:ascii="Times New Roman" w:hAnsi="Times New Roman"/>
          <w:sz w:val="16"/>
          <w:szCs w:val="16"/>
          <w:lang w:val="sr-Latn-RS"/>
        </w:rPr>
        <w:t>ист</w:t>
      </w:r>
      <w:r w:rsidRPr="00742405">
        <w:rPr>
          <w:rFonts w:ascii="Times New Roman" w:hAnsi="Times New Roman"/>
          <w:sz w:val="16"/>
          <w:szCs w:val="16"/>
        </w:rPr>
        <w:t>ог</w:t>
      </w:r>
      <w:r w:rsidRPr="00742405">
        <w:rPr>
          <w:rFonts w:ascii="Times New Roman" w:hAnsi="Times New Roman"/>
          <w:sz w:val="16"/>
          <w:szCs w:val="16"/>
          <w:lang w:val="sr-Latn-RS"/>
        </w:rPr>
        <w:t xml:space="preserve"> </w:t>
      </w:r>
      <w:r w:rsidRPr="00742405">
        <w:rPr>
          <w:rFonts w:ascii="Times New Roman" w:hAnsi="Times New Roman"/>
          <w:sz w:val="16"/>
          <w:szCs w:val="16"/>
        </w:rPr>
        <w:t>м</w:t>
      </w:r>
      <w:r w:rsidRPr="00742405">
        <w:rPr>
          <w:rFonts w:ascii="Times New Roman" w:hAnsi="Times New Roman"/>
          <w:sz w:val="16"/>
          <w:szCs w:val="16"/>
          <w:lang w:val="sr-Latn-RS"/>
        </w:rPr>
        <w:t>инистарств</w:t>
      </w:r>
      <w:r w:rsidRPr="00742405">
        <w:rPr>
          <w:rFonts w:ascii="Times New Roman" w:hAnsi="Times New Roman"/>
          <w:sz w:val="16"/>
          <w:szCs w:val="16"/>
        </w:rPr>
        <w:t>а</w:t>
      </w:r>
      <w:r w:rsidRPr="00742405">
        <w:rPr>
          <w:rFonts w:ascii="Times New Roman" w:hAnsi="Times New Roman"/>
          <w:sz w:val="16"/>
          <w:szCs w:val="16"/>
          <w:lang w:val="sr-Latn-RS"/>
        </w:rPr>
        <w:t xml:space="preserve">. Министарство рударства и енергетике </w:t>
      </w:r>
      <w:r w:rsidRPr="00742405">
        <w:rPr>
          <w:rFonts w:ascii="Times New Roman" w:hAnsi="Times New Roman"/>
          <w:sz w:val="16"/>
          <w:szCs w:val="16"/>
          <w:lang w:val="sr-Cyrl-RS"/>
        </w:rPr>
        <w:t>врши надзор над</w:t>
      </w:r>
      <w:r w:rsidRPr="00742405">
        <w:rPr>
          <w:rFonts w:ascii="Times New Roman" w:hAnsi="Times New Roman"/>
          <w:sz w:val="16"/>
          <w:szCs w:val="16"/>
          <w:lang w:val="sr-Latn-RS"/>
        </w:rPr>
        <w:t xml:space="preserve"> </w:t>
      </w:r>
      <w:r w:rsidRPr="00742405">
        <w:rPr>
          <w:rFonts w:ascii="Times New Roman" w:hAnsi="Times New Roman"/>
          <w:sz w:val="16"/>
          <w:szCs w:val="16"/>
          <w:lang w:val="sr-Cyrl-RS"/>
        </w:rPr>
        <w:t>ПСРС</w:t>
      </w:r>
      <w:r w:rsidRPr="00742405">
        <w:rPr>
          <w:rFonts w:ascii="Times New Roman" w:hAnsi="Times New Roman"/>
          <w:sz w:val="16"/>
          <w:szCs w:val="16"/>
          <w:lang w:val="sr-Latn-RS"/>
        </w:rPr>
        <w:t xml:space="preserve"> у области производње, дистрибуције и снабдевања електричном енергијом, природним гасом и сировом нафтом. </w:t>
      </w:r>
      <w:r w:rsidRPr="00742405">
        <w:rPr>
          <w:rFonts w:ascii="Times New Roman" w:hAnsi="Times New Roman"/>
          <w:sz w:val="16"/>
          <w:szCs w:val="16"/>
          <w:lang w:val="sr-Cyrl-RS"/>
        </w:rPr>
        <w:t xml:space="preserve">Такође, постоје одређени </w:t>
      </w:r>
      <w:r w:rsidRPr="00742405">
        <w:rPr>
          <w:rFonts w:ascii="Times New Roman" w:hAnsi="Times New Roman"/>
          <w:sz w:val="16"/>
          <w:szCs w:val="16"/>
          <w:lang w:val="sr-Latn-RS"/>
        </w:rPr>
        <w:t xml:space="preserve">изузеци </w:t>
      </w:r>
      <w:r w:rsidRPr="00742405">
        <w:rPr>
          <w:rFonts w:ascii="Times New Roman" w:hAnsi="Times New Roman"/>
          <w:sz w:val="16"/>
          <w:szCs w:val="16"/>
          <w:lang w:val="sr-Cyrl-RS"/>
        </w:rPr>
        <w:t>и</w:t>
      </w:r>
      <w:r w:rsidRPr="00742405">
        <w:rPr>
          <w:rFonts w:ascii="Times New Roman" w:hAnsi="Times New Roman"/>
          <w:sz w:val="16"/>
          <w:szCs w:val="16"/>
          <w:lang w:val="sr-Latn-RS"/>
        </w:rPr>
        <w:t xml:space="preserve"> у одбрамбеној индустрији</w:t>
      </w:r>
      <w:r w:rsidRPr="00742405">
        <w:rPr>
          <w:rFonts w:ascii="Times New Roman" w:hAnsi="Times New Roman"/>
          <w:sz w:val="16"/>
          <w:szCs w:val="16"/>
        </w:rPr>
        <w:t>.</w:t>
      </w:r>
    </w:p>
    <w:p w14:paraId="32F1E9C5" w14:textId="3F1F96B1" w:rsidR="00757C68" w:rsidRPr="00742405" w:rsidRDefault="00757C68" w:rsidP="00C74FA9">
      <w:pPr>
        <w:jc w:val="both"/>
        <w:rPr>
          <w:sz w:val="16"/>
          <w:szCs w:val="16"/>
          <w:lang w:val="sr-Latn-RS"/>
        </w:rPr>
      </w:pPr>
      <w:r w:rsidRPr="00742405">
        <w:rPr>
          <w:sz w:val="16"/>
          <w:szCs w:val="16"/>
          <w:lang w:val="sr-Cyrl-RS" w:eastAsia="en-US"/>
        </w:rPr>
        <w:t xml:space="preserve">Наведене </w:t>
      </w:r>
      <w:r w:rsidRPr="00742405">
        <w:rPr>
          <w:sz w:val="16"/>
          <w:szCs w:val="16"/>
          <w:lang w:val="sr-Latn-RS" w:eastAsia="en-US"/>
        </w:rPr>
        <w:t>области у којима постоје</w:t>
      </w:r>
      <w:r w:rsidRPr="00742405">
        <w:rPr>
          <w:sz w:val="16"/>
          <w:szCs w:val="16"/>
          <w:lang w:val="sr-Latn-RS"/>
        </w:rPr>
        <w:t xml:space="preserve"> </w:t>
      </w:r>
      <w:r w:rsidRPr="00742405">
        <w:rPr>
          <w:sz w:val="16"/>
          <w:szCs w:val="16"/>
          <w:lang w:val="sr-Cyrl-RS"/>
        </w:rPr>
        <w:t>изузеци</w:t>
      </w:r>
      <w:r w:rsidRPr="00742405">
        <w:rPr>
          <w:sz w:val="16"/>
          <w:szCs w:val="16"/>
          <w:lang w:val="sr-Latn-RS"/>
        </w:rPr>
        <w:t xml:space="preserve"> ће се током спро</w:t>
      </w:r>
      <w:r w:rsidRPr="00742405">
        <w:rPr>
          <w:sz w:val="16"/>
          <w:szCs w:val="16"/>
          <w:lang w:val="sr-Cyrl-RS"/>
        </w:rPr>
        <w:t>вођења Стратегије</w:t>
      </w:r>
      <w:r w:rsidRPr="00742405">
        <w:rPr>
          <w:sz w:val="16"/>
          <w:szCs w:val="16"/>
          <w:lang w:val="sr-Latn-RS"/>
        </w:rPr>
        <w:t xml:space="preserve"> разматрати кроз анализу постојећег законодавног оквира, као и кроз нови законодавни и инсти</w:t>
      </w:r>
      <w:r w:rsidR="003A1E93">
        <w:rPr>
          <w:sz w:val="16"/>
          <w:szCs w:val="16"/>
          <w:lang w:val="sr-Cyrl-RS"/>
        </w:rPr>
        <w:t>т</w:t>
      </w:r>
      <w:r w:rsidRPr="00742405">
        <w:rPr>
          <w:sz w:val="16"/>
          <w:szCs w:val="16"/>
          <w:lang w:val="sr-Latn-RS"/>
        </w:rPr>
        <w:t>уционални оквир.</w:t>
      </w:r>
    </w:p>
    <w:p w14:paraId="408A0547" w14:textId="3BDA5391" w:rsidR="00757C68" w:rsidRPr="00C74FA9" w:rsidRDefault="00757C68">
      <w:pPr>
        <w:pStyle w:val="FootnoteText"/>
        <w:rPr>
          <w:lang w:val="sr-Cyrl-RS"/>
        </w:rPr>
      </w:pPr>
    </w:p>
  </w:footnote>
  <w:footnote w:id="34">
    <w:p w14:paraId="4E7B7494" w14:textId="76E4EAC9" w:rsidR="00757C68" w:rsidRPr="000929ED" w:rsidRDefault="00757C68" w:rsidP="00B8569D">
      <w:pPr>
        <w:pStyle w:val="FootnoteText"/>
        <w:rPr>
          <w:rFonts w:ascii="Times New Roman" w:hAnsi="Times New Roman"/>
          <w:sz w:val="16"/>
          <w:szCs w:val="16"/>
          <w:lang w:val="sr-Cyrl-RS"/>
        </w:rPr>
      </w:pPr>
      <w:r w:rsidRPr="00657C6E">
        <w:rPr>
          <w:rStyle w:val="FootnoteReference"/>
          <w:rFonts w:ascii="Times New Roman" w:eastAsiaTheme="majorEastAsia" w:hAnsi="Times New Roman"/>
          <w:sz w:val="16"/>
          <w:szCs w:val="16"/>
        </w:rPr>
        <w:footnoteRef/>
      </w:r>
      <w:r w:rsidRPr="00657C6E">
        <w:rPr>
          <w:rFonts w:ascii="Times New Roman" w:hAnsi="Times New Roman"/>
          <w:sz w:val="16"/>
          <w:szCs w:val="16"/>
        </w:rPr>
        <w:t xml:space="preserve"> Смернице ОЕЦД II.</w:t>
      </w:r>
      <w:r w:rsidRPr="00657C6E">
        <w:rPr>
          <w:rFonts w:ascii="Times New Roman" w:hAnsi="Times New Roman"/>
          <w:sz w:val="16"/>
          <w:szCs w:val="16"/>
          <w:lang w:val="ru-RU"/>
        </w:rPr>
        <w:t xml:space="preserve"> </w:t>
      </w:r>
      <w:r w:rsidR="000929ED">
        <w:rPr>
          <w:rFonts w:ascii="Times New Roman" w:hAnsi="Times New Roman"/>
          <w:sz w:val="16"/>
          <w:szCs w:val="16"/>
        </w:rPr>
        <w:t>F, стр</w:t>
      </w:r>
      <w:r w:rsidR="000929ED">
        <w:rPr>
          <w:rFonts w:ascii="Times New Roman" w:hAnsi="Times New Roman"/>
          <w:sz w:val="16"/>
          <w:szCs w:val="16"/>
          <w:lang w:val="sr-Cyrl-RS"/>
        </w:rPr>
        <w:t>ана</w:t>
      </w:r>
      <w:r w:rsidRPr="00657C6E">
        <w:rPr>
          <w:rFonts w:ascii="Times New Roman" w:hAnsi="Times New Roman"/>
          <w:sz w:val="16"/>
          <w:szCs w:val="16"/>
        </w:rPr>
        <w:t xml:space="preserve"> 18</w:t>
      </w:r>
      <w:r w:rsidR="000929ED">
        <w:rPr>
          <w:rFonts w:ascii="Times New Roman" w:hAnsi="Times New Roman"/>
          <w:sz w:val="16"/>
          <w:szCs w:val="16"/>
          <w:lang w:val="sr-Cyrl-RS"/>
        </w:rPr>
        <w:t>.</w:t>
      </w:r>
    </w:p>
  </w:footnote>
  <w:footnote w:id="35">
    <w:p w14:paraId="71342130" w14:textId="471016E2" w:rsidR="00757C68" w:rsidRPr="000929ED" w:rsidRDefault="00757C68" w:rsidP="00B8569D">
      <w:pPr>
        <w:pStyle w:val="FootnoteText"/>
        <w:rPr>
          <w:rFonts w:ascii="Times New Roman" w:hAnsi="Times New Roman"/>
          <w:sz w:val="16"/>
          <w:szCs w:val="16"/>
          <w:lang w:val="sr-Cyrl-RS"/>
        </w:rPr>
      </w:pPr>
      <w:r w:rsidRPr="00657C6E">
        <w:rPr>
          <w:rStyle w:val="FootnoteReference"/>
          <w:rFonts w:ascii="Times New Roman" w:eastAsiaTheme="majorEastAsia" w:hAnsi="Times New Roman"/>
          <w:sz w:val="16"/>
          <w:szCs w:val="16"/>
        </w:rPr>
        <w:footnoteRef/>
      </w:r>
      <w:r w:rsidRPr="00657C6E">
        <w:rPr>
          <w:rFonts w:ascii="Times New Roman" w:hAnsi="Times New Roman"/>
          <w:sz w:val="16"/>
          <w:szCs w:val="16"/>
        </w:rPr>
        <w:t xml:space="preserve"> Напомене уз Смернице ОЕЦД</w:t>
      </w:r>
      <w:r w:rsidR="000929ED">
        <w:rPr>
          <w:rFonts w:ascii="Times New Roman" w:hAnsi="Times New Roman"/>
          <w:sz w:val="16"/>
          <w:szCs w:val="16"/>
          <w:lang w:val="sr-Cyrl-RS"/>
        </w:rPr>
        <w:t>.</w:t>
      </w:r>
    </w:p>
  </w:footnote>
  <w:footnote w:id="36">
    <w:p w14:paraId="7FB74148" w14:textId="40295A65" w:rsidR="00757C68" w:rsidRPr="000929ED" w:rsidRDefault="00757C68" w:rsidP="0011184F">
      <w:pPr>
        <w:pStyle w:val="FootnoteText"/>
        <w:rPr>
          <w:rFonts w:ascii="Times New Roman" w:hAnsi="Times New Roman"/>
          <w:sz w:val="16"/>
          <w:szCs w:val="16"/>
          <w:lang w:val="sr-Cyrl-RS"/>
        </w:rPr>
      </w:pPr>
      <w:r w:rsidRPr="00560C6F">
        <w:rPr>
          <w:rStyle w:val="FootnoteReference"/>
          <w:rFonts w:ascii="Times New Roman" w:hAnsi="Times New Roman"/>
          <w:sz w:val="16"/>
          <w:szCs w:val="16"/>
        </w:rPr>
        <w:footnoteRef/>
      </w:r>
      <w:r w:rsidRPr="00560C6F">
        <w:rPr>
          <w:rFonts w:ascii="Times New Roman" w:hAnsi="Times New Roman"/>
          <w:sz w:val="16"/>
          <w:szCs w:val="16"/>
        </w:rPr>
        <w:t xml:space="preserve"> Јединица за надзор власништва круне </w:t>
      </w:r>
      <w:r w:rsidRPr="00560C6F">
        <w:rPr>
          <w:rFonts w:ascii="Times New Roman" w:hAnsi="Times New Roman"/>
          <w:sz w:val="16"/>
          <w:szCs w:val="16"/>
          <w:lang w:val="sr-Latn-RS"/>
        </w:rPr>
        <w:t xml:space="preserve">- Нови Зеланд </w:t>
      </w:r>
      <w:r w:rsidRPr="00560C6F">
        <w:rPr>
          <w:rFonts w:ascii="Times New Roman" w:hAnsi="Times New Roman"/>
          <w:sz w:val="16"/>
          <w:szCs w:val="16"/>
        </w:rPr>
        <w:t xml:space="preserve">(2011), Смернице за надзор државних предузећа. </w:t>
      </w:r>
      <w:hyperlink r:id="rId2" w:history="1">
        <w:r w:rsidRPr="00560C6F">
          <w:rPr>
            <w:rStyle w:val="Hyperlink"/>
            <w:rFonts w:ascii="Times New Roman" w:hAnsi="Times New Roman"/>
            <w:sz w:val="16"/>
            <w:szCs w:val="16"/>
          </w:rPr>
          <w:t>https://treasury.govt.nz/sites/default/files/2015-09/msoe-combined.pdf</w:t>
        </w:r>
      </w:hyperlink>
    </w:p>
  </w:footnote>
  <w:footnote w:id="37">
    <w:p w14:paraId="7227E261" w14:textId="0C553E64" w:rsidR="00757C68" w:rsidRPr="005E322A" w:rsidRDefault="00757C68">
      <w:pPr>
        <w:pStyle w:val="FootnoteText"/>
        <w:rPr>
          <w:rFonts w:ascii="Times New Roman" w:hAnsi="Times New Roman"/>
          <w:sz w:val="16"/>
          <w:szCs w:val="16"/>
        </w:rPr>
      </w:pPr>
      <w:r w:rsidRPr="00657C6E">
        <w:rPr>
          <w:rStyle w:val="FootnoteReference"/>
          <w:rFonts w:ascii="Times New Roman" w:hAnsi="Times New Roman"/>
          <w:sz w:val="16"/>
          <w:szCs w:val="16"/>
        </w:rPr>
        <w:footnoteRef/>
      </w:r>
      <w:r w:rsidRPr="00657C6E">
        <w:rPr>
          <w:rFonts w:ascii="Times New Roman" w:hAnsi="Times New Roman"/>
          <w:sz w:val="16"/>
          <w:szCs w:val="16"/>
        </w:rPr>
        <w:t xml:space="preserve"> Литвански центар за координацију управљања, смернице за писма о очекивањима. https://vkc.s</w:t>
      </w:r>
      <w:r>
        <w:rPr>
          <w:rFonts w:ascii="Times New Roman" w:hAnsi="Times New Roman"/>
          <w:sz w:val="16"/>
          <w:szCs w:val="16"/>
        </w:rPr>
        <w:t xml:space="preserve">ipa.lt/en/valdysena-lietuvoje/ </w:t>
      </w:r>
    </w:p>
  </w:footnote>
  <w:footnote w:id="38">
    <w:p w14:paraId="2A3DCBB8" w14:textId="027D8E1D" w:rsidR="00757C68" w:rsidRPr="00C057D9" w:rsidRDefault="00757C68" w:rsidP="00C057D9">
      <w:pPr>
        <w:pStyle w:val="FootnoteText"/>
        <w:rPr>
          <w:rFonts w:ascii="Times New Roman" w:hAnsi="Times New Roman"/>
          <w:sz w:val="16"/>
          <w:szCs w:val="16"/>
          <w:lang w:val="sr-Cyrl-RS"/>
        </w:rPr>
      </w:pPr>
      <w:r>
        <w:rPr>
          <w:rStyle w:val="FootnoteReference"/>
        </w:rPr>
        <w:footnoteRef/>
      </w:r>
      <w:r>
        <w:t xml:space="preserve"> </w:t>
      </w:r>
      <w:r w:rsidRPr="00C057D9">
        <w:rPr>
          <w:rFonts w:ascii="Times New Roman" w:hAnsi="Times New Roman"/>
          <w:sz w:val="16"/>
          <w:szCs w:val="16"/>
          <w:lang w:val="sr-Cyrl-RS"/>
        </w:rPr>
        <w:t xml:space="preserve">Односи се на ПСРС </w:t>
      </w:r>
      <w:r>
        <w:rPr>
          <w:rFonts w:ascii="Times New Roman" w:hAnsi="Times New Roman"/>
          <w:sz w:val="16"/>
          <w:szCs w:val="16"/>
          <w:lang w:val="sr-Cyrl-RS"/>
        </w:rPr>
        <w:t>који су у складу са Законом о буџетском систему дефинисани као корисници јавних средстава.</w:t>
      </w:r>
    </w:p>
    <w:p w14:paraId="07880ABB" w14:textId="51E07037" w:rsidR="00757C68" w:rsidRPr="00C057D9" w:rsidRDefault="00757C68">
      <w:pPr>
        <w:pStyle w:val="FootnoteText"/>
        <w:rPr>
          <w:lang w:val="sr-Cyrl-RS"/>
        </w:rPr>
      </w:pPr>
    </w:p>
  </w:footnote>
  <w:footnote w:id="39">
    <w:p w14:paraId="43068EF9" w14:textId="128E39DD" w:rsidR="00757C68" w:rsidRPr="00C057D9" w:rsidRDefault="00757C68" w:rsidP="001C1D94">
      <w:pPr>
        <w:pStyle w:val="FootnoteText"/>
        <w:rPr>
          <w:rFonts w:ascii="Times New Roman" w:hAnsi="Times New Roman"/>
          <w:sz w:val="16"/>
          <w:szCs w:val="16"/>
          <w:lang w:val="sr-Cyrl-RS"/>
        </w:rPr>
      </w:pPr>
      <w:r>
        <w:rPr>
          <w:rStyle w:val="FootnoteReference"/>
        </w:rPr>
        <w:footnoteRef/>
      </w:r>
      <w:r>
        <w:t xml:space="preserve"> </w:t>
      </w:r>
      <w:r w:rsidRPr="00C057D9">
        <w:rPr>
          <w:rFonts w:ascii="Times New Roman" w:hAnsi="Times New Roman"/>
          <w:sz w:val="16"/>
          <w:szCs w:val="16"/>
          <w:lang w:val="sr-Cyrl-RS"/>
        </w:rPr>
        <w:t xml:space="preserve">Односи се на ПСРС </w:t>
      </w:r>
      <w:r>
        <w:rPr>
          <w:rFonts w:ascii="Times New Roman" w:hAnsi="Times New Roman"/>
          <w:sz w:val="16"/>
          <w:szCs w:val="16"/>
          <w:lang w:val="sr-Cyrl-RS"/>
        </w:rPr>
        <w:t>који су у складу са Законом о буџетском систему дефинисани као корисници јавних средстава.</w:t>
      </w:r>
    </w:p>
    <w:p w14:paraId="60677871" w14:textId="7F351490" w:rsidR="00757C68" w:rsidRPr="001C1D94" w:rsidRDefault="00757C68">
      <w:pPr>
        <w:pStyle w:val="FootnoteText"/>
        <w:rPr>
          <w:lang w:val="sr-Latn-R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13F61E" w14:textId="77777777" w:rsidR="00757C68" w:rsidRDefault="00757C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EFE0E9" w14:textId="77777777" w:rsidR="00757C68" w:rsidRDefault="00757C6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43CDF3" w14:textId="77777777" w:rsidR="00757C68" w:rsidRDefault="00757C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B7293"/>
    <w:multiLevelType w:val="hybridMultilevel"/>
    <w:tmpl w:val="9F98F4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C71586"/>
    <w:multiLevelType w:val="hybridMultilevel"/>
    <w:tmpl w:val="BD7EFDE6"/>
    <w:lvl w:ilvl="0" w:tplc="74F2CB2C">
      <w:start w:val="1"/>
      <w:numFmt w:val="bullet"/>
      <w:lvlText w:val=""/>
      <w:lvlJc w:val="left"/>
      <w:pPr>
        <w:tabs>
          <w:tab w:val="num" w:pos="570"/>
        </w:tabs>
        <w:ind w:left="570" w:hanging="570"/>
      </w:pPr>
      <w:rPr>
        <w:rFonts w:ascii="Wingdings" w:hAnsi="Wingdings" w:hint="default"/>
        <w:color w:val="auto"/>
      </w:rPr>
    </w:lvl>
    <w:lvl w:ilvl="1" w:tplc="E5BAB90A">
      <w:start w:val="1"/>
      <w:numFmt w:val="bullet"/>
      <w:pStyle w:val="NeAdbullet-level2"/>
      <w:lvlText w:val="►"/>
      <w:lvlJc w:val="left"/>
      <w:pPr>
        <w:tabs>
          <w:tab w:val="num" w:pos="567"/>
        </w:tabs>
        <w:ind w:left="1134" w:hanging="567"/>
      </w:pPr>
      <w:rPr>
        <w:rFonts w:ascii="Arial" w:hAnsi="Arial" w:hint="default"/>
        <w:color w:val="C7A33C"/>
        <w:sz w:val="16"/>
      </w:rPr>
    </w:lvl>
    <w:lvl w:ilvl="2" w:tplc="42BEDBF4">
      <w:start w:val="1"/>
      <w:numFmt w:val="bullet"/>
      <w:lvlText w:val="-"/>
      <w:lvlJc w:val="left"/>
      <w:pPr>
        <w:tabs>
          <w:tab w:val="num" w:pos="1718"/>
        </w:tabs>
        <w:ind w:left="1718" w:hanging="573"/>
      </w:pPr>
      <w:rPr>
        <w:rFonts w:ascii="Times New Roman" w:hAnsi="Times New Roman" w:hint="default"/>
        <w:color w:val="auto"/>
      </w:rPr>
    </w:lvl>
    <w:lvl w:ilvl="3" w:tplc="AC98C2DA">
      <w:start w:val="1"/>
      <w:numFmt w:val="bullet"/>
      <w:lvlText w:val="-"/>
      <w:lvlJc w:val="left"/>
      <w:pPr>
        <w:tabs>
          <w:tab w:val="num" w:pos="2291"/>
        </w:tabs>
        <w:ind w:left="2291" w:hanging="573"/>
      </w:pPr>
      <w:rPr>
        <w:rFonts w:ascii="Times New Roman" w:hAnsi="Times New Roman" w:hint="default"/>
        <w:color w:val="auto"/>
      </w:rPr>
    </w:lvl>
    <w:lvl w:ilvl="4" w:tplc="9A205DB6">
      <w:start w:val="1"/>
      <w:numFmt w:val="bullet"/>
      <w:lvlText w:val="-"/>
      <w:lvlJc w:val="left"/>
      <w:pPr>
        <w:tabs>
          <w:tab w:val="num" w:pos="2863"/>
        </w:tabs>
        <w:ind w:left="2863" w:hanging="572"/>
      </w:pPr>
      <w:rPr>
        <w:rFonts w:ascii="Times New Roman" w:hAnsi="Times New Roman" w:hint="default"/>
        <w:color w:val="auto"/>
      </w:rPr>
    </w:lvl>
    <w:lvl w:ilvl="5" w:tplc="7708D516">
      <w:start w:val="1"/>
      <w:numFmt w:val="bullet"/>
      <w:lvlText w:val="-"/>
      <w:lvlJc w:val="left"/>
      <w:pPr>
        <w:tabs>
          <w:tab w:val="num" w:pos="3436"/>
        </w:tabs>
        <w:ind w:left="3436" w:hanging="573"/>
      </w:pPr>
      <w:rPr>
        <w:rFonts w:ascii="Times New Roman" w:hAnsi="Times New Roman" w:hint="default"/>
        <w:color w:val="auto"/>
      </w:rPr>
    </w:lvl>
    <w:lvl w:ilvl="6" w:tplc="3E34B5D6">
      <w:start w:val="1"/>
      <w:numFmt w:val="bullet"/>
      <w:lvlText w:val="-"/>
      <w:lvlJc w:val="left"/>
      <w:pPr>
        <w:tabs>
          <w:tab w:val="num" w:pos="4009"/>
        </w:tabs>
        <w:ind w:left="4009" w:hanging="573"/>
      </w:pPr>
      <w:rPr>
        <w:rFonts w:ascii="Times New Roman" w:hAnsi="Times New Roman" w:hint="default"/>
        <w:color w:val="auto"/>
      </w:rPr>
    </w:lvl>
    <w:lvl w:ilvl="7" w:tplc="72743594">
      <w:start w:val="1"/>
      <w:numFmt w:val="bullet"/>
      <w:lvlText w:val="-"/>
      <w:lvlJc w:val="left"/>
      <w:pPr>
        <w:tabs>
          <w:tab w:val="num" w:pos="4581"/>
        </w:tabs>
        <w:ind w:left="4581" w:hanging="572"/>
      </w:pPr>
      <w:rPr>
        <w:rFonts w:ascii="Times New Roman" w:hAnsi="Times New Roman" w:hint="default"/>
        <w:color w:val="auto"/>
      </w:rPr>
    </w:lvl>
    <w:lvl w:ilvl="8" w:tplc="D13A3BB6">
      <w:start w:val="1"/>
      <w:numFmt w:val="bullet"/>
      <w:lvlText w:val="-"/>
      <w:lvlJc w:val="left"/>
      <w:pPr>
        <w:tabs>
          <w:tab w:val="num" w:pos="5154"/>
        </w:tabs>
        <w:ind w:left="5154" w:hanging="573"/>
      </w:pPr>
      <w:rPr>
        <w:rFonts w:ascii="Times New Roman" w:hAnsi="Times New Roman" w:hint="default"/>
        <w:color w:val="auto"/>
      </w:rPr>
    </w:lvl>
  </w:abstractNum>
  <w:abstractNum w:abstractNumId="2" w15:restartNumberingAfterBreak="0">
    <w:nsid w:val="0E1B4497"/>
    <w:multiLevelType w:val="hybridMultilevel"/>
    <w:tmpl w:val="53067ED6"/>
    <w:lvl w:ilvl="0" w:tplc="C4B2876E">
      <w:start w:val="1"/>
      <w:numFmt w:val="bullet"/>
      <w:lvlText w:val="-"/>
      <w:lvlJc w:val="left"/>
      <w:pPr>
        <w:ind w:left="1636" w:hanging="360"/>
      </w:pPr>
      <w:rPr>
        <w:rFonts w:ascii="Symbol" w:hAnsi="Symbol"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3" w15:restartNumberingAfterBreak="0">
    <w:nsid w:val="16C65D16"/>
    <w:multiLevelType w:val="hybridMultilevel"/>
    <w:tmpl w:val="B8ECBF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F61FCC"/>
    <w:multiLevelType w:val="hybridMultilevel"/>
    <w:tmpl w:val="B0984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8172F7"/>
    <w:multiLevelType w:val="hybridMultilevel"/>
    <w:tmpl w:val="E9781FBE"/>
    <w:lvl w:ilvl="0" w:tplc="45B6DDDE">
      <w:start w:val="1"/>
      <w:numFmt w:val="bullet"/>
      <w:lvlText w:val=""/>
      <w:lvlJc w:val="left"/>
      <w:pPr>
        <w:ind w:left="720" w:hanging="360"/>
      </w:pPr>
      <w:rPr>
        <w:rFonts w:ascii="Wingdings" w:hAnsi="Wingdings" w:hint="default"/>
        <w:color w:val="auto"/>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6" w15:restartNumberingAfterBreak="0">
    <w:nsid w:val="19271AD4"/>
    <w:multiLevelType w:val="hybridMultilevel"/>
    <w:tmpl w:val="C14E88CA"/>
    <w:lvl w:ilvl="0" w:tplc="1D0CA2C4">
      <w:start w:val="1"/>
      <w:numFmt w:val="upperRoman"/>
      <w:lvlText w:val="%1."/>
      <w:lvlJc w:val="left"/>
      <w:pPr>
        <w:ind w:left="5399" w:hanging="720"/>
      </w:pPr>
      <w:rPr>
        <w:rFonts w:ascii="Times New Roman" w:hAnsi="Times New Roman" w:cs="Times New Roman" w:hint="default"/>
        <w:color w:val="000000" w:themeColor="text1"/>
      </w:rPr>
    </w:lvl>
    <w:lvl w:ilvl="1" w:tplc="04090019">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7" w15:restartNumberingAfterBreak="0">
    <w:nsid w:val="1AD23307"/>
    <w:multiLevelType w:val="hybridMultilevel"/>
    <w:tmpl w:val="C1DA6668"/>
    <w:lvl w:ilvl="0" w:tplc="C4B2876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C8796C"/>
    <w:multiLevelType w:val="multilevel"/>
    <w:tmpl w:val="E550B668"/>
    <w:lvl w:ilvl="0">
      <w:start w:val="1"/>
      <w:numFmt w:val="upperRoman"/>
      <w:pStyle w:val="Heading1"/>
      <w:lvlText w:val="%1"/>
      <w:lvlJc w:val="left"/>
      <w:pPr>
        <w:ind w:left="432" w:hanging="432"/>
      </w:pPr>
      <w:rPr>
        <w:rFonts w:ascii="Times New Roman Bold" w:hAnsi="Times New Roman Bold" w:hint="default"/>
        <w:b/>
        <w:i w:val="0"/>
        <w:caps/>
        <w:sz w:val="22"/>
      </w:rPr>
    </w:lvl>
    <w:lvl w:ilvl="1">
      <w:start w:val="1"/>
      <w:numFmt w:val="decimal"/>
      <w:pStyle w:val="Heading2"/>
      <w:lvlText w:val="%2."/>
      <w:lvlJc w:val="left"/>
      <w:pPr>
        <w:ind w:left="1296" w:hanging="576"/>
      </w:pPr>
      <w:rPr>
        <w:rFonts w:hint="default"/>
        <w:b w:val="0"/>
        <w:bCs w:val="0"/>
        <w:i w:val="0"/>
        <w:iCs w:val="0"/>
        <w:caps w:val="0"/>
        <w:smallCaps w:val="0"/>
        <w:strike w:val="0"/>
        <w:dstrike w:val="0"/>
        <w:noProof w:val="0"/>
        <w:vanish w:val="0"/>
        <w:webHidden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ascii="Times New Roman" w:hAnsi="Times New Roman"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5"/>
      <w:lvlText w:val="%1.%2.%3.%4.%5"/>
      <w:lvlJc w:val="left"/>
      <w:pPr>
        <w:ind w:left="1008" w:hanging="1008"/>
      </w:pPr>
      <w:rPr>
        <w:rFonts w:ascii="Times New Roman" w:hAnsi="Times New Roman"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lowerRoman"/>
      <w:pStyle w:val="Heading6"/>
      <w:lvlText w:val="(%6)"/>
      <w:lvlJc w:val="left"/>
      <w:pPr>
        <w:ind w:left="1242" w:hanging="1152"/>
      </w:pPr>
      <w:rPr>
        <w:rFonts w:ascii="Times New Roman" w:hAnsi="Times New Roman" w:cs="Times New Roman" w:hint="default"/>
        <w:b w:val="0"/>
        <w:i/>
        <w:sz w:val="22"/>
      </w:r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9" w15:restartNumberingAfterBreak="0">
    <w:nsid w:val="26401DFE"/>
    <w:multiLevelType w:val="hybridMultilevel"/>
    <w:tmpl w:val="83524DD2"/>
    <w:lvl w:ilvl="0" w:tplc="C3FC1D18">
      <w:start w:val="2"/>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89A2776"/>
    <w:multiLevelType w:val="hybridMultilevel"/>
    <w:tmpl w:val="A77E060C"/>
    <w:lvl w:ilvl="0" w:tplc="379252FA">
      <w:start w:val="1"/>
      <w:numFmt w:val="upperRoman"/>
      <w:pStyle w:val="NeAdH1"/>
      <w:lvlText w:val="%1."/>
      <w:lvlJc w:val="left"/>
      <w:pPr>
        <w:tabs>
          <w:tab w:val="num" w:pos="573"/>
        </w:tabs>
        <w:ind w:left="573" w:hanging="573"/>
      </w:pPr>
      <w:rPr>
        <w:rFonts w:hint="default"/>
      </w:rPr>
    </w:lvl>
    <w:lvl w:ilvl="1" w:tplc="A972E566">
      <w:start w:val="1"/>
      <w:numFmt w:val="upperLetter"/>
      <w:pStyle w:val="NeAdH2"/>
      <w:lvlText w:val="%2."/>
      <w:lvlJc w:val="left"/>
      <w:pPr>
        <w:tabs>
          <w:tab w:val="num" w:pos="573"/>
        </w:tabs>
        <w:ind w:left="573" w:hanging="573"/>
      </w:pPr>
      <w:rPr>
        <w:rFonts w:hint="default"/>
      </w:rPr>
    </w:lvl>
    <w:lvl w:ilvl="2" w:tplc="238E6E92">
      <w:start w:val="1"/>
      <w:numFmt w:val="lowerRoman"/>
      <w:pStyle w:val="NeAdH3"/>
      <w:lvlText w:val="%3."/>
      <w:lvlJc w:val="left"/>
      <w:pPr>
        <w:tabs>
          <w:tab w:val="num" w:pos="1145"/>
        </w:tabs>
        <w:ind w:left="1145" w:hanging="572"/>
      </w:pPr>
      <w:rPr>
        <w:rFonts w:hint="default"/>
      </w:rPr>
    </w:lvl>
    <w:lvl w:ilvl="3" w:tplc="6DC2315E">
      <w:start w:val="1"/>
      <w:numFmt w:val="lowerLetter"/>
      <w:pStyle w:val="NeAdH42"/>
      <w:lvlText w:val="%4."/>
      <w:lvlJc w:val="left"/>
      <w:pPr>
        <w:tabs>
          <w:tab w:val="num" w:pos="1718"/>
        </w:tabs>
        <w:ind w:left="1718" w:hanging="573"/>
      </w:pPr>
      <w:rPr>
        <w:rFonts w:hint="default"/>
      </w:rPr>
    </w:lvl>
    <w:lvl w:ilvl="4" w:tplc="4420CD5C">
      <w:start w:val="1"/>
      <w:numFmt w:val="lowerLetter"/>
      <w:lvlText w:val="%5."/>
      <w:lvlJc w:val="left"/>
      <w:pPr>
        <w:tabs>
          <w:tab w:val="num" w:pos="2291"/>
        </w:tabs>
        <w:ind w:left="2291" w:hanging="573"/>
      </w:pPr>
      <w:rPr>
        <w:rFonts w:hint="default"/>
      </w:rPr>
    </w:lvl>
    <w:lvl w:ilvl="5" w:tplc="FA762E2E">
      <w:start w:val="1"/>
      <w:numFmt w:val="lowerLetter"/>
      <w:lvlText w:val="%6."/>
      <w:lvlJc w:val="right"/>
      <w:pPr>
        <w:tabs>
          <w:tab w:val="num" w:pos="2863"/>
        </w:tabs>
        <w:ind w:left="2863" w:hanging="572"/>
      </w:pPr>
      <w:rPr>
        <w:rFonts w:hint="default"/>
      </w:rPr>
    </w:lvl>
    <w:lvl w:ilvl="6" w:tplc="0E567D54">
      <w:start w:val="1"/>
      <w:numFmt w:val="lowerLetter"/>
      <w:lvlText w:val="%7."/>
      <w:lvlJc w:val="left"/>
      <w:pPr>
        <w:tabs>
          <w:tab w:val="num" w:pos="3436"/>
        </w:tabs>
        <w:ind w:left="3436" w:hanging="573"/>
      </w:pPr>
      <w:rPr>
        <w:rFonts w:hint="default"/>
      </w:rPr>
    </w:lvl>
    <w:lvl w:ilvl="7" w:tplc="7A4E898E">
      <w:start w:val="1"/>
      <w:numFmt w:val="lowerLetter"/>
      <w:lvlText w:val="%8."/>
      <w:lvlJc w:val="left"/>
      <w:pPr>
        <w:tabs>
          <w:tab w:val="num" w:pos="4009"/>
        </w:tabs>
        <w:ind w:left="4009" w:hanging="573"/>
      </w:pPr>
      <w:rPr>
        <w:rFonts w:hint="default"/>
      </w:rPr>
    </w:lvl>
    <w:lvl w:ilvl="8" w:tplc="82EABD38">
      <w:start w:val="1"/>
      <w:numFmt w:val="lowerLetter"/>
      <w:lvlText w:val="%9."/>
      <w:lvlJc w:val="right"/>
      <w:pPr>
        <w:tabs>
          <w:tab w:val="num" w:pos="4581"/>
        </w:tabs>
        <w:ind w:left="4581" w:hanging="572"/>
      </w:pPr>
      <w:rPr>
        <w:rFonts w:hint="default"/>
      </w:rPr>
    </w:lvl>
  </w:abstractNum>
  <w:abstractNum w:abstractNumId="11" w15:restartNumberingAfterBreak="0">
    <w:nsid w:val="3E3F2AEF"/>
    <w:multiLevelType w:val="multilevel"/>
    <w:tmpl w:val="3AAA0A7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109306D"/>
    <w:multiLevelType w:val="hybridMultilevel"/>
    <w:tmpl w:val="E47E37A0"/>
    <w:lvl w:ilvl="0" w:tplc="9490D970">
      <w:start w:val="1"/>
      <w:numFmt w:val="bullet"/>
      <w:pStyle w:val="NeAdbullet3"/>
      <w:lvlText w:val=""/>
      <w:lvlJc w:val="left"/>
      <w:pPr>
        <w:tabs>
          <w:tab w:val="num" w:pos="570"/>
        </w:tabs>
        <w:ind w:left="570" w:hanging="570"/>
      </w:pPr>
      <w:rPr>
        <w:rFonts w:ascii="Wingdings" w:hAnsi="Wingdings" w:hint="default"/>
        <w:color w:val="auto"/>
      </w:rPr>
    </w:lvl>
    <w:lvl w:ilvl="1" w:tplc="254A0E42">
      <w:start w:val="1"/>
      <w:numFmt w:val="bullet"/>
      <w:lvlText w:val=""/>
      <w:lvlJc w:val="left"/>
      <w:pPr>
        <w:tabs>
          <w:tab w:val="num" w:pos="1145"/>
        </w:tabs>
        <w:ind w:left="1145" w:hanging="572"/>
      </w:pPr>
      <w:rPr>
        <w:rFonts w:ascii="Symbol" w:hAnsi="Symbol" w:hint="default"/>
        <w:color w:val="auto"/>
      </w:rPr>
    </w:lvl>
    <w:lvl w:ilvl="2" w:tplc="713EDDCA">
      <w:start w:val="1"/>
      <w:numFmt w:val="bullet"/>
      <w:pStyle w:val="NeAdbullet3"/>
      <w:lvlText w:val=""/>
      <w:lvlJc w:val="left"/>
      <w:pPr>
        <w:tabs>
          <w:tab w:val="num" w:pos="1559"/>
        </w:tabs>
        <w:ind w:left="1559" w:hanging="425"/>
      </w:pPr>
      <w:rPr>
        <w:rFonts w:ascii="Symbol" w:hAnsi="Symbol" w:hint="default"/>
        <w:color w:val="808080"/>
        <w:sz w:val="16"/>
      </w:rPr>
    </w:lvl>
    <w:lvl w:ilvl="3" w:tplc="3076A15E">
      <w:start w:val="1"/>
      <w:numFmt w:val="bullet"/>
      <w:lvlText w:val="-"/>
      <w:lvlJc w:val="left"/>
      <w:pPr>
        <w:tabs>
          <w:tab w:val="num" w:pos="2291"/>
        </w:tabs>
        <w:ind w:left="2291" w:hanging="573"/>
      </w:pPr>
      <w:rPr>
        <w:rFonts w:ascii="Times New Roman" w:hAnsi="Times New Roman" w:hint="default"/>
        <w:color w:val="auto"/>
      </w:rPr>
    </w:lvl>
    <w:lvl w:ilvl="4" w:tplc="05B2ECE8">
      <w:start w:val="1"/>
      <w:numFmt w:val="bullet"/>
      <w:lvlText w:val="-"/>
      <w:lvlJc w:val="left"/>
      <w:pPr>
        <w:tabs>
          <w:tab w:val="num" w:pos="2863"/>
        </w:tabs>
        <w:ind w:left="2863" w:hanging="572"/>
      </w:pPr>
      <w:rPr>
        <w:rFonts w:ascii="Times New Roman" w:hAnsi="Times New Roman" w:hint="default"/>
        <w:color w:val="auto"/>
      </w:rPr>
    </w:lvl>
    <w:lvl w:ilvl="5" w:tplc="FD765AAC">
      <w:start w:val="1"/>
      <w:numFmt w:val="bullet"/>
      <w:lvlText w:val="-"/>
      <w:lvlJc w:val="left"/>
      <w:pPr>
        <w:tabs>
          <w:tab w:val="num" w:pos="3436"/>
        </w:tabs>
        <w:ind w:left="3436" w:hanging="573"/>
      </w:pPr>
      <w:rPr>
        <w:rFonts w:ascii="Times New Roman" w:hAnsi="Times New Roman" w:hint="default"/>
        <w:color w:val="auto"/>
      </w:rPr>
    </w:lvl>
    <w:lvl w:ilvl="6" w:tplc="EC8656E2">
      <w:start w:val="1"/>
      <w:numFmt w:val="bullet"/>
      <w:lvlText w:val="-"/>
      <w:lvlJc w:val="left"/>
      <w:pPr>
        <w:tabs>
          <w:tab w:val="num" w:pos="4009"/>
        </w:tabs>
        <w:ind w:left="4009" w:hanging="573"/>
      </w:pPr>
      <w:rPr>
        <w:rFonts w:ascii="Times New Roman" w:hAnsi="Times New Roman" w:hint="default"/>
        <w:color w:val="auto"/>
      </w:rPr>
    </w:lvl>
    <w:lvl w:ilvl="7" w:tplc="81C4C1F8">
      <w:start w:val="1"/>
      <w:numFmt w:val="bullet"/>
      <w:lvlText w:val="-"/>
      <w:lvlJc w:val="left"/>
      <w:pPr>
        <w:tabs>
          <w:tab w:val="num" w:pos="4581"/>
        </w:tabs>
        <w:ind w:left="4581" w:hanging="572"/>
      </w:pPr>
      <w:rPr>
        <w:rFonts w:ascii="Times New Roman" w:hAnsi="Times New Roman" w:hint="default"/>
        <w:color w:val="auto"/>
      </w:rPr>
    </w:lvl>
    <w:lvl w:ilvl="8" w:tplc="C6EE49AE">
      <w:start w:val="1"/>
      <w:numFmt w:val="bullet"/>
      <w:lvlText w:val="-"/>
      <w:lvlJc w:val="left"/>
      <w:pPr>
        <w:tabs>
          <w:tab w:val="num" w:pos="5154"/>
        </w:tabs>
        <w:ind w:left="5154" w:hanging="573"/>
      </w:pPr>
      <w:rPr>
        <w:rFonts w:ascii="Times New Roman" w:hAnsi="Times New Roman" w:hint="default"/>
        <w:color w:val="auto"/>
      </w:rPr>
    </w:lvl>
  </w:abstractNum>
  <w:abstractNum w:abstractNumId="13" w15:restartNumberingAfterBreak="0">
    <w:nsid w:val="4244655D"/>
    <w:multiLevelType w:val="hybridMultilevel"/>
    <w:tmpl w:val="F946A0D6"/>
    <w:lvl w:ilvl="0" w:tplc="C4B2876E">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54071F1"/>
    <w:multiLevelType w:val="hybridMultilevel"/>
    <w:tmpl w:val="DEA85DA0"/>
    <w:lvl w:ilvl="0" w:tplc="C4B2876E">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5" w15:restartNumberingAfterBreak="0">
    <w:nsid w:val="4A561C2D"/>
    <w:multiLevelType w:val="hybridMultilevel"/>
    <w:tmpl w:val="59E4FED4"/>
    <w:lvl w:ilvl="0" w:tplc="C4B2876E">
      <w:start w:val="1"/>
      <w:numFmt w:val="bullet"/>
      <w:lvlText w:val="-"/>
      <w:lvlJc w:val="left"/>
      <w:pPr>
        <w:ind w:left="1429" w:hanging="360"/>
      </w:pPr>
      <w:rPr>
        <w:rFonts w:ascii="Symbol" w:hAnsi="Symbol"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6" w15:restartNumberingAfterBreak="0">
    <w:nsid w:val="4AB7238C"/>
    <w:multiLevelType w:val="hybridMultilevel"/>
    <w:tmpl w:val="B8ECBF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B344ABD"/>
    <w:multiLevelType w:val="hybridMultilevel"/>
    <w:tmpl w:val="FD7AD226"/>
    <w:lvl w:ilvl="0" w:tplc="C4B2876E">
      <w:start w:val="1"/>
      <w:numFmt w:val="bullet"/>
      <w:lvlText w:val="-"/>
      <w:lvlJc w:val="left"/>
      <w:pPr>
        <w:ind w:left="720" w:hanging="360"/>
      </w:pPr>
      <w:rPr>
        <w:rFonts w:ascii="Symbol" w:hAnsi="Symbol"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18" w15:restartNumberingAfterBreak="0">
    <w:nsid w:val="54812288"/>
    <w:multiLevelType w:val="hybridMultilevel"/>
    <w:tmpl w:val="BF2468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56C554F"/>
    <w:multiLevelType w:val="multilevel"/>
    <w:tmpl w:val="9C9477F6"/>
    <w:lvl w:ilvl="0">
      <w:start w:val="1"/>
      <w:numFmt w:val="decimal"/>
      <w:lvlText w:val="%1."/>
      <w:lvlJc w:val="left"/>
      <w:pPr>
        <w:ind w:left="720" w:hanging="360"/>
      </w:pPr>
      <w:rPr>
        <w:rFonts w:ascii="Times New Roman" w:hAnsi="Times New Roman" w:cs="Times New Roman" w:hint="default"/>
        <w:sz w:val="22"/>
        <w:szCs w:val="22"/>
      </w:rPr>
    </w:lvl>
    <w:lvl w:ilvl="1">
      <w:start w:val="1"/>
      <w:numFmt w:val="decimal"/>
      <w:isLgl/>
      <w:lvlText w:val="%1.%2"/>
      <w:lvlJc w:val="left"/>
      <w:pPr>
        <w:ind w:left="819" w:hanging="360"/>
      </w:pPr>
      <w:rPr>
        <w:rFonts w:ascii="Times New Roman" w:hAnsi="Times New Roman" w:cs="Times New Roman" w:hint="default"/>
        <w:sz w:val="22"/>
        <w:szCs w:val="22"/>
      </w:rPr>
    </w:lvl>
    <w:lvl w:ilvl="2">
      <w:start w:val="1"/>
      <w:numFmt w:val="decimal"/>
      <w:isLgl/>
      <w:lvlText w:val="%1.%2.%3"/>
      <w:lvlJc w:val="left"/>
      <w:pPr>
        <w:ind w:left="1278" w:hanging="720"/>
      </w:pPr>
      <w:rPr>
        <w:rFonts w:hint="default"/>
      </w:rPr>
    </w:lvl>
    <w:lvl w:ilvl="3">
      <w:start w:val="1"/>
      <w:numFmt w:val="decimal"/>
      <w:isLgl/>
      <w:lvlText w:val="%1.%2.%3.%4"/>
      <w:lvlJc w:val="left"/>
      <w:pPr>
        <w:ind w:left="1377" w:hanging="720"/>
      </w:pPr>
      <w:rPr>
        <w:rFonts w:hint="default"/>
      </w:rPr>
    </w:lvl>
    <w:lvl w:ilvl="4">
      <w:start w:val="1"/>
      <w:numFmt w:val="decimal"/>
      <w:isLgl/>
      <w:lvlText w:val="%1.%2.%3.%4.%5"/>
      <w:lvlJc w:val="left"/>
      <w:pPr>
        <w:ind w:left="1836" w:hanging="1080"/>
      </w:pPr>
      <w:rPr>
        <w:rFonts w:hint="default"/>
      </w:rPr>
    </w:lvl>
    <w:lvl w:ilvl="5">
      <w:start w:val="1"/>
      <w:numFmt w:val="decimal"/>
      <w:isLgl/>
      <w:lvlText w:val="%1.%2.%3.%4.%5.%6"/>
      <w:lvlJc w:val="left"/>
      <w:pPr>
        <w:ind w:left="1935" w:hanging="1080"/>
      </w:pPr>
      <w:rPr>
        <w:rFonts w:hint="default"/>
      </w:rPr>
    </w:lvl>
    <w:lvl w:ilvl="6">
      <w:start w:val="1"/>
      <w:numFmt w:val="decimal"/>
      <w:isLgl/>
      <w:lvlText w:val="%1.%2.%3.%4.%5.%6.%7"/>
      <w:lvlJc w:val="left"/>
      <w:pPr>
        <w:ind w:left="2394" w:hanging="1440"/>
      </w:pPr>
      <w:rPr>
        <w:rFonts w:hint="default"/>
      </w:rPr>
    </w:lvl>
    <w:lvl w:ilvl="7">
      <w:start w:val="1"/>
      <w:numFmt w:val="decimal"/>
      <w:isLgl/>
      <w:lvlText w:val="%1.%2.%3.%4.%5.%6.%7.%8"/>
      <w:lvlJc w:val="left"/>
      <w:pPr>
        <w:ind w:left="2493" w:hanging="1440"/>
      </w:pPr>
      <w:rPr>
        <w:rFonts w:hint="default"/>
      </w:rPr>
    </w:lvl>
    <w:lvl w:ilvl="8">
      <w:start w:val="1"/>
      <w:numFmt w:val="decimal"/>
      <w:isLgl/>
      <w:lvlText w:val="%1.%2.%3.%4.%5.%6.%7.%8.%9"/>
      <w:lvlJc w:val="left"/>
      <w:pPr>
        <w:ind w:left="2592" w:hanging="1440"/>
      </w:pPr>
      <w:rPr>
        <w:rFonts w:hint="default"/>
      </w:rPr>
    </w:lvl>
  </w:abstractNum>
  <w:abstractNum w:abstractNumId="20" w15:restartNumberingAfterBreak="0">
    <w:nsid w:val="590F527E"/>
    <w:multiLevelType w:val="hybridMultilevel"/>
    <w:tmpl w:val="D004C1A8"/>
    <w:lvl w:ilvl="0" w:tplc="C4B2876E">
      <w:start w:val="1"/>
      <w:numFmt w:val="bullet"/>
      <w:lvlText w:val="-"/>
      <w:lvlJc w:val="left"/>
      <w:pPr>
        <w:ind w:left="720" w:hanging="360"/>
      </w:pPr>
      <w:rPr>
        <w:rFonts w:ascii="Symbol" w:hAnsi="Symbol"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21" w15:restartNumberingAfterBreak="0">
    <w:nsid w:val="5A041F3E"/>
    <w:multiLevelType w:val="hybridMultilevel"/>
    <w:tmpl w:val="28E659B2"/>
    <w:styleLink w:val="Styl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E0D548A"/>
    <w:multiLevelType w:val="hybridMultilevel"/>
    <w:tmpl w:val="02F839D4"/>
    <w:lvl w:ilvl="0" w:tplc="901642E6">
      <w:start w:val="1"/>
      <w:numFmt w:val="decimal"/>
      <w:pStyle w:val="NeAdsectionsubtitle"/>
      <w:lvlText w:val="%1."/>
      <w:lvlJc w:val="left"/>
      <w:pPr>
        <w:ind w:left="36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6082183E"/>
    <w:multiLevelType w:val="hybridMultilevel"/>
    <w:tmpl w:val="52E6A828"/>
    <w:lvl w:ilvl="0" w:tplc="04090011">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4" w15:restartNumberingAfterBreak="0">
    <w:nsid w:val="60E32306"/>
    <w:multiLevelType w:val="hybridMultilevel"/>
    <w:tmpl w:val="F7F8A392"/>
    <w:lvl w:ilvl="0" w:tplc="241A000F">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25" w15:restartNumberingAfterBreak="0">
    <w:nsid w:val="64137514"/>
    <w:multiLevelType w:val="hybridMultilevel"/>
    <w:tmpl w:val="B4244822"/>
    <w:lvl w:ilvl="0" w:tplc="DF30CE5C">
      <w:start w:val="1"/>
      <w:numFmt w:val="bullet"/>
      <w:pStyle w:val="NeAdbullet-level1"/>
      <w:lvlText w:val="►"/>
      <w:lvlJc w:val="left"/>
      <w:pPr>
        <w:tabs>
          <w:tab w:val="num" w:pos="567"/>
        </w:tabs>
        <w:ind w:left="567" w:hanging="567"/>
      </w:pPr>
      <w:rPr>
        <w:rFonts w:ascii="Arial" w:hAnsi="Arial" w:hint="default"/>
        <w:color w:val="903F0E"/>
        <w:sz w:val="16"/>
      </w:rPr>
    </w:lvl>
    <w:lvl w:ilvl="1" w:tplc="3BCA126A">
      <w:start w:val="1"/>
      <w:numFmt w:val="bullet"/>
      <w:lvlText w:val=""/>
      <w:lvlJc w:val="left"/>
      <w:pPr>
        <w:tabs>
          <w:tab w:val="num" w:pos="1145"/>
        </w:tabs>
        <w:ind w:left="1145" w:hanging="572"/>
      </w:pPr>
      <w:rPr>
        <w:rFonts w:ascii="Symbol" w:hAnsi="Symbol" w:hint="default"/>
        <w:color w:val="auto"/>
      </w:rPr>
    </w:lvl>
    <w:lvl w:ilvl="2" w:tplc="B0DEBF84">
      <w:start w:val="1"/>
      <w:numFmt w:val="bullet"/>
      <w:lvlText w:val="-"/>
      <w:lvlJc w:val="left"/>
      <w:pPr>
        <w:tabs>
          <w:tab w:val="num" w:pos="1718"/>
        </w:tabs>
        <w:ind w:left="1718" w:hanging="573"/>
      </w:pPr>
      <w:rPr>
        <w:rFonts w:ascii="Times New Roman" w:hAnsi="Times New Roman" w:hint="default"/>
        <w:color w:val="auto"/>
      </w:rPr>
    </w:lvl>
    <w:lvl w:ilvl="3" w:tplc="C20E3CC4">
      <w:start w:val="1"/>
      <w:numFmt w:val="bullet"/>
      <w:lvlText w:val="-"/>
      <w:lvlJc w:val="left"/>
      <w:pPr>
        <w:tabs>
          <w:tab w:val="num" w:pos="2291"/>
        </w:tabs>
        <w:ind w:left="2291" w:hanging="573"/>
      </w:pPr>
      <w:rPr>
        <w:rFonts w:ascii="Times New Roman" w:hAnsi="Times New Roman" w:hint="default"/>
        <w:color w:val="auto"/>
      </w:rPr>
    </w:lvl>
    <w:lvl w:ilvl="4" w:tplc="78B4F480">
      <w:start w:val="1"/>
      <w:numFmt w:val="bullet"/>
      <w:lvlText w:val="-"/>
      <w:lvlJc w:val="left"/>
      <w:pPr>
        <w:tabs>
          <w:tab w:val="num" w:pos="2863"/>
        </w:tabs>
        <w:ind w:left="2863" w:hanging="572"/>
      </w:pPr>
      <w:rPr>
        <w:rFonts w:ascii="Times New Roman" w:hAnsi="Times New Roman" w:hint="default"/>
        <w:color w:val="auto"/>
      </w:rPr>
    </w:lvl>
    <w:lvl w:ilvl="5" w:tplc="68109458">
      <w:start w:val="1"/>
      <w:numFmt w:val="bullet"/>
      <w:lvlText w:val="-"/>
      <w:lvlJc w:val="left"/>
      <w:pPr>
        <w:tabs>
          <w:tab w:val="num" w:pos="3436"/>
        </w:tabs>
        <w:ind w:left="3436" w:hanging="573"/>
      </w:pPr>
      <w:rPr>
        <w:rFonts w:ascii="Times New Roman" w:hAnsi="Times New Roman" w:hint="default"/>
        <w:color w:val="auto"/>
      </w:rPr>
    </w:lvl>
    <w:lvl w:ilvl="6" w:tplc="90A0D570">
      <w:start w:val="1"/>
      <w:numFmt w:val="bullet"/>
      <w:lvlText w:val="-"/>
      <w:lvlJc w:val="left"/>
      <w:pPr>
        <w:tabs>
          <w:tab w:val="num" w:pos="4009"/>
        </w:tabs>
        <w:ind w:left="4009" w:hanging="573"/>
      </w:pPr>
      <w:rPr>
        <w:rFonts w:ascii="Times New Roman" w:hAnsi="Times New Roman" w:hint="default"/>
        <w:color w:val="auto"/>
      </w:rPr>
    </w:lvl>
    <w:lvl w:ilvl="7" w:tplc="CD84FA80">
      <w:start w:val="1"/>
      <w:numFmt w:val="bullet"/>
      <w:lvlText w:val="-"/>
      <w:lvlJc w:val="left"/>
      <w:pPr>
        <w:tabs>
          <w:tab w:val="num" w:pos="4581"/>
        </w:tabs>
        <w:ind w:left="4581" w:hanging="572"/>
      </w:pPr>
      <w:rPr>
        <w:rFonts w:ascii="Times New Roman" w:hAnsi="Times New Roman" w:hint="default"/>
        <w:color w:val="auto"/>
      </w:rPr>
    </w:lvl>
    <w:lvl w:ilvl="8" w:tplc="B738900E">
      <w:start w:val="1"/>
      <w:numFmt w:val="bullet"/>
      <w:lvlText w:val="-"/>
      <w:lvlJc w:val="left"/>
      <w:pPr>
        <w:tabs>
          <w:tab w:val="num" w:pos="5154"/>
        </w:tabs>
        <w:ind w:left="5154" w:hanging="573"/>
      </w:pPr>
      <w:rPr>
        <w:rFonts w:ascii="Times New Roman" w:hAnsi="Times New Roman" w:hint="default"/>
        <w:color w:val="auto"/>
      </w:rPr>
    </w:lvl>
  </w:abstractNum>
  <w:abstractNum w:abstractNumId="26" w15:restartNumberingAfterBreak="0">
    <w:nsid w:val="6B3D4CEE"/>
    <w:multiLevelType w:val="multilevel"/>
    <w:tmpl w:val="A754C2A0"/>
    <w:lvl w:ilvl="0">
      <w:start w:val="1"/>
      <w:numFmt w:val="decimal"/>
      <w:pStyle w:val="NeAdnumber-level1"/>
      <w:lvlText w:val="%1."/>
      <w:lvlJc w:val="left"/>
      <w:pPr>
        <w:tabs>
          <w:tab w:val="num" w:pos="567"/>
        </w:tabs>
        <w:ind w:left="567" w:hanging="567"/>
      </w:pPr>
      <w:rPr>
        <w:rFonts w:hint="default"/>
        <w:b w:val="0"/>
        <w:bCs/>
        <w:sz w:val="22"/>
        <w:szCs w:val="22"/>
      </w:rPr>
    </w:lvl>
    <w:lvl w:ilvl="1">
      <w:start w:val="1"/>
      <w:numFmt w:val="decimal"/>
      <w:pStyle w:val="NeAdnumber-level2"/>
      <w:lvlText w:val="%1.%2."/>
      <w:lvlJc w:val="left"/>
      <w:pPr>
        <w:tabs>
          <w:tab w:val="num" w:pos="1134"/>
        </w:tabs>
        <w:ind w:left="1134" w:hanging="567"/>
      </w:pPr>
      <w:rPr>
        <w:rFonts w:ascii="Calibri" w:hAnsi="Calibri" w:cs="Calibri" w:hint="default"/>
        <w:b w:val="0"/>
        <w:bCs w:val="0"/>
        <w:sz w:val="22"/>
        <w:szCs w:val="21"/>
      </w:rPr>
    </w:lvl>
    <w:lvl w:ilvl="2">
      <w:start w:val="1"/>
      <w:numFmt w:val="decimal"/>
      <w:pStyle w:val="NeAdnumber-level3"/>
      <w:lvlText w:val="%1.%2.%3."/>
      <w:lvlJc w:val="left"/>
      <w:pPr>
        <w:tabs>
          <w:tab w:val="num" w:pos="1701"/>
        </w:tabs>
        <w:ind w:left="1701" w:hanging="567"/>
      </w:pPr>
      <w:rPr>
        <w:rFonts w:hint="default"/>
      </w:rPr>
    </w:lvl>
    <w:lvl w:ilvl="3">
      <w:start w:val="1"/>
      <w:numFmt w:val="decimal"/>
      <w:pStyle w:val="NeAdnumber-level4"/>
      <w:lvlText w:val="%1.%2.%3.%4."/>
      <w:lvlJc w:val="left"/>
      <w:pPr>
        <w:tabs>
          <w:tab w:val="num" w:pos="2978"/>
        </w:tabs>
        <w:ind w:left="2978"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7" w15:restartNumberingAfterBreak="0">
    <w:nsid w:val="6BFE4D81"/>
    <w:multiLevelType w:val="hybridMultilevel"/>
    <w:tmpl w:val="FD18396E"/>
    <w:lvl w:ilvl="0" w:tplc="B1742C62">
      <w:start w:val="1"/>
      <w:numFmt w:val="upperRoman"/>
      <w:lvlText w:val="%1."/>
      <w:lvlJc w:val="left"/>
      <w:pPr>
        <w:ind w:left="5399" w:hanging="720"/>
      </w:pPr>
      <w:rPr>
        <w:rFonts w:ascii="Times New Roman" w:hAnsi="Times New Roman" w:cs="Times New Roman" w:hint="default"/>
        <w:color w:val="000000" w:themeColor="text1"/>
        <w:sz w:val="24"/>
        <w:szCs w:val="24"/>
      </w:rPr>
    </w:lvl>
    <w:lvl w:ilvl="1" w:tplc="04090019">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28" w15:restartNumberingAfterBreak="0">
    <w:nsid w:val="720C75FB"/>
    <w:multiLevelType w:val="hybridMultilevel"/>
    <w:tmpl w:val="C64CDAE6"/>
    <w:lvl w:ilvl="0" w:tplc="C4B2876E">
      <w:start w:val="1"/>
      <w:numFmt w:val="bullet"/>
      <w:lvlText w:val="-"/>
      <w:lvlJc w:val="left"/>
      <w:pPr>
        <w:ind w:left="720" w:hanging="360"/>
      </w:pPr>
      <w:rPr>
        <w:rFonts w:ascii="Symbol" w:hAnsi="Symbol"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29" w15:restartNumberingAfterBreak="0">
    <w:nsid w:val="735F534C"/>
    <w:multiLevelType w:val="hybridMultilevel"/>
    <w:tmpl w:val="BA5E375C"/>
    <w:lvl w:ilvl="0" w:tplc="281A000F">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num w:numId="1">
    <w:abstractNumId w:val="10"/>
  </w:num>
  <w:num w:numId="2">
    <w:abstractNumId w:val="25"/>
  </w:num>
  <w:num w:numId="3">
    <w:abstractNumId w:val="1"/>
  </w:num>
  <w:num w:numId="4">
    <w:abstractNumId w:val="12"/>
  </w:num>
  <w:num w:numId="5">
    <w:abstractNumId w:val="26"/>
  </w:num>
  <w:num w:numId="6">
    <w:abstractNumId w:val="21"/>
  </w:num>
  <w:num w:numId="7">
    <w:abstractNumId w:val="8"/>
  </w:num>
  <w:num w:numId="8">
    <w:abstractNumId w:val="23"/>
  </w:num>
  <w:num w:numId="9">
    <w:abstractNumId w:val="5"/>
  </w:num>
  <w:num w:numId="10">
    <w:abstractNumId w:val="28"/>
  </w:num>
  <w:num w:numId="11">
    <w:abstractNumId w:val="18"/>
  </w:num>
  <w:num w:numId="12">
    <w:abstractNumId w:val="15"/>
  </w:num>
  <w:num w:numId="13">
    <w:abstractNumId w:val="20"/>
  </w:num>
  <w:num w:numId="14">
    <w:abstractNumId w:val="17"/>
  </w:num>
  <w:num w:numId="15">
    <w:abstractNumId w:val="2"/>
  </w:num>
  <w:num w:numId="16">
    <w:abstractNumId w:val="24"/>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11"/>
  </w:num>
  <w:num w:numId="20">
    <w:abstractNumId w:val="14"/>
  </w:num>
  <w:num w:numId="21">
    <w:abstractNumId w:val="13"/>
  </w:num>
  <w:num w:numId="22">
    <w:abstractNumId w:val="5"/>
  </w:num>
  <w:num w:numId="23">
    <w:abstractNumId w:val="29"/>
  </w:num>
  <w:num w:numId="24">
    <w:abstractNumId w:val="19"/>
  </w:num>
  <w:num w:numId="25">
    <w:abstractNumId w:val="7"/>
  </w:num>
  <w:num w:numId="26">
    <w:abstractNumId w:val="27"/>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num>
  <w:num w:numId="35">
    <w:abstractNumId w:val="3"/>
  </w:num>
  <w:num w:numId="36">
    <w:abstractNumId w:val="0"/>
  </w:num>
  <w:num w:numId="37">
    <w:abstractNumId w:val="9"/>
  </w:num>
  <w:num w:numId="38">
    <w:abstractNumId w:val="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3B2"/>
    <w:rsid w:val="00002CDD"/>
    <w:rsid w:val="0000586E"/>
    <w:rsid w:val="000058F0"/>
    <w:rsid w:val="00006AB5"/>
    <w:rsid w:val="00011655"/>
    <w:rsid w:val="00013AE5"/>
    <w:rsid w:val="00014434"/>
    <w:rsid w:val="000160FB"/>
    <w:rsid w:val="000267C9"/>
    <w:rsid w:val="00027A41"/>
    <w:rsid w:val="0003585E"/>
    <w:rsid w:val="00037431"/>
    <w:rsid w:val="00037768"/>
    <w:rsid w:val="00043020"/>
    <w:rsid w:val="00043228"/>
    <w:rsid w:val="000444E7"/>
    <w:rsid w:val="00044980"/>
    <w:rsid w:val="00045E6C"/>
    <w:rsid w:val="000468B8"/>
    <w:rsid w:val="000502DB"/>
    <w:rsid w:val="0005101B"/>
    <w:rsid w:val="00051A05"/>
    <w:rsid w:val="000565A8"/>
    <w:rsid w:val="0005734E"/>
    <w:rsid w:val="00060F9F"/>
    <w:rsid w:val="00062AE7"/>
    <w:rsid w:val="00064D34"/>
    <w:rsid w:val="00065F69"/>
    <w:rsid w:val="0007391F"/>
    <w:rsid w:val="00074764"/>
    <w:rsid w:val="0007691B"/>
    <w:rsid w:val="00080149"/>
    <w:rsid w:val="00083F5A"/>
    <w:rsid w:val="00084497"/>
    <w:rsid w:val="0009144F"/>
    <w:rsid w:val="000929ED"/>
    <w:rsid w:val="0009560D"/>
    <w:rsid w:val="0009604B"/>
    <w:rsid w:val="000963D6"/>
    <w:rsid w:val="00096E08"/>
    <w:rsid w:val="000A21CB"/>
    <w:rsid w:val="000A5A7B"/>
    <w:rsid w:val="000A6DE9"/>
    <w:rsid w:val="000B0697"/>
    <w:rsid w:val="000C0D7C"/>
    <w:rsid w:val="000C3ED6"/>
    <w:rsid w:val="000C4192"/>
    <w:rsid w:val="000C4430"/>
    <w:rsid w:val="000D2159"/>
    <w:rsid w:val="000D26BD"/>
    <w:rsid w:val="000D3502"/>
    <w:rsid w:val="000D48E0"/>
    <w:rsid w:val="000D6EFA"/>
    <w:rsid w:val="000E0A0D"/>
    <w:rsid w:val="000E23B2"/>
    <w:rsid w:val="000E3533"/>
    <w:rsid w:val="000E3F83"/>
    <w:rsid w:val="000E430A"/>
    <w:rsid w:val="000E6900"/>
    <w:rsid w:val="000F0793"/>
    <w:rsid w:val="000F1A6B"/>
    <w:rsid w:val="000F357D"/>
    <w:rsid w:val="000F5EEE"/>
    <w:rsid w:val="001009CE"/>
    <w:rsid w:val="001040BC"/>
    <w:rsid w:val="0010597A"/>
    <w:rsid w:val="00105FEF"/>
    <w:rsid w:val="0011184F"/>
    <w:rsid w:val="00113CDF"/>
    <w:rsid w:val="0011592D"/>
    <w:rsid w:val="00115E56"/>
    <w:rsid w:val="001213A0"/>
    <w:rsid w:val="00125CF6"/>
    <w:rsid w:val="0012625C"/>
    <w:rsid w:val="00126CAA"/>
    <w:rsid w:val="0013038E"/>
    <w:rsid w:val="00131858"/>
    <w:rsid w:val="001352F2"/>
    <w:rsid w:val="00136786"/>
    <w:rsid w:val="00136F44"/>
    <w:rsid w:val="0014062F"/>
    <w:rsid w:val="0014317B"/>
    <w:rsid w:val="00143A6A"/>
    <w:rsid w:val="00143B28"/>
    <w:rsid w:val="00145677"/>
    <w:rsid w:val="00150494"/>
    <w:rsid w:val="001523E2"/>
    <w:rsid w:val="00154D3F"/>
    <w:rsid w:val="00156048"/>
    <w:rsid w:val="001564D4"/>
    <w:rsid w:val="00157573"/>
    <w:rsid w:val="00161999"/>
    <w:rsid w:val="00163512"/>
    <w:rsid w:val="00163BAB"/>
    <w:rsid w:val="00163EE1"/>
    <w:rsid w:val="001664CB"/>
    <w:rsid w:val="001708BB"/>
    <w:rsid w:val="0017110D"/>
    <w:rsid w:val="00172A74"/>
    <w:rsid w:val="00173371"/>
    <w:rsid w:val="00173A96"/>
    <w:rsid w:val="0017793E"/>
    <w:rsid w:val="0018056B"/>
    <w:rsid w:val="00182444"/>
    <w:rsid w:val="00193195"/>
    <w:rsid w:val="00194870"/>
    <w:rsid w:val="00197194"/>
    <w:rsid w:val="001A0EFF"/>
    <w:rsid w:val="001A11E1"/>
    <w:rsid w:val="001A354F"/>
    <w:rsid w:val="001A501A"/>
    <w:rsid w:val="001A5E9B"/>
    <w:rsid w:val="001B7C28"/>
    <w:rsid w:val="001C1D94"/>
    <w:rsid w:val="001C65B1"/>
    <w:rsid w:val="001D053B"/>
    <w:rsid w:val="001D1104"/>
    <w:rsid w:val="001D431D"/>
    <w:rsid w:val="001D4779"/>
    <w:rsid w:val="001E50D5"/>
    <w:rsid w:val="001E60D6"/>
    <w:rsid w:val="001E6A04"/>
    <w:rsid w:val="001F2BE7"/>
    <w:rsid w:val="001F32A0"/>
    <w:rsid w:val="001F5CAD"/>
    <w:rsid w:val="001F6A59"/>
    <w:rsid w:val="001F7193"/>
    <w:rsid w:val="001F7608"/>
    <w:rsid w:val="00204211"/>
    <w:rsid w:val="0020697D"/>
    <w:rsid w:val="00211B44"/>
    <w:rsid w:val="002121C1"/>
    <w:rsid w:val="002136F8"/>
    <w:rsid w:val="00216B06"/>
    <w:rsid w:val="0022387D"/>
    <w:rsid w:val="002241B1"/>
    <w:rsid w:val="00230E51"/>
    <w:rsid w:val="00235F16"/>
    <w:rsid w:val="002416CD"/>
    <w:rsid w:val="002471AE"/>
    <w:rsid w:val="002511C6"/>
    <w:rsid w:val="00251B44"/>
    <w:rsid w:val="002559DA"/>
    <w:rsid w:val="0025750C"/>
    <w:rsid w:val="00257C22"/>
    <w:rsid w:val="00265120"/>
    <w:rsid w:val="00265C4D"/>
    <w:rsid w:val="002663A3"/>
    <w:rsid w:val="00266BA8"/>
    <w:rsid w:val="00272E65"/>
    <w:rsid w:val="0028040C"/>
    <w:rsid w:val="00285127"/>
    <w:rsid w:val="00286B52"/>
    <w:rsid w:val="00287CAF"/>
    <w:rsid w:val="00291A17"/>
    <w:rsid w:val="002939DB"/>
    <w:rsid w:val="002A10EC"/>
    <w:rsid w:val="002A28F0"/>
    <w:rsid w:val="002A405A"/>
    <w:rsid w:val="002A4D70"/>
    <w:rsid w:val="002A722D"/>
    <w:rsid w:val="002B0F5A"/>
    <w:rsid w:val="002B1007"/>
    <w:rsid w:val="002B3932"/>
    <w:rsid w:val="002B3941"/>
    <w:rsid w:val="002B5AB6"/>
    <w:rsid w:val="002B5C50"/>
    <w:rsid w:val="002B63F7"/>
    <w:rsid w:val="002C258E"/>
    <w:rsid w:val="002D0001"/>
    <w:rsid w:val="002D133B"/>
    <w:rsid w:val="002E458B"/>
    <w:rsid w:val="002F3A8D"/>
    <w:rsid w:val="002F6B19"/>
    <w:rsid w:val="002F7A3D"/>
    <w:rsid w:val="002F7DC7"/>
    <w:rsid w:val="00300A50"/>
    <w:rsid w:val="00301D86"/>
    <w:rsid w:val="003020E5"/>
    <w:rsid w:val="003030A0"/>
    <w:rsid w:val="00303292"/>
    <w:rsid w:val="0030648B"/>
    <w:rsid w:val="00306545"/>
    <w:rsid w:val="00307881"/>
    <w:rsid w:val="0031005F"/>
    <w:rsid w:val="00312EBD"/>
    <w:rsid w:val="0031388E"/>
    <w:rsid w:val="00315D62"/>
    <w:rsid w:val="00321287"/>
    <w:rsid w:val="00321F62"/>
    <w:rsid w:val="0032768F"/>
    <w:rsid w:val="00327F7F"/>
    <w:rsid w:val="003314C1"/>
    <w:rsid w:val="00335D1A"/>
    <w:rsid w:val="003431B4"/>
    <w:rsid w:val="00345086"/>
    <w:rsid w:val="0035114C"/>
    <w:rsid w:val="00351F44"/>
    <w:rsid w:val="00352921"/>
    <w:rsid w:val="00354073"/>
    <w:rsid w:val="00355B73"/>
    <w:rsid w:val="00361370"/>
    <w:rsid w:val="00361F9C"/>
    <w:rsid w:val="00362AAB"/>
    <w:rsid w:val="00370788"/>
    <w:rsid w:val="00377CD5"/>
    <w:rsid w:val="00390132"/>
    <w:rsid w:val="003A1E93"/>
    <w:rsid w:val="003A3A55"/>
    <w:rsid w:val="003A4DBF"/>
    <w:rsid w:val="003A7B73"/>
    <w:rsid w:val="003A7FEE"/>
    <w:rsid w:val="003B510C"/>
    <w:rsid w:val="003B53DC"/>
    <w:rsid w:val="003B63DE"/>
    <w:rsid w:val="003B68E4"/>
    <w:rsid w:val="003C1AEE"/>
    <w:rsid w:val="003C3C2C"/>
    <w:rsid w:val="003C5970"/>
    <w:rsid w:val="003C6F65"/>
    <w:rsid w:val="003D329F"/>
    <w:rsid w:val="003D678E"/>
    <w:rsid w:val="003E134B"/>
    <w:rsid w:val="003E5B14"/>
    <w:rsid w:val="003F4658"/>
    <w:rsid w:val="00400753"/>
    <w:rsid w:val="00402426"/>
    <w:rsid w:val="00407765"/>
    <w:rsid w:val="00411270"/>
    <w:rsid w:val="00413DBF"/>
    <w:rsid w:val="00414324"/>
    <w:rsid w:val="00414801"/>
    <w:rsid w:val="00414C11"/>
    <w:rsid w:val="0041538B"/>
    <w:rsid w:val="00415D9A"/>
    <w:rsid w:val="00416A77"/>
    <w:rsid w:val="004200FC"/>
    <w:rsid w:val="0042063F"/>
    <w:rsid w:val="004225B5"/>
    <w:rsid w:val="00423555"/>
    <w:rsid w:val="00427188"/>
    <w:rsid w:val="00431B7A"/>
    <w:rsid w:val="00431E5F"/>
    <w:rsid w:val="004331FC"/>
    <w:rsid w:val="004372EE"/>
    <w:rsid w:val="004377C0"/>
    <w:rsid w:val="00446BD6"/>
    <w:rsid w:val="00454502"/>
    <w:rsid w:val="00455A27"/>
    <w:rsid w:val="00455B66"/>
    <w:rsid w:val="00455DE4"/>
    <w:rsid w:val="00457093"/>
    <w:rsid w:val="004577F8"/>
    <w:rsid w:val="0046625A"/>
    <w:rsid w:val="004677E0"/>
    <w:rsid w:val="00472879"/>
    <w:rsid w:val="00475AA8"/>
    <w:rsid w:val="004763D6"/>
    <w:rsid w:val="00480AF2"/>
    <w:rsid w:val="00480E17"/>
    <w:rsid w:val="00484041"/>
    <w:rsid w:val="00492713"/>
    <w:rsid w:val="004930A0"/>
    <w:rsid w:val="004957F4"/>
    <w:rsid w:val="004A4416"/>
    <w:rsid w:val="004A47A2"/>
    <w:rsid w:val="004A5C23"/>
    <w:rsid w:val="004A7ADC"/>
    <w:rsid w:val="004B5EE4"/>
    <w:rsid w:val="004C15D4"/>
    <w:rsid w:val="004C32EC"/>
    <w:rsid w:val="004C5AC2"/>
    <w:rsid w:val="004C5FD9"/>
    <w:rsid w:val="004C69C3"/>
    <w:rsid w:val="004D47A4"/>
    <w:rsid w:val="004D5BB0"/>
    <w:rsid w:val="004E240E"/>
    <w:rsid w:val="004E561D"/>
    <w:rsid w:val="004E65F4"/>
    <w:rsid w:val="004F0DFE"/>
    <w:rsid w:val="004F2442"/>
    <w:rsid w:val="004F2855"/>
    <w:rsid w:val="004F2C44"/>
    <w:rsid w:val="004F52CE"/>
    <w:rsid w:val="00505EED"/>
    <w:rsid w:val="005148CA"/>
    <w:rsid w:val="00520417"/>
    <w:rsid w:val="0052147A"/>
    <w:rsid w:val="0052271C"/>
    <w:rsid w:val="00524CA3"/>
    <w:rsid w:val="00526901"/>
    <w:rsid w:val="00531104"/>
    <w:rsid w:val="005315D3"/>
    <w:rsid w:val="00537470"/>
    <w:rsid w:val="00542CBB"/>
    <w:rsid w:val="00542ECE"/>
    <w:rsid w:val="00544A37"/>
    <w:rsid w:val="00545EF1"/>
    <w:rsid w:val="00546110"/>
    <w:rsid w:val="00546E4A"/>
    <w:rsid w:val="005529BD"/>
    <w:rsid w:val="00554D9F"/>
    <w:rsid w:val="00554EE0"/>
    <w:rsid w:val="00555BB3"/>
    <w:rsid w:val="005601C9"/>
    <w:rsid w:val="00560C6F"/>
    <w:rsid w:val="005641BD"/>
    <w:rsid w:val="00572C7D"/>
    <w:rsid w:val="0057432B"/>
    <w:rsid w:val="005774F5"/>
    <w:rsid w:val="005777BE"/>
    <w:rsid w:val="00577E9C"/>
    <w:rsid w:val="00585612"/>
    <w:rsid w:val="00591975"/>
    <w:rsid w:val="005931F6"/>
    <w:rsid w:val="005969B4"/>
    <w:rsid w:val="005A5A82"/>
    <w:rsid w:val="005B0154"/>
    <w:rsid w:val="005B3F86"/>
    <w:rsid w:val="005C22EC"/>
    <w:rsid w:val="005C4FF5"/>
    <w:rsid w:val="005D3031"/>
    <w:rsid w:val="005D5655"/>
    <w:rsid w:val="005D59AD"/>
    <w:rsid w:val="005D6A60"/>
    <w:rsid w:val="005E026E"/>
    <w:rsid w:val="005E0B35"/>
    <w:rsid w:val="005E1097"/>
    <w:rsid w:val="005E3084"/>
    <w:rsid w:val="005E322A"/>
    <w:rsid w:val="005E75BF"/>
    <w:rsid w:val="005F0F27"/>
    <w:rsid w:val="005F21EF"/>
    <w:rsid w:val="005F5A1F"/>
    <w:rsid w:val="0060238D"/>
    <w:rsid w:val="0060490C"/>
    <w:rsid w:val="00604A0A"/>
    <w:rsid w:val="006064C9"/>
    <w:rsid w:val="00606814"/>
    <w:rsid w:val="00607114"/>
    <w:rsid w:val="006079CA"/>
    <w:rsid w:val="0061037F"/>
    <w:rsid w:val="00613849"/>
    <w:rsid w:val="00614D0F"/>
    <w:rsid w:val="00616772"/>
    <w:rsid w:val="00626C48"/>
    <w:rsid w:val="0063255D"/>
    <w:rsid w:val="006325B0"/>
    <w:rsid w:val="0063388F"/>
    <w:rsid w:val="00641B76"/>
    <w:rsid w:val="00641CF0"/>
    <w:rsid w:val="00641D89"/>
    <w:rsid w:val="0064403F"/>
    <w:rsid w:val="0064542F"/>
    <w:rsid w:val="00646201"/>
    <w:rsid w:val="0064727A"/>
    <w:rsid w:val="00650B8C"/>
    <w:rsid w:val="00651241"/>
    <w:rsid w:val="006526E6"/>
    <w:rsid w:val="00657C6E"/>
    <w:rsid w:val="00666385"/>
    <w:rsid w:val="00674467"/>
    <w:rsid w:val="006813B1"/>
    <w:rsid w:val="00685E13"/>
    <w:rsid w:val="0068669B"/>
    <w:rsid w:val="006A082B"/>
    <w:rsid w:val="006A10EC"/>
    <w:rsid w:val="006B30EF"/>
    <w:rsid w:val="006C0BC8"/>
    <w:rsid w:val="006C237A"/>
    <w:rsid w:val="006D0BB6"/>
    <w:rsid w:val="006D48A9"/>
    <w:rsid w:val="006D4C38"/>
    <w:rsid w:val="006E072B"/>
    <w:rsid w:val="006E1C8B"/>
    <w:rsid w:val="006E2FAD"/>
    <w:rsid w:val="006E5832"/>
    <w:rsid w:val="006F431E"/>
    <w:rsid w:val="006F661F"/>
    <w:rsid w:val="006F6F97"/>
    <w:rsid w:val="006F7595"/>
    <w:rsid w:val="00702805"/>
    <w:rsid w:val="00716BD7"/>
    <w:rsid w:val="00717B26"/>
    <w:rsid w:val="007219B2"/>
    <w:rsid w:val="007227B1"/>
    <w:rsid w:val="00722884"/>
    <w:rsid w:val="0072681F"/>
    <w:rsid w:val="00736D8D"/>
    <w:rsid w:val="007372AB"/>
    <w:rsid w:val="00740BFE"/>
    <w:rsid w:val="00742405"/>
    <w:rsid w:val="00742438"/>
    <w:rsid w:val="00742E84"/>
    <w:rsid w:val="0074498A"/>
    <w:rsid w:val="00755DB2"/>
    <w:rsid w:val="00755FC8"/>
    <w:rsid w:val="00757C68"/>
    <w:rsid w:val="00760EA8"/>
    <w:rsid w:val="00762AE6"/>
    <w:rsid w:val="00765EC1"/>
    <w:rsid w:val="0076660E"/>
    <w:rsid w:val="00772D0A"/>
    <w:rsid w:val="0077556C"/>
    <w:rsid w:val="00781520"/>
    <w:rsid w:val="00783353"/>
    <w:rsid w:val="00784805"/>
    <w:rsid w:val="007853A7"/>
    <w:rsid w:val="00785479"/>
    <w:rsid w:val="007908CF"/>
    <w:rsid w:val="00792780"/>
    <w:rsid w:val="00793C3A"/>
    <w:rsid w:val="007A09D5"/>
    <w:rsid w:val="007A4DEC"/>
    <w:rsid w:val="007A57E5"/>
    <w:rsid w:val="007A63A4"/>
    <w:rsid w:val="007A668E"/>
    <w:rsid w:val="007A6BA5"/>
    <w:rsid w:val="007A6D50"/>
    <w:rsid w:val="007B0730"/>
    <w:rsid w:val="007B114B"/>
    <w:rsid w:val="007B1F16"/>
    <w:rsid w:val="007B21A7"/>
    <w:rsid w:val="007C0341"/>
    <w:rsid w:val="007C250B"/>
    <w:rsid w:val="007C2B04"/>
    <w:rsid w:val="007C393A"/>
    <w:rsid w:val="007C7F37"/>
    <w:rsid w:val="007D046E"/>
    <w:rsid w:val="007D54A6"/>
    <w:rsid w:val="007D70EE"/>
    <w:rsid w:val="007D7F10"/>
    <w:rsid w:val="007E176E"/>
    <w:rsid w:val="007E4678"/>
    <w:rsid w:val="007F771A"/>
    <w:rsid w:val="00800974"/>
    <w:rsid w:val="008023F2"/>
    <w:rsid w:val="00810770"/>
    <w:rsid w:val="00823E1E"/>
    <w:rsid w:val="00825C39"/>
    <w:rsid w:val="00831B67"/>
    <w:rsid w:val="00832EC1"/>
    <w:rsid w:val="0083593A"/>
    <w:rsid w:val="00836C5B"/>
    <w:rsid w:val="00843114"/>
    <w:rsid w:val="008458DF"/>
    <w:rsid w:val="00852B61"/>
    <w:rsid w:val="00854482"/>
    <w:rsid w:val="00854C8D"/>
    <w:rsid w:val="008560F0"/>
    <w:rsid w:val="008571BC"/>
    <w:rsid w:val="00861FD0"/>
    <w:rsid w:val="00867B22"/>
    <w:rsid w:val="00870C83"/>
    <w:rsid w:val="008735D6"/>
    <w:rsid w:val="00876998"/>
    <w:rsid w:val="008816F3"/>
    <w:rsid w:val="00882775"/>
    <w:rsid w:val="00883DBC"/>
    <w:rsid w:val="008A01D4"/>
    <w:rsid w:val="008A48BA"/>
    <w:rsid w:val="008B131E"/>
    <w:rsid w:val="008B134F"/>
    <w:rsid w:val="008B25EB"/>
    <w:rsid w:val="008B56EA"/>
    <w:rsid w:val="008B59E9"/>
    <w:rsid w:val="008C0A1C"/>
    <w:rsid w:val="008C2167"/>
    <w:rsid w:val="008C29AD"/>
    <w:rsid w:val="008C48FA"/>
    <w:rsid w:val="008D3898"/>
    <w:rsid w:val="008D4525"/>
    <w:rsid w:val="008E0AD6"/>
    <w:rsid w:val="008E0DE1"/>
    <w:rsid w:val="008E1036"/>
    <w:rsid w:val="008E1543"/>
    <w:rsid w:val="008E58E4"/>
    <w:rsid w:val="008E60CF"/>
    <w:rsid w:val="008E737E"/>
    <w:rsid w:val="008F29A7"/>
    <w:rsid w:val="008F33A5"/>
    <w:rsid w:val="008F7FA1"/>
    <w:rsid w:val="0090098B"/>
    <w:rsid w:val="00901732"/>
    <w:rsid w:val="00901FDC"/>
    <w:rsid w:val="0090778E"/>
    <w:rsid w:val="00913C79"/>
    <w:rsid w:val="009163C6"/>
    <w:rsid w:val="00920DF1"/>
    <w:rsid w:val="00922FBA"/>
    <w:rsid w:val="00927F30"/>
    <w:rsid w:val="00930368"/>
    <w:rsid w:val="0093197D"/>
    <w:rsid w:val="0093268D"/>
    <w:rsid w:val="00933849"/>
    <w:rsid w:val="00935113"/>
    <w:rsid w:val="009436F9"/>
    <w:rsid w:val="00945922"/>
    <w:rsid w:val="00946AC5"/>
    <w:rsid w:val="00946EE1"/>
    <w:rsid w:val="009504C3"/>
    <w:rsid w:val="009541DF"/>
    <w:rsid w:val="0095761F"/>
    <w:rsid w:val="009577BA"/>
    <w:rsid w:val="00961200"/>
    <w:rsid w:val="00961531"/>
    <w:rsid w:val="0096354B"/>
    <w:rsid w:val="00963F6E"/>
    <w:rsid w:val="00965BBF"/>
    <w:rsid w:val="00973BCF"/>
    <w:rsid w:val="0097748A"/>
    <w:rsid w:val="00983C41"/>
    <w:rsid w:val="00984D0E"/>
    <w:rsid w:val="00986106"/>
    <w:rsid w:val="00991641"/>
    <w:rsid w:val="009968B7"/>
    <w:rsid w:val="009A117F"/>
    <w:rsid w:val="009A1CA7"/>
    <w:rsid w:val="009A2914"/>
    <w:rsid w:val="009A300B"/>
    <w:rsid w:val="009A6C6B"/>
    <w:rsid w:val="009B0A1F"/>
    <w:rsid w:val="009B0BE8"/>
    <w:rsid w:val="009B1BED"/>
    <w:rsid w:val="009B40BE"/>
    <w:rsid w:val="009B6E12"/>
    <w:rsid w:val="009C41C3"/>
    <w:rsid w:val="009C5C36"/>
    <w:rsid w:val="009C5E68"/>
    <w:rsid w:val="009C6EE3"/>
    <w:rsid w:val="009D1368"/>
    <w:rsid w:val="009D19D8"/>
    <w:rsid w:val="009D23DA"/>
    <w:rsid w:val="009D23DD"/>
    <w:rsid w:val="009E0802"/>
    <w:rsid w:val="009F1AEB"/>
    <w:rsid w:val="009F5A46"/>
    <w:rsid w:val="009F7FBF"/>
    <w:rsid w:val="009F7FCE"/>
    <w:rsid w:val="00A01CC1"/>
    <w:rsid w:val="00A02BF0"/>
    <w:rsid w:val="00A13990"/>
    <w:rsid w:val="00A15FDD"/>
    <w:rsid w:val="00A17762"/>
    <w:rsid w:val="00A20937"/>
    <w:rsid w:val="00A2509D"/>
    <w:rsid w:val="00A27F96"/>
    <w:rsid w:val="00A36BB7"/>
    <w:rsid w:val="00A37567"/>
    <w:rsid w:val="00A412E6"/>
    <w:rsid w:val="00A50000"/>
    <w:rsid w:val="00A538F3"/>
    <w:rsid w:val="00A57C06"/>
    <w:rsid w:val="00A60332"/>
    <w:rsid w:val="00A6086A"/>
    <w:rsid w:val="00A60EEA"/>
    <w:rsid w:val="00A66A45"/>
    <w:rsid w:val="00A7059C"/>
    <w:rsid w:val="00A709F3"/>
    <w:rsid w:val="00A71257"/>
    <w:rsid w:val="00A71E9F"/>
    <w:rsid w:val="00A72087"/>
    <w:rsid w:val="00A73971"/>
    <w:rsid w:val="00A76A65"/>
    <w:rsid w:val="00A77C78"/>
    <w:rsid w:val="00A8001E"/>
    <w:rsid w:val="00A84F03"/>
    <w:rsid w:val="00A87164"/>
    <w:rsid w:val="00A90441"/>
    <w:rsid w:val="00A90835"/>
    <w:rsid w:val="00A93862"/>
    <w:rsid w:val="00A940AB"/>
    <w:rsid w:val="00A94846"/>
    <w:rsid w:val="00A948B6"/>
    <w:rsid w:val="00AA10C4"/>
    <w:rsid w:val="00AB183D"/>
    <w:rsid w:val="00AB344E"/>
    <w:rsid w:val="00AB6AEC"/>
    <w:rsid w:val="00AC1327"/>
    <w:rsid w:val="00AC1DAC"/>
    <w:rsid w:val="00AC6AC1"/>
    <w:rsid w:val="00AD1E46"/>
    <w:rsid w:val="00AD2949"/>
    <w:rsid w:val="00AD3415"/>
    <w:rsid w:val="00AD3629"/>
    <w:rsid w:val="00AD6BAB"/>
    <w:rsid w:val="00AE1093"/>
    <w:rsid w:val="00AE31E3"/>
    <w:rsid w:val="00AE4C69"/>
    <w:rsid w:val="00AE5576"/>
    <w:rsid w:val="00AE5DD8"/>
    <w:rsid w:val="00AF37C9"/>
    <w:rsid w:val="00AF3CCF"/>
    <w:rsid w:val="00AF6A9B"/>
    <w:rsid w:val="00B02069"/>
    <w:rsid w:val="00B051BD"/>
    <w:rsid w:val="00B066CF"/>
    <w:rsid w:val="00B067E8"/>
    <w:rsid w:val="00B16CB6"/>
    <w:rsid w:val="00B17029"/>
    <w:rsid w:val="00B204B9"/>
    <w:rsid w:val="00B2438F"/>
    <w:rsid w:val="00B26D06"/>
    <w:rsid w:val="00B30151"/>
    <w:rsid w:val="00B3054A"/>
    <w:rsid w:val="00B31324"/>
    <w:rsid w:val="00B31B34"/>
    <w:rsid w:val="00B34AE6"/>
    <w:rsid w:val="00B3710E"/>
    <w:rsid w:val="00B433F9"/>
    <w:rsid w:val="00B468A5"/>
    <w:rsid w:val="00B4796A"/>
    <w:rsid w:val="00B50F1F"/>
    <w:rsid w:val="00B52D34"/>
    <w:rsid w:val="00B54B01"/>
    <w:rsid w:val="00B54EA1"/>
    <w:rsid w:val="00B5611C"/>
    <w:rsid w:val="00B5644A"/>
    <w:rsid w:val="00B57FB7"/>
    <w:rsid w:val="00B6054D"/>
    <w:rsid w:val="00B60606"/>
    <w:rsid w:val="00B64DF5"/>
    <w:rsid w:val="00B672E4"/>
    <w:rsid w:val="00B67A5B"/>
    <w:rsid w:val="00B704AB"/>
    <w:rsid w:val="00B70FE2"/>
    <w:rsid w:val="00B72110"/>
    <w:rsid w:val="00B722DD"/>
    <w:rsid w:val="00B72C1E"/>
    <w:rsid w:val="00B72D23"/>
    <w:rsid w:val="00B73B1C"/>
    <w:rsid w:val="00B761A9"/>
    <w:rsid w:val="00B83E42"/>
    <w:rsid w:val="00B8569D"/>
    <w:rsid w:val="00B85CB8"/>
    <w:rsid w:val="00B85ED8"/>
    <w:rsid w:val="00B87EBD"/>
    <w:rsid w:val="00B90069"/>
    <w:rsid w:val="00B937A3"/>
    <w:rsid w:val="00B97392"/>
    <w:rsid w:val="00B97F69"/>
    <w:rsid w:val="00BA088C"/>
    <w:rsid w:val="00BA1B63"/>
    <w:rsid w:val="00BA357E"/>
    <w:rsid w:val="00BA49F1"/>
    <w:rsid w:val="00BA61B4"/>
    <w:rsid w:val="00BA6B34"/>
    <w:rsid w:val="00BA7FDA"/>
    <w:rsid w:val="00BB1ACE"/>
    <w:rsid w:val="00BB3BD7"/>
    <w:rsid w:val="00BB470F"/>
    <w:rsid w:val="00BB65BC"/>
    <w:rsid w:val="00BC050A"/>
    <w:rsid w:val="00BC37DC"/>
    <w:rsid w:val="00BC3B9F"/>
    <w:rsid w:val="00BD079C"/>
    <w:rsid w:val="00BD4B73"/>
    <w:rsid w:val="00BD5F49"/>
    <w:rsid w:val="00BE0A51"/>
    <w:rsid w:val="00BE20A1"/>
    <w:rsid w:val="00BE2BEE"/>
    <w:rsid w:val="00BE451B"/>
    <w:rsid w:val="00BE4CF4"/>
    <w:rsid w:val="00BF0079"/>
    <w:rsid w:val="00BF2186"/>
    <w:rsid w:val="00BF3052"/>
    <w:rsid w:val="00C0055A"/>
    <w:rsid w:val="00C01788"/>
    <w:rsid w:val="00C057D9"/>
    <w:rsid w:val="00C0686D"/>
    <w:rsid w:val="00C105DC"/>
    <w:rsid w:val="00C11275"/>
    <w:rsid w:val="00C13076"/>
    <w:rsid w:val="00C15783"/>
    <w:rsid w:val="00C17363"/>
    <w:rsid w:val="00C21DFE"/>
    <w:rsid w:val="00C233AE"/>
    <w:rsid w:val="00C23FDA"/>
    <w:rsid w:val="00C246F7"/>
    <w:rsid w:val="00C26335"/>
    <w:rsid w:val="00C272BB"/>
    <w:rsid w:val="00C3120A"/>
    <w:rsid w:val="00C33400"/>
    <w:rsid w:val="00C335D1"/>
    <w:rsid w:val="00C41750"/>
    <w:rsid w:val="00C41DAB"/>
    <w:rsid w:val="00C437B3"/>
    <w:rsid w:val="00C44447"/>
    <w:rsid w:val="00C44C5D"/>
    <w:rsid w:val="00C44EA1"/>
    <w:rsid w:val="00C46FFA"/>
    <w:rsid w:val="00C519B4"/>
    <w:rsid w:val="00C51A51"/>
    <w:rsid w:val="00C52235"/>
    <w:rsid w:val="00C52386"/>
    <w:rsid w:val="00C54024"/>
    <w:rsid w:val="00C60C39"/>
    <w:rsid w:val="00C627F6"/>
    <w:rsid w:val="00C629B3"/>
    <w:rsid w:val="00C64A3E"/>
    <w:rsid w:val="00C64C04"/>
    <w:rsid w:val="00C658FF"/>
    <w:rsid w:val="00C71A08"/>
    <w:rsid w:val="00C74FA9"/>
    <w:rsid w:val="00C75D89"/>
    <w:rsid w:val="00C80C4B"/>
    <w:rsid w:val="00C81479"/>
    <w:rsid w:val="00C8280D"/>
    <w:rsid w:val="00C82FD8"/>
    <w:rsid w:val="00C85A97"/>
    <w:rsid w:val="00C90852"/>
    <w:rsid w:val="00C94FFE"/>
    <w:rsid w:val="00C967C8"/>
    <w:rsid w:val="00C96FCA"/>
    <w:rsid w:val="00CA2612"/>
    <w:rsid w:val="00CA325F"/>
    <w:rsid w:val="00CA4CB5"/>
    <w:rsid w:val="00CB0B2B"/>
    <w:rsid w:val="00CB5034"/>
    <w:rsid w:val="00CB6499"/>
    <w:rsid w:val="00CB72B8"/>
    <w:rsid w:val="00CC66BC"/>
    <w:rsid w:val="00CC6D14"/>
    <w:rsid w:val="00CC7863"/>
    <w:rsid w:val="00CC7A69"/>
    <w:rsid w:val="00CD0CCD"/>
    <w:rsid w:val="00CD3E0B"/>
    <w:rsid w:val="00CE1F8E"/>
    <w:rsid w:val="00CF1657"/>
    <w:rsid w:val="00CF50DC"/>
    <w:rsid w:val="00CF611B"/>
    <w:rsid w:val="00CF6CF2"/>
    <w:rsid w:val="00CF724F"/>
    <w:rsid w:val="00D10E2B"/>
    <w:rsid w:val="00D1127E"/>
    <w:rsid w:val="00D147E8"/>
    <w:rsid w:val="00D20B72"/>
    <w:rsid w:val="00D21AEB"/>
    <w:rsid w:val="00D23B49"/>
    <w:rsid w:val="00D24CAF"/>
    <w:rsid w:val="00D330D4"/>
    <w:rsid w:val="00D34363"/>
    <w:rsid w:val="00D35327"/>
    <w:rsid w:val="00D479D1"/>
    <w:rsid w:val="00D57B23"/>
    <w:rsid w:val="00D6240B"/>
    <w:rsid w:val="00D62D8C"/>
    <w:rsid w:val="00D72D92"/>
    <w:rsid w:val="00D75891"/>
    <w:rsid w:val="00D77E40"/>
    <w:rsid w:val="00D82CDD"/>
    <w:rsid w:val="00D8537E"/>
    <w:rsid w:val="00D85A54"/>
    <w:rsid w:val="00D91501"/>
    <w:rsid w:val="00D93227"/>
    <w:rsid w:val="00D93305"/>
    <w:rsid w:val="00D94287"/>
    <w:rsid w:val="00D96BE4"/>
    <w:rsid w:val="00D972B4"/>
    <w:rsid w:val="00D97C8E"/>
    <w:rsid w:val="00D97FC0"/>
    <w:rsid w:val="00DA0363"/>
    <w:rsid w:val="00DA0847"/>
    <w:rsid w:val="00DA0E98"/>
    <w:rsid w:val="00DA1BEB"/>
    <w:rsid w:val="00DA2FC8"/>
    <w:rsid w:val="00DA3FE0"/>
    <w:rsid w:val="00DA4034"/>
    <w:rsid w:val="00DA6FBC"/>
    <w:rsid w:val="00DA739A"/>
    <w:rsid w:val="00DB5082"/>
    <w:rsid w:val="00DB66DA"/>
    <w:rsid w:val="00DC2CAE"/>
    <w:rsid w:val="00DC35D3"/>
    <w:rsid w:val="00DD1769"/>
    <w:rsid w:val="00DD1EC0"/>
    <w:rsid w:val="00DD593D"/>
    <w:rsid w:val="00DD7D8A"/>
    <w:rsid w:val="00DE28A7"/>
    <w:rsid w:val="00DE36AD"/>
    <w:rsid w:val="00DE5639"/>
    <w:rsid w:val="00DE6948"/>
    <w:rsid w:val="00DF2CE3"/>
    <w:rsid w:val="00DF5832"/>
    <w:rsid w:val="00DF5F71"/>
    <w:rsid w:val="00E006EE"/>
    <w:rsid w:val="00E015FA"/>
    <w:rsid w:val="00E03379"/>
    <w:rsid w:val="00E10447"/>
    <w:rsid w:val="00E11709"/>
    <w:rsid w:val="00E11F73"/>
    <w:rsid w:val="00E1385E"/>
    <w:rsid w:val="00E158C5"/>
    <w:rsid w:val="00E26918"/>
    <w:rsid w:val="00E35AC5"/>
    <w:rsid w:val="00E42000"/>
    <w:rsid w:val="00E423E1"/>
    <w:rsid w:val="00E45004"/>
    <w:rsid w:val="00E50D23"/>
    <w:rsid w:val="00E54A41"/>
    <w:rsid w:val="00E63480"/>
    <w:rsid w:val="00E66320"/>
    <w:rsid w:val="00E669D9"/>
    <w:rsid w:val="00E6785A"/>
    <w:rsid w:val="00E74FAC"/>
    <w:rsid w:val="00E760E1"/>
    <w:rsid w:val="00E80617"/>
    <w:rsid w:val="00E82219"/>
    <w:rsid w:val="00E824EB"/>
    <w:rsid w:val="00E82EAA"/>
    <w:rsid w:val="00E84649"/>
    <w:rsid w:val="00E855E6"/>
    <w:rsid w:val="00E86320"/>
    <w:rsid w:val="00E8760B"/>
    <w:rsid w:val="00E90702"/>
    <w:rsid w:val="00E94098"/>
    <w:rsid w:val="00EA0E6F"/>
    <w:rsid w:val="00EB0EF4"/>
    <w:rsid w:val="00EB1EAE"/>
    <w:rsid w:val="00EB4593"/>
    <w:rsid w:val="00EB65DA"/>
    <w:rsid w:val="00EC2D5E"/>
    <w:rsid w:val="00EC45A7"/>
    <w:rsid w:val="00EC5DE0"/>
    <w:rsid w:val="00ED19A2"/>
    <w:rsid w:val="00ED2106"/>
    <w:rsid w:val="00ED35C8"/>
    <w:rsid w:val="00ED4BA8"/>
    <w:rsid w:val="00ED4FCE"/>
    <w:rsid w:val="00ED5A4E"/>
    <w:rsid w:val="00ED5D1E"/>
    <w:rsid w:val="00EE0247"/>
    <w:rsid w:val="00EE18C7"/>
    <w:rsid w:val="00EE795D"/>
    <w:rsid w:val="00EF1D51"/>
    <w:rsid w:val="00F00436"/>
    <w:rsid w:val="00F02DEF"/>
    <w:rsid w:val="00F04DEB"/>
    <w:rsid w:val="00F0526F"/>
    <w:rsid w:val="00F104EE"/>
    <w:rsid w:val="00F106DA"/>
    <w:rsid w:val="00F10DEB"/>
    <w:rsid w:val="00F15471"/>
    <w:rsid w:val="00F159F6"/>
    <w:rsid w:val="00F1637D"/>
    <w:rsid w:val="00F20910"/>
    <w:rsid w:val="00F24218"/>
    <w:rsid w:val="00F31689"/>
    <w:rsid w:val="00F35114"/>
    <w:rsid w:val="00F445E6"/>
    <w:rsid w:val="00F44BED"/>
    <w:rsid w:val="00F45D9F"/>
    <w:rsid w:val="00F47EA7"/>
    <w:rsid w:val="00F556F8"/>
    <w:rsid w:val="00F55B2C"/>
    <w:rsid w:val="00F56C08"/>
    <w:rsid w:val="00F56D88"/>
    <w:rsid w:val="00F625F1"/>
    <w:rsid w:val="00F656AB"/>
    <w:rsid w:val="00F65C5C"/>
    <w:rsid w:val="00F70402"/>
    <w:rsid w:val="00F727C9"/>
    <w:rsid w:val="00F76CCB"/>
    <w:rsid w:val="00F81279"/>
    <w:rsid w:val="00F8212C"/>
    <w:rsid w:val="00F92DF4"/>
    <w:rsid w:val="00F9348F"/>
    <w:rsid w:val="00F93ED4"/>
    <w:rsid w:val="00F94656"/>
    <w:rsid w:val="00F9577D"/>
    <w:rsid w:val="00F9632B"/>
    <w:rsid w:val="00F9716A"/>
    <w:rsid w:val="00F97767"/>
    <w:rsid w:val="00FA6426"/>
    <w:rsid w:val="00FB0713"/>
    <w:rsid w:val="00FB2849"/>
    <w:rsid w:val="00FB4901"/>
    <w:rsid w:val="00FC08F4"/>
    <w:rsid w:val="00FC6324"/>
    <w:rsid w:val="00FD34AD"/>
    <w:rsid w:val="00FD5577"/>
    <w:rsid w:val="00FD6381"/>
    <w:rsid w:val="00FD7C05"/>
    <w:rsid w:val="00FD7F44"/>
    <w:rsid w:val="00FE3DF5"/>
    <w:rsid w:val="00FE7FD0"/>
    <w:rsid w:val="00FF5A27"/>
    <w:rsid w:val="00FF6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298E91"/>
  <w15:docId w15:val="{A91CA630-A56C-47A6-888D-653688AC3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3B2"/>
    <w:pPr>
      <w:spacing w:after="0" w:line="240" w:lineRule="auto"/>
    </w:pPr>
    <w:rPr>
      <w:rFonts w:ascii="Times New Roman" w:eastAsia="Times New Roman" w:hAnsi="Times New Roman" w:cs="Times New Roman"/>
      <w:sz w:val="24"/>
      <w:szCs w:val="24"/>
      <w:lang w:val="en-GB" w:eastAsia="en-GB"/>
    </w:rPr>
  </w:style>
  <w:style w:type="paragraph" w:styleId="Heading1">
    <w:name w:val="heading 1"/>
    <w:aliases w:val="BDK Heading 1"/>
    <w:basedOn w:val="Normal"/>
    <w:next w:val="Normal"/>
    <w:link w:val="Heading1Char"/>
    <w:uiPriority w:val="9"/>
    <w:qFormat/>
    <w:rsid w:val="000E23B2"/>
    <w:pPr>
      <w:keepNext/>
      <w:numPr>
        <w:numId w:val="7"/>
      </w:numPr>
      <w:spacing w:before="240" w:after="60"/>
      <w:outlineLvl w:val="0"/>
    </w:pPr>
    <w:rPr>
      <w:rFonts w:ascii="Arial" w:hAnsi="Arial"/>
      <w:b/>
      <w:bCs/>
      <w:kern w:val="32"/>
      <w:sz w:val="32"/>
      <w:szCs w:val="32"/>
    </w:rPr>
  </w:style>
  <w:style w:type="paragraph" w:styleId="Heading2">
    <w:name w:val="heading 2"/>
    <w:aliases w:val="BDK Heading 2"/>
    <w:basedOn w:val="Normal"/>
    <w:next w:val="Normal"/>
    <w:link w:val="Heading2Char"/>
    <w:uiPriority w:val="9"/>
    <w:qFormat/>
    <w:rsid w:val="000E23B2"/>
    <w:pPr>
      <w:keepNext/>
      <w:numPr>
        <w:ilvl w:val="1"/>
        <w:numId w:val="7"/>
      </w:numPr>
      <w:spacing w:before="240" w:after="60"/>
      <w:outlineLvl w:val="1"/>
    </w:pPr>
    <w:rPr>
      <w:rFonts w:ascii="Arial" w:hAnsi="Arial"/>
      <w:b/>
      <w:bCs/>
      <w:i/>
      <w:iCs/>
      <w:sz w:val="28"/>
      <w:szCs w:val="28"/>
    </w:rPr>
  </w:style>
  <w:style w:type="paragraph" w:styleId="Heading3">
    <w:name w:val="heading 3"/>
    <w:aliases w:val="BDK Heading 3"/>
    <w:basedOn w:val="Normal"/>
    <w:next w:val="Normal"/>
    <w:link w:val="Heading3Char"/>
    <w:qFormat/>
    <w:rsid w:val="000E23B2"/>
    <w:pPr>
      <w:keepNext/>
      <w:numPr>
        <w:ilvl w:val="2"/>
        <w:numId w:val="7"/>
      </w:numPr>
      <w:spacing w:before="240" w:after="60"/>
      <w:outlineLvl w:val="2"/>
    </w:pPr>
    <w:rPr>
      <w:rFonts w:ascii="Arial" w:hAnsi="Arial"/>
      <w:b/>
      <w:bCs/>
      <w:sz w:val="26"/>
      <w:szCs w:val="26"/>
    </w:rPr>
  </w:style>
  <w:style w:type="paragraph" w:styleId="Heading4">
    <w:name w:val="heading 4"/>
    <w:aliases w:val="BDK Heading 4"/>
    <w:basedOn w:val="Normal"/>
    <w:next w:val="Normal"/>
    <w:link w:val="Heading4Char"/>
    <w:semiHidden/>
    <w:unhideWhenUsed/>
    <w:qFormat/>
    <w:rsid w:val="000E23B2"/>
    <w:pPr>
      <w:keepNext/>
      <w:keepLines/>
      <w:numPr>
        <w:ilvl w:val="3"/>
        <w:numId w:val="7"/>
      </w:numPr>
      <w:spacing w:before="40"/>
      <w:outlineLvl w:val="3"/>
    </w:pPr>
    <w:rPr>
      <w:rFonts w:asciiTheme="majorHAnsi" w:eastAsiaTheme="majorEastAsia" w:hAnsiTheme="majorHAnsi" w:cstheme="majorBidi"/>
      <w:i/>
      <w:iCs/>
      <w:color w:val="2E74B5" w:themeColor="accent1" w:themeShade="BF"/>
      <w:sz w:val="22"/>
      <w:lang w:eastAsia="en-US"/>
    </w:rPr>
  </w:style>
  <w:style w:type="paragraph" w:styleId="Heading5">
    <w:name w:val="heading 5"/>
    <w:aliases w:val="BDK Heading 5"/>
    <w:basedOn w:val="Normal"/>
    <w:next w:val="Normal"/>
    <w:link w:val="Heading5Char"/>
    <w:semiHidden/>
    <w:unhideWhenUsed/>
    <w:qFormat/>
    <w:rsid w:val="000E23B2"/>
    <w:pPr>
      <w:keepNext/>
      <w:keepLines/>
      <w:numPr>
        <w:ilvl w:val="4"/>
        <w:numId w:val="7"/>
      </w:numPr>
      <w:spacing w:before="40"/>
      <w:outlineLvl w:val="4"/>
    </w:pPr>
    <w:rPr>
      <w:rFonts w:asciiTheme="majorHAnsi" w:eastAsiaTheme="majorEastAsia" w:hAnsiTheme="majorHAnsi" w:cstheme="majorBidi"/>
      <w:color w:val="2E74B5" w:themeColor="accent1" w:themeShade="BF"/>
      <w:sz w:val="22"/>
      <w:lang w:eastAsia="en-US"/>
    </w:rPr>
  </w:style>
  <w:style w:type="paragraph" w:styleId="Heading6">
    <w:name w:val="heading 6"/>
    <w:aliases w:val="BDK Heading 6"/>
    <w:basedOn w:val="Normal"/>
    <w:next w:val="Normal"/>
    <w:link w:val="Heading6Char"/>
    <w:semiHidden/>
    <w:unhideWhenUsed/>
    <w:qFormat/>
    <w:rsid w:val="000E23B2"/>
    <w:pPr>
      <w:numPr>
        <w:ilvl w:val="5"/>
        <w:numId w:val="7"/>
      </w:numPr>
      <w:spacing w:after="240" w:line="240" w:lineRule="atLeast"/>
      <w:jc w:val="both"/>
      <w:outlineLvl w:val="5"/>
    </w:pPr>
    <w:rPr>
      <w:bCs/>
      <w:sz w:val="22"/>
      <w:szCs w:val="22"/>
      <w:lang w:val="en-US" w:eastAsia="en-US"/>
    </w:rPr>
  </w:style>
  <w:style w:type="paragraph" w:styleId="Heading7">
    <w:name w:val="heading 7"/>
    <w:basedOn w:val="Normal"/>
    <w:next w:val="Normal"/>
    <w:link w:val="Heading7Char"/>
    <w:uiPriority w:val="9"/>
    <w:semiHidden/>
    <w:unhideWhenUsed/>
    <w:qFormat/>
    <w:rsid w:val="000E23B2"/>
    <w:pPr>
      <w:numPr>
        <w:ilvl w:val="6"/>
        <w:numId w:val="7"/>
      </w:numPr>
      <w:spacing w:before="240" w:after="60" w:line="280" w:lineRule="atLeast"/>
      <w:jc w:val="both"/>
      <w:outlineLvl w:val="6"/>
    </w:pPr>
    <w:rPr>
      <w:rFonts w:ascii="Calibri" w:hAnsi="Calibri"/>
      <w:lang w:val="en-US" w:eastAsia="en-US"/>
    </w:rPr>
  </w:style>
  <w:style w:type="paragraph" w:styleId="Heading8">
    <w:name w:val="heading 8"/>
    <w:basedOn w:val="Normal"/>
    <w:next w:val="Normal"/>
    <w:link w:val="Heading8Char"/>
    <w:uiPriority w:val="9"/>
    <w:semiHidden/>
    <w:unhideWhenUsed/>
    <w:qFormat/>
    <w:rsid w:val="000E23B2"/>
    <w:pPr>
      <w:numPr>
        <w:ilvl w:val="7"/>
        <w:numId w:val="7"/>
      </w:numPr>
      <w:spacing w:before="240" w:after="60" w:line="280" w:lineRule="atLeast"/>
      <w:jc w:val="both"/>
      <w:outlineLvl w:val="7"/>
    </w:pPr>
    <w:rPr>
      <w:rFonts w:ascii="Calibri" w:hAnsi="Calibri"/>
      <w:i/>
      <w:iCs/>
      <w:lang w:val="en-US" w:eastAsia="en-US"/>
    </w:rPr>
  </w:style>
  <w:style w:type="paragraph" w:styleId="Heading9">
    <w:name w:val="heading 9"/>
    <w:basedOn w:val="Normal"/>
    <w:next w:val="Normal"/>
    <w:link w:val="Heading9Char"/>
    <w:uiPriority w:val="9"/>
    <w:semiHidden/>
    <w:unhideWhenUsed/>
    <w:qFormat/>
    <w:rsid w:val="000E23B2"/>
    <w:pPr>
      <w:numPr>
        <w:ilvl w:val="8"/>
        <w:numId w:val="7"/>
      </w:numPr>
      <w:spacing w:before="240" w:after="60" w:line="280" w:lineRule="atLeast"/>
      <w:jc w:val="both"/>
      <w:outlineLvl w:val="8"/>
    </w:pPr>
    <w:rPr>
      <w:rFonts w:ascii="Cambria" w:hAnsi="Cambria"/>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BDK Heading 1 Char"/>
    <w:basedOn w:val="DefaultParagraphFont"/>
    <w:link w:val="Heading1"/>
    <w:uiPriority w:val="9"/>
    <w:rsid w:val="000E23B2"/>
    <w:rPr>
      <w:rFonts w:ascii="Arial" w:eastAsia="Times New Roman" w:hAnsi="Arial" w:cs="Times New Roman"/>
      <w:b/>
      <w:bCs/>
      <w:kern w:val="32"/>
      <w:sz w:val="32"/>
      <w:szCs w:val="32"/>
      <w:lang w:val="en-GB" w:eastAsia="en-GB"/>
    </w:rPr>
  </w:style>
  <w:style w:type="character" w:customStyle="1" w:styleId="Heading2Char">
    <w:name w:val="Heading 2 Char"/>
    <w:aliases w:val="BDK Heading 2 Char"/>
    <w:basedOn w:val="DefaultParagraphFont"/>
    <w:link w:val="Heading2"/>
    <w:uiPriority w:val="9"/>
    <w:rsid w:val="000E23B2"/>
    <w:rPr>
      <w:rFonts w:ascii="Arial" w:eastAsia="Times New Roman" w:hAnsi="Arial" w:cs="Times New Roman"/>
      <w:b/>
      <w:bCs/>
      <w:i/>
      <w:iCs/>
      <w:sz w:val="28"/>
      <w:szCs w:val="28"/>
      <w:lang w:val="en-GB" w:eastAsia="en-GB"/>
    </w:rPr>
  </w:style>
  <w:style w:type="character" w:customStyle="1" w:styleId="Heading3Char">
    <w:name w:val="Heading 3 Char"/>
    <w:aliases w:val="BDK Heading 3 Char"/>
    <w:basedOn w:val="DefaultParagraphFont"/>
    <w:link w:val="Heading3"/>
    <w:rsid w:val="000E23B2"/>
    <w:rPr>
      <w:rFonts w:ascii="Arial" w:eastAsia="Times New Roman" w:hAnsi="Arial" w:cs="Times New Roman"/>
      <w:b/>
      <w:bCs/>
      <w:sz w:val="26"/>
      <w:szCs w:val="26"/>
      <w:lang w:val="en-GB" w:eastAsia="en-GB"/>
    </w:rPr>
  </w:style>
  <w:style w:type="character" w:customStyle="1" w:styleId="Heading4Char">
    <w:name w:val="Heading 4 Char"/>
    <w:aliases w:val="BDK Heading 4 Char"/>
    <w:basedOn w:val="DefaultParagraphFont"/>
    <w:link w:val="Heading4"/>
    <w:semiHidden/>
    <w:rsid w:val="000E23B2"/>
    <w:rPr>
      <w:rFonts w:asciiTheme="majorHAnsi" w:eastAsiaTheme="majorEastAsia" w:hAnsiTheme="majorHAnsi" w:cstheme="majorBidi"/>
      <w:i/>
      <w:iCs/>
      <w:color w:val="2E74B5" w:themeColor="accent1" w:themeShade="BF"/>
      <w:szCs w:val="24"/>
      <w:lang w:val="en-GB"/>
    </w:rPr>
  </w:style>
  <w:style w:type="character" w:customStyle="1" w:styleId="Heading5Char">
    <w:name w:val="Heading 5 Char"/>
    <w:aliases w:val="BDK Heading 5 Char"/>
    <w:basedOn w:val="DefaultParagraphFont"/>
    <w:link w:val="Heading5"/>
    <w:semiHidden/>
    <w:rsid w:val="000E23B2"/>
    <w:rPr>
      <w:rFonts w:asciiTheme="majorHAnsi" w:eastAsiaTheme="majorEastAsia" w:hAnsiTheme="majorHAnsi" w:cstheme="majorBidi"/>
      <w:color w:val="2E74B5" w:themeColor="accent1" w:themeShade="BF"/>
      <w:szCs w:val="24"/>
      <w:lang w:val="en-GB"/>
    </w:rPr>
  </w:style>
  <w:style w:type="character" w:customStyle="1" w:styleId="Heading6Char">
    <w:name w:val="Heading 6 Char"/>
    <w:aliases w:val="BDK Heading 6 Char"/>
    <w:basedOn w:val="DefaultParagraphFont"/>
    <w:link w:val="Heading6"/>
    <w:semiHidden/>
    <w:rsid w:val="000E23B2"/>
    <w:rPr>
      <w:rFonts w:ascii="Times New Roman" w:eastAsia="Times New Roman" w:hAnsi="Times New Roman" w:cs="Times New Roman"/>
      <w:bCs/>
    </w:rPr>
  </w:style>
  <w:style w:type="character" w:customStyle="1" w:styleId="Heading7Char">
    <w:name w:val="Heading 7 Char"/>
    <w:basedOn w:val="DefaultParagraphFont"/>
    <w:link w:val="Heading7"/>
    <w:uiPriority w:val="9"/>
    <w:semiHidden/>
    <w:rsid w:val="000E23B2"/>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0E23B2"/>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0E23B2"/>
    <w:rPr>
      <w:rFonts w:ascii="Cambria" w:eastAsia="Times New Roman" w:hAnsi="Cambria" w:cs="Times New Roman"/>
    </w:rPr>
  </w:style>
  <w:style w:type="paragraph" w:customStyle="1" w:styleId="NeAdTitle-headinglevel2">
    <w:name w:val="NeAd Title - heading level 2"/>
    <w:basedOn w:val="Normal"/>
    <w:rsid w:val="000E23B2"/>
    <w:pPr>
      <w:shd w:val="clear" w:color="auto" w:fill="646464"/>
    </w:pPr>
    <w:rPr>
      <w:rFonts w:ascii="Calibri" w:hAnsi="Calibri" w:cs="Arial"/>
      <w:b/>
      <w:bCs/>
      <w:color w:val="FFFFFF"/>
      <w:sz w:val="32"/>
      <w:szCs w:val="32"/>
      <w:lang w:eastAsia="en-US"/>
    </w:rPr>
  </w:style>
  <w:style w:type="paragraph" w:customStyle="1" w:styleId="NeAdTitleHeading">
    <w:name w:val="NeAd Title Heading"/>
    <w:basedOn w:val="Normal"/>
    <w:autoRedefine/>
    <w:rsid w:val="000E23B2"/>
    <w:pPr>
      <w:spacing w:after="240"/>
      <w:ind w:right="387"/>
    </w:pPr>
    <w:rPr>
      <w:rFonts w:ascii="Calibri" w:hAnsi="Calibri" w:cs="Arial"/>
      <w:b/>
      <w:bCs/>
      <w:color w:val="FFFFFF"/>
      <w:sz w:val="64"/>
      <w:szCs w:val="64"/>
      <w:lang w:eastAsia="en-US"/>
    </w:rPr>
  </w:style>
  <w:style w:type="paragraph" w:customStyle="1" w:styleId="NeAdbullet-level1">
    <w:name w:val="NeAd bullet - level 1"/>
    <w:basedOn w:val="NeAdbody-level1"/>
    <w:rsid w:val="000E23B2"/>
    <w:pPr>
      <w:numPr>
        <w:numId w:val="2"/>
      </w:numPr>
    </w:pPr>
  </w:style>
  <w:style w:type="paragraph" w:customStyle="1" w:styleId="NeAdbullet-level2">
    <w:name w:val="NeAd bullet - level 2"/>
    <w:basedOn w:val="NeAdbullet-level1"/>
    <w:rsid w:val="000E23B2"/>
    <w:pPr>
      <w:numPr>
        <w:ilvl w:val="1"/>
        <w:numId w:val="3"/>
      </w:numPr>
    </w:pPr>
  </w:style>
  <w:style w:type="paragraph" w:customStyle="1" w:styleId="NeAdTitle-date">
    <w:name w:val="NeAd Title - date"/>
    <w:basedOn w:val="Normal"/>
    <w:link w:val="NeAdTitle-dateChar"/>
    <w:rsid w:val="000E23B2"/>
    <w:rPr>
      <w:rFonts w:ascii="Calibri" w:hAnsi="Calibri"/>
      <w:b/>
      <w:bCs/>
      <w:sz w:val="32"/>
      <w:szCs w:val="32"/>
      <w:lang w:eastAsia="en-US"/>
    </w:rPr>
  </w:style>
  <w:style w:type="paragraph" w:customStyle="1" w:styleId="NeAdbody-level1">
    <w:name w:val="NeAd body - level 1"/>
    <w:basedOn w:val="Normal"/>
    <w:rsid w:val="000E23B2"/>
    <w:pPr>
      <w:spacing w:before="240" w:after="240"/>
      <w:jc w:val="both"/>
    </w:pPr>
    <w:rPr>
      <w:rFonts w:ascii="Calibri" w:hAnsi="Calibri" w:cs="Arial"/>
      <w:sz w:val="22"/>
      <w:szCs w:val="22"/>
      <w:lang w:eastAsia="en-US"/>
    </w:rPr>
  </w:style>
  <w:style w:type="paragraph" w:customStyle="1" w:styleId="NeAdbody-level2">
    <w:name w:val="NeAd body - level 2"/>
    <w:basedOn w:val="Normal"/>
    <w:rsid w:val="000E23B2"/>
    <w:pPr>
      <w:spacing w:before="240" w:after="240"/>
      <w:ind w:left="567"/>
      <w:jc w:val="both"/>
    </w:pPr>
    <w:rPr>
      <w:rFonts w:ascii="Calibri" w:hAnsi="Calibri" w:cs="Arial"/>
      <w:sz w:val="22"/>
      <w:szCs w:val="22"/>
      <w:lang w:eastAsia="en-US"/>
    </w:rPr>
  </w:style>
  <w:style w:type="paragraph" w:customStyle="1" w:styleId="NeAdbody-level3">
    <w:name w:val="NeAd body - level 3"/>
    <w:basedOn w:val="Normal"/>
    <w:rsid w:val="000E23B2"/>
    <w:pPr>
      <w:spacing w:before="240" w:after="240"/>
      <w:ind w:left="1134"/>
      <w:jc w:val="both"/>
    </w:pPr>
    <w:rPr>
      <w:rFonts w:ascii="Calibri" w:hAnsi="Calibri" w:cs="Arial"/>
      <w:sz w:val="22"/>
      <w:szCs w:val="22"/>
      <w:lang w:eastAsia="en-US"/>
    </w:rPr>
  </w:style>
  <w:style w:type="paragraph" w:customStyle="1" w:styleId="NeAdbody-level4">
    <w:name w:val="NeAd body - level 4"/>
    <w:basedOn w:val="Normal"/>
    <w:rsid w:val="000E23B2"/>
    <w:pPr>
      <w:spacing w:before="240" w:after="240"/>
      <w:ind w:left="1701"/>
      <w:jc w:val="both"/>
    </w:pPr>
    <w:rPr>
      <w:rFonts w:ascii="Calibri" w:hAnsi="Calibri" w:cs="Arial"/>
      <w:sz w:val="22"/>
      <w:szCs w:val="22"/>
      <w:lang w:eastAsia="en-US"/>
    </w:rPr>
  </w:style>
  <w:style w:type="paragraph" w:customStyle="1" w:styleId="NeAdH1">
    <w:name w:val="NeAd H1"/>
    <w:basedOn w:val="Normal"/>
    <w:rsid w:val="000E23B2"/>
    <w:pPr>
      <w:numPr>
        <w:numId w:val="1"/>
      </w:numPr>
      <w:pBdr>
        <w:bottom w:val="single" w:sz="8" w:space="1" w:color="C7A33C"/>
      </w:pBdr>
      <w:spacing w:before="360" w:after="240"/>
      <w:outlineLvl w:val="0"/>
    </w:pPr>
    <w:rPr>
      <w:rFonts w:ascii="Calibri" w:hAnsi="Calibri" w:cs="Arial"/>
      <w:b/>
      <w:bCs/>
      <w:color w:val="00417D"/>
      <w:sz w:val="32"/>
      <w:szCs w:val="32"/>
      <w:lang w:eastAsia="en-US"/>
    </w:rPr>
  </w:style>
  <w:style w:type="paragraph" w:customStyle="1" w:styleId="NeAdH2">
    <w:name w:val="NeAd H2"/>
    <w:basedOn w:val="NeAdH3"/>
    <w:qFormat/>
    <w:rsid w:val="000E23B2"/>
    <w:pPr>
      <w:numPr>
        <w:ilvl w:val="1"/>
      </w:numPr>
      <w:outlineLvl w:val="1"/>
    </w:pPr>
    <w:rPr>
      <w:sz w:val="28"/>
      <w:szCs w:val="28"/>
    </w:rPr>
  </w:style>
  <w:style w:type="paragraph" w:customStyle="1" w:styleId="NeAdH3">
    <w:name w:val="NeAd H3"/>
    <w:basedOn w:val="Normal"/>
    <w:qFormat/>
    <w:rsid w:val="000E23B2"/>
    <w:pPr>
      <w:numPr>
        <w:ilvl w:val="2"/>
        <w:numId w:val="1"/>
      </w:numPr>
      <w:spacing w:before="360" w:after="240"/>
      <w:outlineLvl w:val="2"/>
    </w:pPr>
    <w:rPr>
      <w:rFonts w:ascii="Calibri" w:hAnsi="Calibri" w:cs="Arial"/>
      <w:b/>
      <w:bCs/>
      <w:color w:val="00417D"/>
      <w:sz w:val="22"/>
      <w:lang w:eastAsia="en-US"/>
    </w:rPr>
  </w:style>
  <w:style w:type="character" w:customStyle="1" w:styleId="NeAdnumber-level2Char">
    <w:name w:val="NeAd number - level 2 Char"/>
    <w:basedOn w:val="DefaultParagraphFont"/>
    <w:link w:val="NeAdnumber-level2"/>
    <w:rsid w:val="000E23B2"/>
    <w:rPr>
      <w:rFonts w:ascii="Calibri" w:hAnsi="Calibri" w:cs="Arial"/>
    </w:rPr>
  </w:style>
  <w:style w:type="paragraph" w:customStyle="1" w:styleId="NeAdTitle-authors">
    <w:name w:val="NeAd Title - authors"/>
    <w:basedOn w:val="Normal"/>
    <w:autoRedefine/>
    <w:rsid w:val="000E23B2"/>
    <w:pPr>
      <w:jc w:val="center"/>
    </w:pPr>
    <w:rPr>
      <w:rFonts w:ascii="Calibri" w:hAnsi="Calibri" w:cs="Arial"/>
      <w:b/>
      <w:bCs/>
      <w:sz w:val="22"/>
      <w:lang w:eastAsia="en-US"/>
    </w:rPr>
  </w:style>
  <w:style w:type="paragraph" w:customStyle="1" w:styleId="NeAdbullet3">
    <w:name w:val="NeAd bullet 3"/>
    <w:basedOn w:val="NeAdbullet-level2"/>
    <w:rsid w:val="000E23B2"/>
    <w:pPr>
      <w:numPr>
        <w:ilvl w:val="2"/>
        <w:numId w:val="4"/>
      </w:numPr>
    </w:pPr>
  </w:style>
  <w:style w:type="paragraph" w:customStyle="1" w:styleId="NeAdnumber-level1">
    <w:name w:val="NeAd number - level 1"/>
    <w:basedOn w:val="NeAdbody-level1"/>
    <w:link w:val="NeAdnumber-level1Char"/>
    <w:rsid w:val="000E23B2"/>
    <w:pPr>
      <w:numPr>
        <w:numId w:val="5"/>
      </w:numPr>
    </w:pPr>
  </w:style>
  <w:style w:type="paragraph" w:customStyle="1" w:styleId="NeAdnumber-level2">
    <w:name w:val="NeAd number - level 2"/>
    <w:basedOn w:val="NeAdbody-level1"/>
    <w:link w:val="NeAdnumber-level2Char"/>
    <w:rsid w:val="000E23B2"/>
    <w:pPr>
      <w:numPr>
        <w:ilvl w:val="1"/>
        <w:numId w:val="5"/>
      </w:numPr>
    </w:pPr>
    <w:rPr>
      <w:rFonts w:eastAsiaTheme="minorHAnsi"/>
      <w:lang w:val="en-US"/>
    </w:rPr>
  </w:style>
  <w:style w:type="paragraph" w:customStyle="1" w:styleId="NeAdnumber-level3">
    <w:name w:val="NeAd number - level 3"/>
    <w:basedOn w:val="NeAdbody-level1"/>
    <w:rsid w:val="000E23B2"/>
    <w:pPr>
      <w:numPr>
        <w:ilvl w:val="2"/>
        <w:numId w:val="5"/>
      </w:numPr>
    </w:pPr>
  </w:style>
  <w:style w:type="paragraph" w:customStyle="1" w:styleId="NeAdnumber-level4">
    <w:name w:val="NeAd number - level 4"/>
    <w:basedOn w:val="NeAdbody-level1"/>
    <w:rsid w:val="000E23B2"/>
    <w:pPr>
      <w:numPr>
        <w:ilvl w:val="3"/>
        <w:numId w:val="5"/>
      </w:numPr>
      <w:tabs>
        <w:tab w:val="clear" w:pos="2978"/>
        <w:tab w:val="num" w:pos="360"/>
      </w:tabs>
    </w:pPr>
  </w:style>
  <w:style w:type="paragraph" w:customStyle="1" w:styleId="NeAdfootnote">
    <w:name w:val="NeAd footnote"/>
    <w:basedOn w:val="NeAdbody-level1"/>
    <w:autoRedefine/>
    <w:rsid w:val="000E23B2"/>
    <w:rPr>
      <w:i/>
      <w:iCs/>
      <w:sz w:val="18"/>
      <w:szCs w:val="18"/>
    </w:rPr>
  </w:style>
  <w:style w:type="paragraph" w:customStyle="1" w:styleId="NeAdExhibitHeading">
    <w:name w:val="NeAd Exhibit Heading"/>
    <w:basedOn w:val="Normal"/>
    <w:autoRedefine/>
    <w:rsid w:val="000E23B2"/>
    <w:pPr>
      <w:keepNext/>
      <w:spacing w:before="120" w:after="120"/>
      <w:outlineLvl w:val="4"/>
    </w:pPr>
    <w:rPr>
      <w:rFonts w:ascii="Calibri" w:hAnsi="Calibri"/>
      <w:i/>
      <w:iCs/>
      <w:sz w:val="22"/>
      <w:lang w:eastAsia="en-US"/>
    </w:rPr>
  </w:style>
  <w:style w:type="paragraph" w:customStyle="1" w:styleId="NeAdexhibittabletext">
    <w:name w:val="NeAd exhibit table text"/>
    <w:basedOn w:val="NeAdbody-level1"/>
    <w:autoRedefine/>
    <w:rsid w:val="000E23B2"/>
    <w:pPr>
      <w:spacing w:before="60" w:after="60"/>
      <w:jc w:val="center"/>
    </w:pPr>
    <w:rPr>
      <w:i/>
      <w:iCs/>
    </w:rPr>
  </w:style>
  <w:style w:type="paragraph" w:styleId="Header">
    <w:name w:val="header"/>
    <w:basedOn w:val="Normal"/>
    <w:link w:val="HeaderChar"/>
    <w:semiHidden/>
    <w:rsid w:val="000E23B2"/>
    <w:pPr>
      <w:tabs>
        <w:tab w:val="center" w:pos="4320"/>
        <w:tab w:val="right" w:pos="8640"/>
      </w:tabs>
    </w:pPr>
    <w:rPr>
      <w:rFonts w:ascii="Calibri" w:hAnsi="Calibri"/>
      <w:sz w:val="22"/>
      <w:lang w:eastAsia="en-US"/>
    </w:rPr>
  </w:style>
  <w:style w:type="character" w:customStyle="1" w:styleId="HeaderChar">
    <w:name w:val="Header Char"/>
    <w:basedOn w:val="DefaultParagraphFont"/>
    <w:link w:val="Header"/>
    <w:semiHidden/>
    <w:rsid w:val="000E23B2"/>
    <w:rPr>
      <w:rFonts w:ascii="Calibri" w:eastAsia="Times New Roman" w:hAnsi="Calibri" w:cs="Times New Roman"/>
      <w:szCs w:val="24"/>
      <w:lang w:val="en-GB"/>
    </w:rPr>
  </w:style>
  <w:style w:type="paragraph" w:styleId="Footer">
    <w:name w:val="footer"/>
    <w:basedOn w:val="Normal"/>
    <w:link w:val="FooterChar"/>
    <w:uiPriority w:val="99"/>
    <w:rsid w:val="000E23B2"/>
    <w:pPr>
      <w:tabs>
        <w:tab w:val="center" w:pos="4320"/>
        <w:tab w:val="right" w:pos="8640"/>
      </w:tabs>
    </w:pPr>
    <w:rPr>
      <w:rFonts w:ascii="Calibri" w:hAnsi="Calibri"/>
      <w:sz w:val="22"/>
      <w:lang w:eastAsia="en-US"/>
    </w:rPr>
  </w:style>
  <w:style w:type="character" w:customStyle="1" w:styleId="FooterChar">
    <w:name w:val="Footer Char"/>
    <w:basedOn w:val="DefaultParagraphFont"/>
    <w:link w:val="Footer"/>
    <w:uiPriority w:val="99"/>
    <w:rsid w:val="000E23B2"/>
    <w:rPr>
      <w:rFonts w:ascii="Calibri" w:eastAsia="Times New Roman" w:hAnsi="Calibri" w:cs="Times New Roman"/>
      <w:szCs w:val="24"/>
      <w:lang w:val="en-GB"/>
    </w:rPr>
  </w:style>
  <w:style w:type="paragraph" w:customStyle="1" w:styleId="NeAdexhibitfootnote">
    <w:name w:val="NeAd exhibit footnote"/>
    <w:basedOn w:val="Normal"/>
    <w:autoRedefine/>
    <w:rsid w:val="000E23B2"/>
    <w:pPr>
      <w:spacing w:before="60" w:after="120"/>
      <w:ind w:left="-1540"/>
      <w:jc w:val="both"/>
    </w:pPr>
    <w:rPr>
      <w:rFonts w:ascii="Palatino Linotype" w:hAnsi="Palatino Linotype" w:cs="Arial"/>
      <w:i/>
      <w:iCs/>
      <w:sz w:val="18"/>
      <w:szCs w:val="18"/>
    </w:rPr>
  </w:style>
  <w:style w:type="paragraph" w:customStyle="1" w:styleId="NeAdtabletext">
    <w:name w:val="NeAd table text"/>
    <w:basedOn w:val="Normal"/>
    <w:autoRedefine/>
    <w:rsid w:val="000E23B2"/>
    <w:pPr>
      <w:framePr w:hSpace="181" w:wrap="around" w:vAnchor="text" w:hAnchor="margin" w:y="241"/>
      <w:spacing w:before="60" w:after="60"/>
      <w:ind w:left="360"/>
    </w:pPr>
    <w:rPr>
      <w:rFonts w:ascii="Calibri" w:hAnsi="Calibri"/>
      <w:noProof/>
      <w:sz w:val="18"/>
      <w:szCs w:val="18"/>
      <w:lang w:eastAsia="en-US"/>
    </w:rPr>
  </w:style>
  <w:style w:type="paragraph" w:customStyle="1" w:styleId="NeAdtableheading">
    <w:name w:val="NeAd table heading"/>
    <w:basedOn w:val="Normal"/>
    <w:autoRedefine/>
    <w:rsid w:val="000E23B2"/>
    <w:pPr>
      <w:pBdr>
        <w:bottom w:val="single" w:sz="8" w:space="1" w:color="C7A33C"/>
      </w:pBdr>
      <w:tabs>
        <w:tab w:val="left" w:pos="1701"/>
      </w:tabs>
      <w:spacing w:before="120" w:after="120"/>
      <w:jc w:val="center"/>
    </w:pPr>
    <w:rPr>
      <w:rFonts w:ascii="Calibri" w:hAnsi="Calibri" w:cs="Arial"/>
      <w:b/>
      <w:bCs/>
      <w:color w:val="00417D"/>
      <w:sz w:val="20"/>
      <w:szCs w:val="20"/>
      <w:lang w:eastAsia="en-US"/>
    </w:rPr>
  </w:style>
  <w:style w:type="paragraph" w:styleId="BalloonText">
    <w:name w:val="Balloon Text"/>
    <w:basedOn w:val="Normal"/>
    <w:link w:val="BalloonTextChar"/>
    <w:uiPriority w:val="99"/>
    <w:semiHidden/>
    <w:rsid w:val="000E23B2"/>
    <w:rPr>
      <w:rFonts w:ascii="Tahoma" w:hAnsi="Tahoma"/>
      <w:sz w:val="16"/>
      <w:szCs w:val="16"/>
    </w:rPr>
  </w:style>
  <w:style w:type="character" w:customStyle="1" w:styleId="BalloonTextChar">
    <w:name w:val="Balloon Text Char"/>
    <w:basedOn w:val="DefaultParagraphFont"/>
    <w:link w:val="BalloonText"/>
    <w:uiPriority w:val="99"/>
    <w:semiHidden/>
    <w:rsid w:val="000E23B2"/>
    <w:rPr>
      <w:rFonts w:ascii="Tahoma" w:eastAsia="Times New Roman" w:hAnsi="Tahoma" w:cs="Times New Roman"/>
      <w:sz w:val="16"/>
      <w:szCs w:val="16"/>
      <w:lang w:val="en-GB" w:eastAsia="en-GB"/>
    </w:rPr>
  </w:style>
  <w:style w:type="paragraph" w:customStyle="1" w:styleId="NeAdLogo">
    <w:name w:val="NeAd Logo"/>
    <w:basedOn w:val="Normal"/>
    <w:rsid w:val="000E23B2"/>
    <w:pPr>
      <w:spacing w:after="240"/>
    </w:pPr>
    <w:rPr>
      <w:rFonts w:ascii="Calibri" w:hAnsi="Calibri"/>
      <w:sz w:val="22"/>
      <w:lang w:eastAsia="en-US"/>
    </w:rPr>
  </w:style>
  <w:style w:type="paragraph" w:customStyle="1" w:styleId="NeAdHeaderFooter">
    <w:name w:val="NeAd Header/Footer"/>
    <w:basedOn w:val="Normal"/>
    <w:rsid w:val="000E23B2"/>
    <w:pPr>
      <w:tabs>
        <w:tab w:val="right" w:pos="10773"/>
      </w:tabs>
      <w:ind w:right="1477"/>
    </w:pPr>
    <w:rPr>
      <w:rFonts w:ascii="Palatino Linotype" w:hAnsi="Palatino Linotype"/>
      <w:b/>
      <w:bCs/>
      <w:sz w:val="22"/>
      <w:lang w:eastAsia="en-US"/>
    </w:rPr>
  </w:style>
  <w:style w:type="paragraph" w:customStyle="1" w:styleId="NeAdH1-nonumber">
    <w:name w:val="NeAd H1 - no number"/>
    <w:basedOn w:val="NeAdH1"/>
    <w:rsid w:val="000E23B2"/>
    <w:pPr>
      <w:numPr>
        <w:numId w:val="0"/>
      </w:numPr>
    </w:pPr>
  </w:style>
  <w:style w:type="character" w:customStyle="1" w:styleId="NeAdTitle-dateChar">
    <w:name w:val="NeAd Title - date Char"/>
    <w:link w:val="NeAdTitle-date"/>
    <w:rsid w:val="000E23B2"/>
    <w:rPr>
      <w:rFonts w:ascii="Calibri" w:eastAsia="Times New Roman" w:hAnsi="Calibri" w:cs="Times New Roman"/>
      <w:b/>
      <w:bCs/>
      <w:sz w:val="32"/>
      <w:szCs w:val="32"/>
      <w:lang w:val="en-GB"/>
    </w:rPr>
  </w:style>
  <w:style w:type="paragraph" w:customStyle="1" w:styleId="NeAdH42">
    <w:name w:val="NeAd H4 2"/>
    <w:basedOn w:val="Normal"/>
    <w:rsid w:val="000E23B2"/>
    <w:pPr>
      <w:numPr>
        <w:ilvl w:val="3"/>
        <w:numId w:val="1"/>
      </w:numPr>
      <w:spacing w:before="360" w:after="240"/>
      <w:outlineLvl w:val="3"/>
    </w:pPr>
    <w:rPr>
      <w:rFonts w:ascii="Calibri" w:hAnsi="Calibri" w:cs="Arial"/>
      <w:b/>
      <w:bCs/>
      <w:i/>
      <w:iCs/>
      <w:color w:val="00417D"/>
      <w:sz w:val="22"/>
      <w:lang w:eastAsia="en-US"/>
    </w:rPr>
  </w:style>
  <w:style w:type="paragraph" w:customStyle="1" w:styleId="NeAdbody-level5">
    <w:name w:val="NeAd body - level 5"/>
    <w:basedOn w:val="NeAdbody-level4"/>
    <w:qFormat/>
    <w:rsid w:val="000E23B2"/>
    <w:pPr>
      <w:ind w:left="2160"/>
    </w:pPr>
  </w:style>
  <w:style w:type="paragraph" w:styleId="FootnoteText">
    <w:name w:val="footnote text"/>
    <w:aliases w:val="Car"/>
    <w:basedOn w:val="Normal"/>
    <w:link w:val="FootnoteTextChar"/>
    <w:uiPriority w:val="99"/>
    <w:rsid w:val="000E23B2"/>
    <w:rPr>
      <w:rFonts w:ascii="Calibri" w:hAnsi="Calibri"/>
      <w:sz w:val="18"/>
      <w:szCs w:val="20"/>
      <w:lang w:eastAsia="en-US"/>
    </w:rPr>
  </w:style>
  <w:style w:type="character" w:customStyle="1" w:styleId="FootnoteTextChar">
    <w:name w:val="Footnote Text Char"/>
    <w:aliases w:val="Car Char"/>
    <w:basedOn w:val="DefaultParagraphFont"/>
    <w:link w:val="FootnoteText"/>
    <w:uiPriority w:val="99"/>
    <w:rsid w:val="000E23B2"/>
    <w:rPr>
      <w:rFonts w:ascii="Calibri" w:eastAsia="Times New Roman" w:hAnsi="Calibri" w:cs="Times New Roman"/>
      <w:sz w:val="18"/>
      <w:szCs w:val="20"/>
      <w:lang w:val="en-GB"/>
    </w:rPr>
  </w:style>
  <w:style w:type="character" w:styleId="FootnoteReference">
    <w:name w:val="footnote reference"/>
    <w:basedOn w:val="DefaultParagraphFont"/>
    <w:uiPriority w:val="99"/>
    <w:rsid w:val="000E23B2"/>
    <w:rPr>
      <w:vertAlign w:val="superscript"/>
    </w:rPr>
  </w:style>
  <w:style w:type="character" w:styleId="CommentReference">
    <w:name w:val="annotation reference"/>
    <w:basedOn w:val="DefaultParagraphFont"/>
    <w:uiPriority w:val="99"/>
    <w:rsid w:val="000E23B2"/>
    <w:rPr>
      <w:sz w:val="16"/>
      <w:szCs w:val="16"/>
    </w:rPr>
  </w:style>
  <w:style w:type="paragraph" w:styleId="CommentText">
    <w:name w:val="annotation text"/>
    <w:basedOn w:val="Normal"/>
    <w:link w:val="CommentTextChar"/>
    <w:uiPriority w:val="99"/>
    <w:rsid w:val="000E23B2"/>
    <w:rPr>
      <w:rFonts w:ascii="Calibri" w:hAnsi="Calibri"/>
      <w:sz w:val="20"/>
      <w:szCs w:val="20"/>
      <w:lang w:eastAsia="en-US"/>
    </w:rPr>
  </w:style>
  <w:style w:type="character" w:customStyle="1" w:styleId="CommentTextChar">
    <w:name w:val="Comment Text Char"/>
    <w:basedOn w:val="DefaultParagraphFont"/>
    <w:link w:val="CommentText"/>
    <w:uiPriority w:val="99"/>
    <w:rsid w:val="000E23B2"/>
    <w:rPr>
      <w:rFonts w:ascii="Calibri" w:eastAsia="Times New Roman" w:hAnsi="Calibri" w:cs="Times New Roman"/>
      <w:sz w:val="20"/>
      <w:szCs w:val="20"/>
      <w:lang w:val="en-GB"/>
    </w:rPr>
  </w:style>
  <w:style w:type="paragraph" w:styleId="CommentSubject">
    <w:name w:val="annotation subject"/>
    <w:basedOn w:val="CommentText"/>
    <w:next w:val="CommentText"/>
    <w:link w:val="CommentSubjectChar"/>
    <w:rsid w:val="000E23B2"/>
    <w:rPr>
      <w:b/>
      <w:bCs/>
    </w:rPr>
  </w:style>
  <w:style w:type="character" w:customStyle="1" w:styleId="CommentSubjectChar">
    <w:name w:val="Comment Subject Char"/>
    <w:basedOn w:val="CommentTextChar"/>
    <w:link w:val="CommentSubject"/>
    <w:rsid w:val="000E23B2"/>
    <w:rPr>
      <w:rFonts w:ascii="Calibri" w:eastAsia="Times New Roman" w:hAnsi="Calibri" w:cs="Times New Roman"/>
      <w:b/>
      <w:bCs/>
      <w:sz w:val="20"/>
      <w:szCs w:val="20"/>
      <w:lang w:val="en-GB"/>
    </w:rPr>
  </w:style>
  <w:style w:type="paragraph" w:customStyle="1" w:styleId="Default">
    <w:name w:val="Default"/>
    <w:rsid w:val="000E23B2"/>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rPr>
  </w:style>
  <w:style w:type="paragraph" w:styleId="NormalWeb">
    <w:name w:val="Normal (Web)"/>
    <w:basedOn w:val="Normal"/>
    <w:uiPriority w:val="99"/>
    <w:unhideWhenUsed/>
    <w:rsid w:val="000E23B2"/>
    <w:pPr>
      <w:spacing w:before="100" w:beforeAutospacing="1" w:after="100" w:afterAutospacing="1"/>
    </w:pPr>
  </w:style>
  <w:style w:type="table" w:styleId="TableGrid">
    <w:name w:val="Table Grid"/>
    <w:basedOn w:val="TableNormal"/>
    <w:uiPriority w:val="59"/>
    <w:rsid w:val="000E23B2"/>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E23B2"/>
    <w:rPr>
      <w:color w:val="0000FF"/>
      <w:u w:val="single"/>
    </w:rPr>
  </w:style>
  <w:style w:type="character" w:customStyle="1" w:styleId="UnresolvedMention1">
    <w:name w:val="Unresolved Mention1"/>
    <w:basedOn w:val="DefaultParagraphFont"/>
    <w:uiPriority w:val="99"/>
    <w:unhideWhenUsed/>
    <w:rsid w:val="000E23B2"/>
    <w:rPr>
      <w:color w:val="605E5C"/>
      <w:shd w:val="clear" w:color="auto" w:fill="E1DFDD"/>
    </w:rPr>
  </w:style>
  <w:style w:type="character" w:customStyle="1" w:styleId="Mention1">
    <w:name w:val="Mention1"/>
    <w:basedOn w:val="DefaultParagraphFont"/>
    <w:uiPriority w:val="99"/>
    <w:unhideWhenUsed/>
    <w:rsid w:val="000E23B2"/>
    <w:rPr>
      <w:color w:val="2B579A"/>
      <w:shd w:val="clear" w:color="auto" w:fill="E1DFDD"/>
    </w:rPr>
  </w:style>
  <w:style w:type="character" w:styleId="FollowedHyperlink">
    <w:name w:val="FollowedHyperlink"/>
    <w:basedOn w:val="DefaultParagraphFont"/>
    <w:rsid w:val="000E23B2"/>
    <w:rPr>
      <w:color w:val="954F72" w:themeColor="followedHyperlink"/>
      <w:u w:val="single"/>
    </w:rPr>
  </w:style>
  <w:style w:type="paragraph" w:styleId="ListParagraph">
    <w:name w:val="List Paragraph"/>
    <w:basedOn w:val="Normal"/>
    <w:uiPriority w:val="34"/>
    <w:qFormat/>
    <w:rsid w:val="000E23B2"/>
    <w:pPr>
      <w:ind w:left="720"/>
      <w:contextualSpacing/>
    </w:pPr>
    <w:rPr>
      <w:rFonts w:ascii="Calibri" w:hAnsi="Calibri"/>
      <w:sz w:val="22"/>
      <w:lang w:eastAsia="en-US"/>
    </w:rPr>
  </w:style>
  <w:style w:type="paragraph" w:styleId="Caption">
    <w:name w:val="caption"/>
    <w:basedOn w:val="Normal"/>
    <w:next w:val="Normal"/>
    <w:unhideWhenUsed/>
    <w:qFormat/>
    <w:rsid w:val="000E23B2"/>
    <w:pPr>
      <w:spacing w:after="200"/>
    </w:pPr>
    <w:rPr>
      <w:rFonts w:ascii="Calibri" w:hAnsi="Calibri"/>
      <w:i/>
      <w:iCs/>
      <w:color w:val="44546A" w:themeColor="text2"/>
      <w:sz w:val="18"/>
      <w:szCs w:val="18"/>
      <w:lang w:eastAsia="en-US"/>
    </w:rPr>
  </w:style>
  <w:style w:type="paragraph" w:customStyle="1" w:styleId="ExhibitHeader">
    <w:name w:val="ExhibitHeader"/>
    <w:basedOn w:val="Normal"/>
    <w:qFormat/>
    <w:rsid w:val="000E23B2"/>
    <w:pPr>
      <w:keepNext/>
      <w:spacing w:before="120" w:after="120"/>
      <w:outlineLvl w:val="4"/>
    </w:pPr>
    <w:rPr>
      <w:rFonts w:ascii="Calibri" w:hAnsi="Calibri"/>
      <w:i/>
      <w:iCs/>
      <w:sz w:val="22"/>
      <w:lang w:eastAsia="en-US"/>
    </w:rPr>
  </w:style>
  <w:style w:type="numbering" w:customStyle="1" w:styleId="Style2">
    <w:name w:val="Style2"/>
    <w:uiPriority w:val="99"/>
    <w:rsid w:val="000E23B2"/>
    <w:pPr>
      <w:numPr>
        <w:numId w:val="6"/>
      </w:numPr>
    </w:pPr>
  </w:style>
  <w:style w:type="paragraph" w:styleId="Revision">
    <w:name w:val="Revision"/>
    <w:hidden/>
    <w:uiPriority w:val="99"/>
    <w:semiHidden/>
    <w:rsid w:val="000E23B2"/>
    <w:pPr>
      <w:spacing w:after="0" w:line="240" w:lineRule="auto"/>
    </w:pPr>
    <w:rPr>
      <w:rFonts w:ascii="Calibri" w:eastAsia="Times New Roman" w:hAnsi="Calibri" w:cs="Times New Roman"/>
      <w:szCs w:val="24"/>
      <w:lang w:val="en-GB"/>
    </w:rPr>
  </w:style>
  <w:style w:type="paragraph" w:styleId="TOC1">
    <w:name w:val="toc 1"/>
    <w:basedOn w:val="Normal"/>
    <w:next w:val="Normal"/>
    <w:autoRedefine/>
    <w:uiPriority w:val="39"/>
    <w:rsid w:val="00D147E8"/>
    <w:pPr>
      <w:keepNext/>
      <w:tabs>
        <w:tab w:val="left" w:pos="993"/>
        <w:tab w:val="right" w:leader="dot" w:pos="8931"/>
      </w:tabs>
      <w:spacing w:after="100"/>
      <w:ind w:left="426" w:right="50" w:hanging="426"/>
    </w:pPr>
    <w:rPr>
      <w:rFonts w:ascii="Calibri" w:hAnsi="Calibri"/>
      <w:sz w:val="22"/>
      <w:lang w:eastAsia="en-US"/>
    </w:rPr>
  </w:style>
  <w:style w:type="paragraph" w:styleId="TOC2">
    <w:name w:val="toc 2"/>
    <w:basedOn w:val="Normal"/>
    <w:next w:val="Normal"/>
    <w:autoRedefine/>
    <w:uiPriority w:val="39"/>
    <w:rsid w:val="005641BD"/>
    <w:pPr>
      <w:tabs>
        <w:tab w:val="left" w:pos="851"/>
        <w:tab w:val="right" w:leader="dot" w:pos="8931"/>
      </w:tabs>
      <w:spacing w:after="100"/>
      <w:ind w:left="709" w:right="-22" w:hanging="425"/>
    </w:pPr>
    <w:rPr>
      <w:rFonts w:ascii="Calibri" w:hAnsi="Calibri"/>
      <w:sz w:val="22"/>
      <w:lang w:eastAsia="en-US"/>
    </w:rPr>
  </w:style>
  <w:style w:type="paragraph" w:styleId="TOC3">
    <w:name w:val="toc 3"/>
    <w:basedOn w:val="Normal"/>
    <w:next w:val="Normal"/>
    <w:autoRedefine/>
    <w:uiPriority w:val="39"/>
    <w:rsid w:val="005641BD"/>
    <w:pPr>
      <w:tabs>
        <w:tab w:val="right" w:leader="dot" w:pos="8931"/>
      </w:tabs>
      <w:spacing w:after="100"/>
      <w:ind w:left="993" w:hanging="284"/>
    </w:pPr>
    <w:rPr>
      <w:rFonts w:ascii="Calibri" w:hAnsi="Calibri"/>
      <w:sz w:val="22"/>
      <w:lang w:eastAsia="en-US"/>
    </w:rPr>
  </w:style>
  <w:style w:type="table" w:customStyle="1" w:styleId="TableGrid1">
    <w:name w:val="Table Grid1"/>
    <w:basedOn w:val="TableNormal"/>
    <w:uiPriority w:val="39"/>
    <w:rsid w:val="000E23B2"/>
    <w:pPr>
      <w:spacing w:after="0" w:line="240" w:lineRule="auto"/>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
    <w:name w:val="Table Grid Light1"/>
    <w:basedOn w:val="TableNormal"/>
    <w:uiPriority w:val="40"/>
    <w:rsid w:val="000E23B2"/>
    <w:pPr>
      <w:spacing w:after="0" w:line="240" w:lineRule="auto"/>
    </w:pPr>
    <w:rPr>
      <w:rFonts w:ascii="Times New Roman" w:eastAsia="Times New Roman" w:hAnsi="Times New Roman" w:cs="Times New Roman"/>
      <w:sz w:val="20"/>
      <w:szCs w:val="20"/>
      <w:lang w:val="en-GB" w:eastAsia="en-GB"/>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ableofFigures">
    <w:name w:val="table of figures"/>
    <w:basedOn w:val="Normal"/>
    <w:next w:val="Normal"/>
    <w:uiPriority w:val="99"/>
    <w:rsid w:val="000E23B2"/>
    <w:pPr>
      <w:ind w:left="480" w:hanging="480"/>
    </w:pPr>
    <w:rPr>
      <w:rFonts w:asciiTheme="minorHAnsi" w:hAnsiTheme="minorHAnsi" w:cstheme="minorHAnsi"/>
      <w:bCs/>
      <w:sz w:val="20"/>
      <w:szCs w:val="20"/>
    </w:rPr>
  </w:style>
  <w:style w:type="character" w:customStyle="1" w:styleId="NeAdnumber-level1Char">
    <w:name w:val="NeAd number - level 1 Char"/>
    <w:basedOn w:val="DefaultParagraphFont"/>
    <w:link w:val="NeAdnumber-level1"/>
    <w:rsid w:val="000E23B2"/>
    <w:rPr>
      <w:rFonts w:ascii="Calibri" w:eastAsia="Times New Roman" w:hAnsi="Calibri" w:cs="Arial"/>
      <w:lang w:val="en-GB"/>
    </w:rPr>
  </w:style>
  <w:style w:type="character" w:customStyle="1" w:styleId="UnresolvedMention10">
    <w:name w:val="Unresolved Mention10"/>
    <w:basedOn w:val="DefaultParagraphFont"/>
    <w:uiPriority w:val="99"/>
    <w:unhideWhenUsed/>
    <w:rsid w:val="000E23B2"/>
    <w:rPr>
      <w:color w:val="605E5C"/>
      <w:shd w:val="clear" w:color="auto" w:fill="E1DFDD"/>
    </w:rPr>
  </w:style>
  <w:style w:type="character" w:customStyle="1" w:styleId="Mention10">
    <w:name w:val="Mention10"/>
    <w:basedOn w:val="DefaultParagraphFont"/>
    <w:uiPriority w:val="99"/>
    <w:unhideWhenUsed/>
    <w:rsid w:val="000E23B2"/>
    <w:rPr>
      <w:color w:val="2B579A"/>
      <w:shd w:val="clear" w:color="auto" w:fill="E1DFDD"/>
    </w:rPr>
  </w:style>
  <w:style w:type="paragraph" w:customStyle="1" w:styleId="Legalamendment">
    <w:name w:val="Legal amendment"/>
    <w:basedOn w:val="NeAdbody-level1"/>
    <w:rsid w:val="000E23B2"/>
    <w:pPr>
      <w:shd w:val="clear" w:color="auto" w:fill="EEE3C4"/>
      <w:ind w:left="360" w:hanging="360"/>
    </w:pPr>
  </w:style>
  <w:style w:type="character" w:customStyle="1" w:styleId="normaltextrun">
    <w:name w:val="normaltextrun"/>
    <w:basedOn w:val="DefaultParagraphFont"/>
    <w:rsid w:val="000E23B2"/>
  </w:style>
  <w:style w:type="character" w:customStyle="1" w:styleId="eop">
    <w:name w:val="eop"/>
    <w:basedOn w:val="DefaultParagraphFont"/>
    <w:rsid w:val="000E23B2"/>
  </w:style>
  <w:style w:type="table" w:customStyle="1" w:styleId="TableGrid2">
    <w:name w:val="Table Grid2"/>
    <w:basedOn w:val="TableNormal"/>
    <w:next w:val="TableGrid"/>
    <w:uiPriority w:val="39"/>
    <w:rsid w:val="000E23B2"/>
    <w:pPr>
      <w:spacing w:after="0" w:line="240" w:lineRule="auto"/>
    </w:pPr>
    <w:rPr>
      <w:sz w:val="24"/>
      <w:szCs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0E23B2"/>
    <w:pPr>
      <w:spacing w:after="0" w:line="240" w:lineRule="auto"/>
    </w:pPr>
    <w:rPr>
      <w:sz w:val="24"/>
      <w:szCs w:val="24"/>
      <w:lang w:val="en-GB"/>
    </w:rPr>
  </w:style>
  <w:style w:type="character" w:customStyle="1" w:styleId="UnresolvedMention2">
    <w:name w:val="Unresolved Mention2"/>
    <w:basedOn w:val="DefaultParagraphFont"/>
    <w:uiPriority w:val="99"/>
    <w:unhideWhenUsed/>
    <w:rsid w:val="000E23B2"/>
    <w:rPr>
      <w:color w:val="605E5C"/>
      <w:shd w:val="clear" w:color="auto" w:fill="E1DFDD"/>
    </w:rPr>
  </w:style>
  <w:style w:type="character" w:customStyle="1" w:styleId="Mention2">
    <w:name w:val="Mention2"/>
    <w:basedOn w:val="DefaultParagraphFont"/>
    <w:uiPriority w:val="99"/>
    <w:unhideWhenUsed/>
    <w:rsid w:val="000E23B2"/>
    <w:rPr>
      <w:color w:val="2B579A"/>
      <w:shd w:val="clear" w:color="auto" w:fill="E1DFDD"/>
    </w:rPr>
  </w:style>
  <w:style w:type="character" w:customStyle="1" w:styleId="UnresolvedMention100">
    <w:name w:val="Unresolved Mention100"/>
    <w:basedOn w:val="DefaultParagraphFont"/>
    <w:uiPriority w:val="99"/>
    <w:unhideWhenUsed/>
    <w:rsid w:val="000E23B2"/>
    <w:rPr>
      <w:color w:val="605E5C"/>
      <w:shd w:val="clear" w:color="auto" w:fill="E1DFDD"/>
    </w:rPr>
  </w:style>
  <w:style w:type="character" w:customStyle="1" w:styleId="Mention100">
    <w:name w:val="Mention100"/>
    <w:basedOn w:val="DefaultParagraphFont"/>
    <w:uiPriority w:val="99"/>
    <w:unhideWhenUsed/>
    <w:rsid w:val="000E23B2"/>
    <w:rPr>
      <w:color w:val="2B579A"/>
      <w:shd w:val="clear" w:color="auto" w:fill="E1DFDD"/>
    </w:rPr>
  </w:style>
  <w:style w:type="character" w:customStyle="1" w:styleId="UnresolvedMention1000">
    <w:name w:val="Unresolved Mention1000"/>
    <w:basedOn w:val="DefaultParagraphFont"/>
    <w:uiPriority w:val="99"/>
    <w:unhideWhenUsed/>
    <w:rsid w:val="000E23B2"/>
    <w:rPr>
      <w:color w:val="605E5C"/>
      <w:shd w:val="clear" w:color="auto" w:fill="E1DFDD"/>
    </w:rPr>
  </w:style>
  <w:style w:type="character" w:customStyle="1" w:styleId="Mention1000">
    <w:name w:val="Mention1000"/>
    <w:basedOn w:val="DefaultParagraphFont"/>
    <w:uiPriority w:val="99"/>
    <w:unhideWhenUsed/>
    <w:rsid w:val="000E23B2"/>
    <w:rPr>
      <w:color w:val="2B579A"/>
      <w:shd w:val="clear" w:color="auto" w:fill="E1DFDD"/>
    </w:rPr>
  </w:style>
  <w:style w:type="character" w:customStyle="1" w:styleId="UnresolvedMention10000">
    <w:name w:val="Unresolved Mention10000"/>
    <w:basedOn w:val="DefaultParagraphFont"/>
    <w:uiPriority w:val="99"/>
    <w:unhideWhenUsed/>
    <w:rsid w:val="000E23B2"/>
    <w:rPr>
      <w:color w:val="605E5C"/>
      <w:shd w:val="clear" w:color="auto" w:fill="E1DFDD"/>
    </w:rPr>
  </w:style>
  <w:style w:type="character" w:customStyle="1" w:styleId="Mention10000">
    <w:name w:val="Mention10000"/>
    <w:basedOn w:val="DefaultParagraphFont"/>
    <w:uiPriority w:val="99"/>
    <w:unhideWhenUsed/>
    <w:rsid w:val="000E23B2"/>
    <w:rPr>
      <w:color w:val="2B579A"/>
      <w:shd w:val="clear" w:color="auto" w:fill="E1DFDD"/>
    </w:rPr>
  </w:style>
  <w:style w:type="character" w:customStyle="1" w:styleId="UnresolvedMention100000">
    <w:name w:val="Unresolved Mention100000"/>
    <w:basedOn w:val="DefaultParagraphFont"/>
    <w:uiPriority w:val="99"/>
    <w:unhideWhenUsed/>
    <w:rsid w:val="000E23B2"/>
    <w:rPr>
      <w:color w:val="605E5C"/>
      <w:shd w:val="clear" w:color="auto" w:fill="E1DFDD"/>
    </w:rPr>
  </w:style>
  <w:style w:type="character" w:customStyle="1" w:styleId="Mention100000">
    <w:name w:val="Mention100000"/>
    <w:basedOn w:val="DefaultParagraphFont"/>
    <w:uiPriority w:val="99"/>
    <w:unhideWhenUsed/>
    <w:rsid w:val="000E23B2"/>
    <w:rPr>
      <w:color w:val="2B579A"/>
      <w:shd w:val="clear" w:color="auto" w:fill="E1DFDD"/>
    </w:rPr>
  </w:style>
  <w:style w:type="character" w:styleId="Strong">
    <w:name w:val="Strong"/>
    <w:basedOn w:val="DefaultParagraphFont"/>
    <w:uiPriority w:val="22"/>
    <w:qFormat/>
    <w:rsid w:val="000E23B2"/>
    <w:rPr>
      <w:b/>
      <w:bCs/>
    </w:rPr>
  </w:style>
  <w:style w:type="character" w:customStyle="1" w:styleId="UnresolvedMention1000000">
    <w:name w:val="Unresolved Mention1000000"/>
    <w:basedOn w:val="DefaultParagraphFont"/>
    <w:uiPriority w:val="99"/>
    <w:unhideWhenUsed/>
    <w:rsid w:val="000E23B2"/>
    <w:rPr>
      <w:color w:val="605E5C"/>
      <w:shd w:val="clear" w:color="auto" w:fill="E1DFDD"/>
    </w:rPr>
  </w:style>
  <w:style w:type="character" w:customStyle="1" w:styleId="Mention1000000">
    <w:name w:val="Mention1000000"/>
    <w:basedOn w:val="DefaultParagraphFont"/>
    <w:uiPriority w:val="99"/>
    <w:unhideWhenUsed/>
    <w:rsid w:val="000E23B2"/>
    <w:rPr>
      <w:color w:val="2B579A"/>
      <w:shd w:val="clear" w:color="auto" w:fill="E1DFDD"/>
    </w:rPr>
  </w:style>
  <w:style w:type="character" w:customStyle="1" w:styleId="UnresolvedMention10000000">
    <w:name w:val="Unresolved Mention10000000"/>
    <w:basedOn w:val="DefaultParagraphFont"/>
    <w:uiPriority w:val="99"/>
    <w:unhideWhenUsed/>
    <w:rsid w:val="000E23B2"/>
    <w:rPr>
      <w:color w:val="605E5C"/>
      <w:shd w:val="clear" w:color="auto" w:fill="E1DFDD"/>
    </w:rPr>
  </w:style>
  <w:style w:type="character" w:customStyle="1" w:styleId="Mention10000000">
    <w:name w:val="Mention10000000"/>
    <w:basedOn w:val="DefaultParagraphFont"/>
    <w:uiPriority w:val="99"/>
    <w:unhideWhenUsed/>
    <w:rsid w:val="000E23B2"/>
    <w:rPr>
      <w:color w:val="2B579A"/>
      <w:shd w:val="clear" w:color="auto" w:fill="E1DFDD"/>
    </w:rPr>
  </w:style>
  <w:style w:type="character" w:customStyle="1" w:styleId="UnresolvedMention100000000">
    <w:name w:val="Unresolved Mention100000000"/>
    <w:basedOn w:val="DefaultParagraphFont"/>
    <w:uiPriority w:val="99"/>
    <w:unhideWhenUsed/>
    <w:rsid w:val="000E23B2"/>
    <w:rPr>
      <w:color w:val="605E5C"/>
      <w:shd w:val="clear" w:color="auto" w:fill="E1DFDD"/>
    </w:rPr>
  </w:style>
  <w:style w:type="character" w:customStyle="1" w:styleId="Mention100000000">
    <w:name w:val="Mention100000000"/>
    <w:basedOn w:val="DefaultParagraphFont"/>
    <w:uiPriority w:val="99"/>
    <w:unhideWhenUsed/>
    <w:rsid w:val="000E23B2"/>
    <w:rPr>
      <w:color w:val="2B579A"/>
      <w:shd w:val="clear" w:color="auto" w:fill="E1DFDD"/>
    </w:rPr>
  </w:style>
  <w:style w:type="character" w:customStyle="1" w:styleId="UnresolvedMention1000000000">
    <w:name w:val="Unresolved Mention1000000000"/>
    <w:basedOn w:val="DefaultParagraphFont"/>
    <w:uiPriority w:val="99"/>
    <w:unhideWhenUsed/>
    <w:rsid w:val="000E23B2"/>
    <w:rPr>
      <w:color w:val="605E5C"/>
      <w:shd w:val="clear" w:color="auto" w:fill="E1DFDD"/>
    </w:rPr>
  </w:style>
  <w:style w:type="character" w:customStyle="1" w:styleId="Mention1000000000">
    <w:name w:val="Mention1000000000"/>
    <w:basedOn w:val="DefaultParagraphFont"/>
    <w:uiPriority w:val="99"/>
    <w:unhideWhenUsed/>
    <w:rsid w:val="000E23B2"/>
    <w:rPr>
      <w:color w:val="2B579A"/>
      <w:shd w:val="clear" w:color="auto" w:fill="E1DFDD"/>
    </w:rPr>
  </w:style>
  <w:style w:type="character" w:customStyle="1" w:styleId="UnresolvedMention10000000000">
    <w:name w:val="Unresolved Mention10000000000"/>
    <w:basedOn w:val="DefaultParagraphFont"/>
    <w:uiPriority w:val="99"/>
    <w:unhideWhenUsed/>
    <w:rsid w:val="000E23B2"/>
    <w:rPr>
      <w:color w:val="605E5C"/>
      <w:shd w:val="clear" w:color="auto" w:fill="E1DFDD"/>
    </w:rPr>
  </w:style>
  <w:style w:type="character" w:customStyle="1" w:styleId="Mention10000000000">
    <w:name w:val="Mention10000000000"/>
    <w:basedOn w:val="DefaultParagraphFont"/>
    <w:uiPriority w:val="99"/>
    <w:unhideWhenUsed/>
    <w:rsid w:val="000E23B2"/>
    <w:rPr>
      <w:color w:val="2B579A"/>
      <w:shd w:val="clear" w:color="auto" w:fill="E1DFDD"/>
    </w:rPr>
  </w:style>
  <w:style w:type="character" w:customStyle="1" w:styleId="UnresolvedMention100000000000">
    <w:name w:val="Unresolved Mention100000000000"/>
    <w:basedOn w:val="DefaultParagraphFont"/>
    <w:uiPriority w:val="99"/>
    <w:unhideWhenUsed/>
    <w:rsid w:val="000E23B2"/>
    <w:rPr>
      <w:color w:val="605E5C"/>
      <w:shd w:val="clear" w:color="auto" w:fill="E1DFDD"/>
    </w:rPr>
  </w:style>
  <w:style w:type="character" w:customStyle="1" w:styleId="Mention100000000000">
    <w:name w:val="Mention100000000000"/>
    <w:basedOn w:val="DefaultParagraphFont"/>
    <w:uiPriority w:val="99"/>
    <w:unhideWhenUsed/>
    <w:rsid w:val="000E23B2"/>
    <w:rPr>
      <w:color w:val="2B579A"/>
      <w:shd w:val="clear" w:color="auto" w:fill="E1DFDD"/>
    </w:rPr>
  </w:style>
  <w:style w:type="character" w:customStyle="1" w:styleId="UnresolvedMention1000000000000">
    <w:name w:val="Unresolved Mention1000000000000"/>
    <w:basedOn w:val="DefaultParagraphFont"/>
    <w:uiPriority w:val="99"/>
    <w:unhideWhenUsed/>
    <w:rsid w:val="000E23B2"/>
    <w:rPr>
      <w:color w:val="605E5C"/>
      <w:shd w:val="clear" w:color="auto" w:fill="E1DFDD"/>
    </w:rPr>
  </w:style>
  <w:style w:type="character" w:customStyle="1" w:styleId="Mention1000000000000">
    <w:name w:val="Mention1000000000000"/>
    <w:basedOn w:val="DefaultParagraphFont"/>
    <w:uiPriority w:val="99"/>
    <w:unhideWhenUsed/>
    <w:rsid w:val="000E23B2"/>
    <w:rPr>
      <w:color w:val="2B579A"/>
      <w:shd w:val="clear" w:color="auto" w:fill="E1DFDD"/>
    </w:rPr>
  </w:style>
  <w:style w:type="character" w:customStyle="1" w:styleId="UnresolvedMention10000000000000">
    <w:name w:val="Unresolved Mention10000000000000"/>
    <w:basedOn w:val="DefaultParagraphFont"/>
    <w:uiPriority w:val="99"/>
    <w:unhideWhenUsed/>
    <w:rsid w:val="000E23B2"/>
    <w:rPr>
      <w:color w:val="605E5C"/>
      <w:shd w:val="clear" w:color="auto" w:fill="E1DFDD"/>
    </w:rPr>
  </w:style>
  <w:style w:type="character" w:customStyle="1" w:styleId="Mention10000000000000">
    <w:name w:val="Mention10000000000000"/>
    <w:basedOn w:val="DefaultParagraphFont"/>
    <w:uiPriority w:val="99"/>
    <w:unhideWhenUsed/>
    <w:rsid w:val="000E23B2"/>
    <w:rPr>
      <w:color w:val="2B579A"/>
      <w:shd w:val="clear" w:color="auto" w:fill="E1DFDD"/>
    </w:rPr>
  </w:style>
  <w:style w:type="character" w:customStyle="1" w:styleId="UnresolvedMention100000000000000">
    <w:name w:val="Unresolved Mention100000000000000"/>
    <w:basedOn w:val="DefaultParagraphFont"/>
    <w:uiPriority w:val="99"/>
    <w:unhideWhenUsed/>
    <w:rsid w:val="000E23B2"/>
    <w:rPr>
      <w:color w:val="605E5C"/>
      <w:shd w:val="clear" w:color="auto" w:fill="E1DFDD"/>
    </w:rPr>
  </w:style>
  <w:style w:type="character" w:customStyle="1" w:styleId="Mention100000000000000">
    <w:name w:val="Mention100000000000000"/>
    <w:basedOn w:val="DefaultParagraphFont"/>
    <w:uiPriority w:val="99"/>
    <w:unhideWhenUsed/>
    <w:rsid w:val="000E23B2"/>
    <w:rPr>
      <w:color w:val="2B579A"/>
      <w:shd w:val="clear" w:color="auto" w:fill="E1DFDD"/>
    </w:rPr>
  </w:style>
  <w:style w:type="table" w:customStyle="1" w:styleId="TableGrid3">
    <w:name w:val="Table Grid3"/>
    <w:basedOn w:val="TableNormal"/>
    <w:next w:val="TableGrid"/>
    <w:uiPriority w:val="39"/>
    <w:rsid w:val="000E23B2"/>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qFormat/>
    <w:rsid w:val="000E23B2"/>
    <w:rPr>
      <w:i/>
      <w:iCs/>
    </w:rPr>
  </w:style>
  <w:style w:type="table" w:customStyle="1" w:styleId="TableGrid4">
    <w:name w:val="Table Grid4"/>
    <w:basedOn w:val="TableNormal"/>
    <w:next w:val="TableGrid"/>
    <w:uiPriority w:val="39"/>
    <w:rsid w:val="000E23B2"/>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Normal"/>
    <w:rsid w:val="000E23B2"/>
    <w:rPr>
      <w:rFonts w:ascii="Calibri" w:eastAsiaTheme="minorHAnsi" w:hAnsi="Calibri" w:cs="Calibri"/>
      <w:sz w:val="22"/>
      <w:szCs w:val="22"/>
    </w:rPr>
  </w:style>
  <w:style w:type="paragraph" w:styleId="TOC4">
    <w:name w:val="toc 4"/>
    <w:basedOn w:val="Normal"/>
    <w:next w:val="Normal"/>
    <w:autoRedefine/>
    <w:uiPriority w:val="39"/>
    <w:rsid w:val="000E23B2"/>
    <w:pPr>
      <w:spacing w:after="100"/>
      <w:ind w:left="720"/>
    </w:pPr>
  </w:style>
  <w:style w:type="character" w:customStyle="1" w:styleId="jlqj4b">
    <w:name w:val="jlqj4b"/>
    <w:basedOn w:val="DefaultParagraphFont"/>
    <w:rsid w:val="000E23B2"/>
  </w:style>
  <w:style w:type="paragraph" w:customStyle="1" w:styleId="Normal1">
    <w:name w:val="Normal1"/>
    <w:basedOn w:val="Normal"/>
    <w:rsid w:val="000E23B2"/>
    <w:pPr>
      <w:spacing w:before="100" w:beforeAutospacing="1" w:after="100" w:afterAutospacing="1"/>
    </w:pPr>
    <w:rPr>
      <w:rFonts w:eastAsiaTheme="minorHAnsi"/>
      <w:lang w:val="sr-Latn-RS" w:eastAsia="sr-Latn-RS"/>
    </w:rPr>
  </w:style>
  <w:style w:type="paragraph" w:customStyle="1" w:styleId="Footer1">
    <w:name w:val="Footer1"/>
    <w:basedOn w:val="Normal"/>
    <w:next w:val="Footer"/>
    <w:uiPriority w:val="99"/>
    <w:unhideWhenUsed/>
    <w:rsid w:val="00A90441"/>
    <w:pPr>
      <w:tabs>
        <w:tab w:val="center" w:pos="4680"/>
        <w:tab w:val="right" w:pos="9360"/>
      </w:tabs>
    </w:pPr>
    <w:rPr>
      <w:rFonts w:asciiTheme="minorHAnsi" w:eastAsiaTheme="minorHAnsi" w:hAnsiTheme="minorHAnsi" w:cstheme="minorBidi"/>
      <w:sz w:val="22"/>
      <w:szCs w:val="22"/>
      <w:lang w:val="en-US" w:eastAsia="en-US"/>
    </w:rPr>
  </w:style>
  <w:style w:type="character" w:customStyle="1" w:styleId="FootnoteTextChar1">
    <w:name w:val="Footnote Text Char1"/>
    <w:basedOn w:val="DefaultParagraphFont"/>
    <w:uiPriority w:val="99"/>
    <w:semiHidden/>
    <w:rsid w:val="00A90441"/>
    <w:rPr>
      <w:sz w:val="20"/>
      <w:szCs w:val="20"/>
    </w:rPr>
  </w:style>
  <w:style w:type="table" w:customStyle="1" w:styleId="TableGrid5">
    <w:name w:val="Table Grid5"/>
    <w:basedOn w:val="TableNormal"/>
    <w:next w:val="TableGrid"/>
    <w:rsid w:val="00AC1DAC"/>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EB65DA"/>
    <w:pPr>
      <w:keepLines/>
      <w:numPr>
        <w:numId w:val="0"/>
      </w:numPr>
      <w:spacing w:after="0" w:line="259" w:lineRule="auto"/>
      <w:outlineLvl w:val="9"/>
    </w:pPr>
    <w:rPr>
      <w:rFonts w:asciiTheme="majorHAnsi" w:eastAsiaTheme="majorEastAsia" w:hAnsiTheme="majorHAnsi" w:cstheme="majorBidi"/>
      <w:b w:val="0"/>
      <w:bCs w:val="0"/>
      <w:color w:val="2E74B5" w:themeColor="accent1" w:themeShade="BF"/>
      <w:kern w:val="0"/>
      <w:lang w:val="en-US" w:eastAsia="en-US"/>
    </w:rPr>
  </w:style>
  <w:style w:type="paragraph" w:customStyle="1" w:styleId="Normal2">
    <w:name w:val="Normal2"/>
    <w:basedOn w:val="Normal"/>
    <w:rsid w:val="00F727C9"/>
    <w:pPr>
      <w:spacing w:before="100" w:beforeAutospacing="1" w:after="100" w:afterAutospacing="1"/>
    </w:pPr>
    <w:rPr>
      <w:rFonts w:ascii="Arial" w:hAnsi="Arial" w:cs="Arial"/>
      <w:sz w:val="22"/>
      <w:szCs w:val="22"/>
      <w:lang w:val="en-US" w:eastAsia="en-US"/>
    </w:rPr>
  </w:style>
  <w:style w:type="numbering" w:customStyle="1" w:styleId="NoList1">
    <w:name w:val="No List1"/>
    <w:next w:val="NoList"/>
    <w:uiPriority w:val="99"/>
    <w:semiHidden/>
    <w:unhideWhenUsed/>
    <w:rsid w:val="00C52235"/>
  </w:style>
  <w:style w:type="paragraph" w:customStyle="1" w:styleId="NeAdsectionsubtitle">
    <w:name w:val="NeAd section subtitle"/>
    <w:basedOn w:val="Normal"/>
    <w:rsid w:val="00C52235"/>
    <w:pPr>
      <w:numPr>
        <w:numId w:val="17"/>
      </w:numPr>
      <w:shd w:val="clear" w:color="auto" w:fill="EEE3C4"/>
      <w:spacing w:before="360" w:after="240"/>
    </w:pPr>
    <w:rPr>
      <w:rFonts w:ascii="Calibri" w:hAnsi="Calibri" w:cs="Arial"/>
      <w:b/>
      <w:bCs/>
      <w:color w:val="00417D"/>
      <w:sz w:val="28"/>
      <w:szCs w:val="28"/>
      <w:lang w:eastAsia="en-US"/>
    </w:rPr>
  </w:style>
  <w:style w:type="table" w:customStyle="1" w:styleId="TableGrid6">
    <w:name w:val="Table Grid6"/>
    <w:basedOn w:val="TableNormal"/>
    <w:next w:val="TableGrid"/>
    <w:uiPriority w:val="59"/>
    <w:rsid w:val="006813B1"/>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bold">
    <w:name w:val="normalbold"/>
    <w:basedOn w:val="Normal"/>
    <w:rsid w:val="00755FC8"/>
    <w:pPr>
      <w:spacing w:before="100" w:beforeAutospacing="1" w:after="100" w:afterAutospacing="1"/>
    </w:pPr>
    <w:rPr>
      <w:rFonts w:ascii="Arial" w:hAnsi="Arial" w:cs="Arial"/>
      <w:b/>
      <w:bCs/>
      <w:sz w:val="22"/>
      <w:szCs w:val="22"/>
      <w:lang w:val="en-US" w:eastAsia="en-US"/>
    </w:rPr>
  </w:style>
  <w:style w:type="character" w:customStyle="1" w:styleId="A15">
    <w:name w:val="A15"/>
    <w:uiPriority w:val="99"/>
    <w:rsid w:val="00755FC8"/>
    <w:rPr>
      <w:rFonts w:cs="Minion Pro"/>
      <w:color w:val="000000"/>
      <w:sz w:val="21"/>
      <w:szCs w:val="21"/>
    </w:rPr>
  </w:style>
  <w:style w:type="paragraph" w:customStyle="1" w:styleId="wyq060---pododeljak">
    <w:name w:val="wyq060---pododeljak"/>
    <w:basedOn w:val="Normal"/>
    <w:rsid w:val="00755FC8"/>
    <w:pPr>
      <w:jc w:val="center"/>
    </w:pPr>
    <w:rPr>
      <w:rFonts w:ascii="Arial" w:hAnsi="Arial" w:cs="Arial"/>
      <w:sz w:val="31"/>
      <w:szCs w:val="31"/>
      <w:lang w:val="en-US" w:eastAsia="en-US"/>
    </w:rPr>
  </w:style>
  <w:style w:type="table" w:customStyle="1" w:styleId="TableGrid7">
    <w:name w:val="Table Grid7"/>
    <w:basedOn w:val="TableNormal"/>
    <w:next w:val="TableGrid"/>
    <w:uiPriority w:val="39"/>
    <w:rsid w:val="001F32A0"/>
    <w:pPr>
      <w:spacing w:after="0" w:line="240" w:lineRule="auto"/>
    </w:pPr>
    <w:rPr>
      <w:lang w:val="sr-Cyrl-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rsid w:val="0030648B"/>
    <w:pPr>
      <w:tabs>
        <w:tab w:val="left" w:pos="709"/>
      </w:tabs>
    </w:pPr>
    <w:rPr>
      <w:rFonts w:ascii="Arial Narrow" w:hAnsi="Arial Narrow"/>
      <w:b/>
      <w:sz w:val="26"/>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8142515">
      <w:bodyDiv w:val="1"/>
      <w:marLeft w:val="0"/>
      <w:marRight w:val="0"/>
      <w:marTop w:val="0"/>
      <w:marBottom w:val="0"/>
      <w:divBdr>
        <w:top w:val="none" w:sz="0" w:space="0" w:color="auto"/>
        <w:left w:val="none" w:sz="0" w:space="0" w:color="auto"/>
        <w:bottom w:val="none" w:sz="0" w:space="0" w:color="auto"/>
        <w:right w:val="none" w:sz="0" w:space="0" w:color="auto"/>
      </w:divBdr>
    </w:div>
    <w:div w:id="320282397">
      <w:bodyDiv w:val="1"/>
      <w:marLeft w:val="0"/>
      <w:marRight w:val="0"/>
      <w:marTop w:val="0"/>
      <w:marBottom w:val="0"/>
      <w:divBdr>
        <w:top w:val="none" w:sz="0" w:space="0" w:color="auto"/>
        <w:left w:val="none" w:sz="0" w:space="0" w:color="auto"/>
        <w:bottom w:val="none" w:sz="0" w:space="0" w:color="auto"/>
        <w:right w:val="none" w:sz="0" w:space="0" w:color="auto"/>
      </w:divBdr>
    </w:div>
    <w:div w:id="988098053">
      <w:bodyDiv w:val="1"/>
      <w:marLeft w:val="0"/>
      <w:marRight w:val="0"/>
      <w:marTop w:val="0"/>
      <w:marBottom w:val="0"/>
      <w:divBdr>
        <w:top w:val="none" w:sz="0" w:space="0" w:color="auto"/>
        <w:left w:val="none" w:sz="0" w:space="0" w:color="auto"/>
        <w:bottom w:val="none" w:sz="0" w:space="0" w:color="auto"/>
        <w:right w:val="none" w:sz="0" w:space="0" w:color="auto"/>
      </w:divBdr>
    </w:div>
    <w:div w:id="1163857641">
      <w:bodyDiv w:val="1"/>
      <w:marLeft w:val="0"/>
      <w:marRight w:val="0"/>
      <w:marTop w:val="0"/>
      <w:marBottom w:val="0"/>
      <w:divBdr>
        <w:top w:val="none" w:sz="0" w:space="0" w:color="auto"/>
        <w:left w:val="none" w:sz="0" w:space="0" w:color="auto"/>
        <w:bottom w:val="none" w:sz="0" w:space="0" w:color="auto"/>
        <w:right w:val="none" w:sz="0" w:space="0" w:color="auto"/>
      </w:divBdr>
    </w:div>
    <w:div w:id="1310791771">
      <w:bodyDiv w:val="1"/>
      <w:marLeft w:val="0"/>
      <w:marRight w:val="0"/>
      <w:marTop w:val="0"/>
      <w:marBottom w:val="0"/>
      <w:divBdr>
        <w:top w:val="none" w:sz="0" w:space="0" w:color="auto"/>
        <w:left w:val="none" w:sz="0" w:space="0" w:color="auto"/>
        <w:bottom w:val="none" w:sz="0" w:space="0" w:color="auto"/>
        <w:right w:val="none" w:sz="0" w:space="0" w:color="auto"/>
      </w:divBdr>
    </w:div>
    <w:div w:id="1556623013">
      <w:bodyDiv w:val="1"/>
      <w:marLeft w:val="0"/>
      <w:marRight w:val="0"/>
      <w:marTop w:val="0"/>
      <w:marBottom w:val="0"/>
      <w:divBdr>
        <w:top w:val="none" w:sz="0" w:space="0" w:color="auto"/>
        <w:left w:val="none" w:sz="0" w:space="0" w:color="auto"/>
        <w:bottom w:val="none" w:sz="0" w:space="0" w:color="auto"/>
        <w:right w:val="none" w:sz="0" w:space="0" w:color="auto"/>
      </w:divBdr>
    </w:div>
    <w:div w:id="1674990397">
      <w:bodyDiv w:val="1"/>
      <w:marLeft w:val="0"/>
      <w:marRight w:val="0"/>
      <w:marTop w:val="0"/>
      <w:marBottom w:val="0"/>
      <w:divBdr>
        <w:top w:val="none" w:sz="0" w:space="0" w:color="auto"/>
        <w:left w:val="none" w:sz="0" w:space="0" w:color="auto"/>
        <w:bottom w:val="none" w:sz="0" w:space="0" w:color="auto"/>
        <w:right w:val="none" w:sz="0" w:space="0" w:color="auto"/>
      </w:divBdr>
    </w:div>
    <w:div w:id="1724593652">
      <w:bodyDiv w:val="1"/>
      <w:marLeft w:val="0"/>
      <w:marRight w:val="0"/>
      <w:marTop w:val="0"/>
      <w:marBottom w:val="0"/>
      <w:divBdr>
        <w:top w:val="none" w:sz="0" w:space="0" w:color="auto"/>
        <w:left w:val="none" w:sz="0" w:space="0" w:color="auto"/>
        <w:bottom w:val="none" w:sz="0" w:space="0" w:color="auto"/>
        <w:right w:val="none" w:sz="0" w:space="0" w:color="auto"/>
      </w:divBdr>
    </w:div>
    <w:div w:id="2040743942">
      <w:bodyDiv w:val="1"/>
      <w:marLeft w:val="0"/>
      <w:marRight w:val="0"/>
      <w:marTop w:val="0"/>
      <w:marBottom w:val="0"/>
      <w:divBdr>
        <w:top w:val="none" w:sz="0" w:space="0" w:color="auto"/>
        <w:left w:val="none" w:sz="0" w:space="0" w:color="auto"/>
        <w:bottom w:val="none" w:sz="0" w:space="0" w:color="auto"/>
        <w:right w:val="none" w:sz="0" w:space="0" w:color="auto"/>
      </w:divBdr>
      <w:divsChild>
        <w:div w:id="1187060234">
          <w:marLeft w:val="-225"/>
          <w:marRight w:val="-225"/>
          <w:marTop w:val="0"/>
          <w:marBottom w:val="0"/>
          <w:divBdr>
            <w:top w:val="none" w:sz="0" w:space="0" w:color="auto"/>
            <w:left w:val="none" w:sz="0" w:space="0" w:color="auto"/>
            <w:bottom w:val="none" w:sz="0" w:space="0" w:color="auto"/>
            <w:right w:val="none" w:sz="0" w:space="0" w:color="auto"/>
          </w:divBdr>
          <w:divsChild>
            <w:div w:id="56906726">
              <w:marLeft w:val="0"/>
              <w:marRight w:val="0"/>
              <w:marTop w:val="0"/>
              <w:marBottom w:val="0"/>
              <w:divBdr>
                <w:top w:val="none" w:sz="0" w:space="0" w:color="auto"/>
                <w:left w:val="none" w:sz="0" w:space="0" w:color="auto"/>
                <w:bottom w:val="none" w:sz="0" w:space="0" w:color="auto"/>
                <w:right w:val="none" w:sz="0" w:space="0" w:color="auto"/>
              </w:divBdr>
              <w:divsChild>
                <w:div w:id="1956862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treasury.govt.nz/sites/default/files/2015-09/msoe-combined.pdf" TargetMode="External"/><Relationship Id="rId1" Type="http://schemas.openxmlformats.org/officeDocument/2006/relationships/hyperlink" Target="http://dx.doi.org/10.1787/9789264244160-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60F970-3631-45AF-9D42-06C3E1AC73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41</Pages>
  <Words>11528</Words>
  <Characters>65710</Characters>
  <Application>Microsoft Office Word</Application>
  <DocSecurity>0</DocSecurity>
  <Lines>547</Lines>
  <Paragraphs>154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Irena Bulatovic</dc:creator>
  <cp:keywords/>
  <dc:description/>
  <cp:lastModifiedBy>Bojan Grgic</cp:lastModifiedBy>
  <cp:revision>2</cp:revision>
  <cp:lastPrinted>2021-04-05T07:34:00Z</cp:lastPrinted>
  <dcterms:created xsi:type="dcterms:W3CDTF">2021-04-05T12:01:00Z</dcterms:created>
  <dcterms:modified xsi:type="dcterms:W3CDTF">2021-04-05T12:01:00Z</dcterms:modified>
</cp:coreProperties>
</file>