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2"/>
        <w:gridCol w:w="2028"/>
        <w:gridCol w:w="1215"/>
        <w:gridCol w:w="2158"/>
        <w:gridCol w:w="2079"/>
        <w:gridCol w:w="1368"/>
        <w:gridCol w:w="193"/>
        <w:gridCol w:w="1529"/>
        <w:gridCol w:w="1344"/>
      </w:tblGrid>
      <w:tr w:rsidR="00FD00C3" w:rsidRPr="00FD00C3" w:rsidTr="00CA57B3">
        <w:trPr>
          <w:jc w:val="center"/>
        </w:trPr>
        <w:tc>
          <w:tcPr>
            <w:tcW w:w="3839" w:type="pct"/>
            <w:gridSpan w:val="6"/>
            <w:tcBorders>
              <w:bottom w:val="nil"/>
            </w:tcBorders>
          </w:tcPr>
          <w:p w:rsidR="00FD00C3" w:rsidRPr="00FD00C3" w:rsidRDefault="00FD00C3" w:rsidP="00CA57B3">
            <w:pPr>
              <w:spacing w:before="120" w:after="120"/>
              <w:rPr>
                <w:b/>
                <w:color w:val="000000"/>
                <w:sz w:val="14"/>
                <w:szCs w:val="14"/>
                <w:lang w:val="sr-Cyrl-CS"/>
              </w:rPr>
            </w:pPr>
            <w:r w:rsidRPr="00FD00C3">
              <w:rPr>
                <w:b/>
                <w:color w:val="000000"/>
                <w:sz w:val="14"/>
                <w:szCs w:val="14"/>
                <w:lang w:val="sr-Cyrl-CS"/>
              </w:rPr>
              <w:t>1</w:t>
            </w:r>
            <w:r w:rsidRPr="00FD00C3">
              <w:rPr>
                <w:color w:val="000000"/>
                <w:sz w:val="14"/>
                <w:szCs w:val="14"/>
                <w:lang w:val="sr-Cyrl-CS"/>
              </w:rPr>
              <w:t>.</w:t>
            </w:r>
            <w:r w:rsidRPr="00FD00C3">
              <w:rPr>
                <w:iCs/>
                <w:color w:val="000000"/>
                <w:sz w:val="14"/>
                <w:szCs w:val="14"/>
                <w:lang w:val="sr-Cyrl-CS"/>
              </w:rPr>
              <w:t xml:space="preserve"> </w:t>
            </w:r>
            <w:r w:rsidRPr="00FD00C3">
              <w:rPr>
                <w:color w:val="000000"/>
                <w:sz w:val="14"/>
                <w:szCs w:val="14"/>
                <w:lang w:val="sr-Cyrl-CS"/>
              </w:rPr>
              <w:t>Назив прописа EУ</w:t>
            </w:r>
          </w:p>
        </w:tc>
        <w:tc>
          <w:tcPr>
            <w:tcW w:w="1161" w:type="pct"/>
            <w:gridSpan w:val="3"/>
            <w:tcBorders>
              <w:bottom w:val="nil"/>
            </w:tcBorders>
          </w:tcPr>
          <w:p w:rsidR="00FD00C3" w:rsidRPr="00FD00C3" w:rsidRDefault="00FD00C3" w:rsidP="00CA57B3">
            <w:pPr>
              <w:spacing w:before="120" w:after="120"/>
              <w:rPr>
                <w:color w:val="000000"/>
                <w:sz w:val="14"/>
                <w:szCs w:val="14"/>
                <w:lang w:val="sr-Cyrl-CS"/>
              </w:rPr>
            </w:pPr>
            <w:r w:rsidRPr="00FD00C3">
              <w:rPr>
                <w:b/>
                <w:iCs/>
                <w:color w:val="000000"/>
                <w:sz w:val="14"/>
                <w:szCs w:val="14"/>
                <w:lang w:val="sr-Cyrl-CS"/>
              </w:rPr>
              <w:t>2</w:t>
            </w:r>
            <w:r w:rsidRPr="00FD00C3">
              <w:rPr>
                <w:iCs/>
                <w:color w:val="000000"/>
                <w:sz w:val="14"/>
                <w:szCs w:val="14"/>
                <w:lang w:val="sr-Cyrl-CS"/>
              </w:rPr>
              <w:t>. „CELEX” ознака ЕУ прописа</w:t>
            </w:r>
          </w:p>
        </w:tc>
      </w:tr>
      <w:tr w:rsidR="00FD00C3" w:rsidRPr="00FD00C3" w:rsidTr="00CA57B3">
        <w:trPr>
          <w:jc w:val="center"/>
        </w:trPr>
        <w:tc>
          <w:tcPr>
            <w:tcW w:w="3839" w:type="pct"/>
            <w:gridSpan w:val="6"/>
            <w:tcBorders>
              <w:top w:val="nil"/>
              <w:bottom w:val="single" w:sz="4" w:space="0" w:color="auto"/>
            </w:tcBorders>
          </w:tcPr>
          <w:p w:rsidR="00FD00C3" w:rsidRPr="00FD00C3" w:rsidRDefault="00FD00C3" w:rsidP="00CA57B3">
            <w:pPr>
              <w:rPr>
                <w:sz w:val="14"/>
                <w:szCs w:val="14"/>
                <w:lang w:val="sr-Cyrl-CS"/>
              </w:rPr>
            </w:pPr>
            <w:r w:rsidRPr="00FD00C3">
              <w:rPr>
                <w:bCs/>
                <w:color w:val="000000"/>
                <w:sz w:val="14"/>
                <w:szCs w:val="14"/>
                <w:lang w:val="sr-Cyrl-CS"/>
              </w:rPr>
              <w:t xml:space="preserve">Директива ЕУ о </w:t>
            </w:r>
            <w:r w:rsidRPr="00FD00C3">
              <w:rPr>
                <w:sz w:val="14"/>
                <w:szCs w:val="14"/>
                <w:lang w:val="sr-Cyrl-CS"/>
              </w:rPr>
              <w:t>електронском фактурисању у јавним набавкама</w:t>
            </w:r>
          </w:p>
          <w:p w:rsidR="00FD00C3" w:rsidRPr="00FD00C3" w:rsidRDefault="00FD00C3" w:rsidP="00CA57B3">
            <w:pPr>
              <w:rPr>
                <w:sz w:val="14"/>
                <w:szCs w:val="14"/>
                <w:lang w:val="sr-Cyrl-CS"/>
              </w:rPr>
            </w:pPr>
          </w:p>
          <w:p w:rsidR="00FD00C3" w:rsidRPr="00FD00C3" w:rsidRDefault="00FD00C3" w:rsidP="00CA57B3">
            <w:pPr>
              <w:rPr>
                <w:sz w:val="14"/>
                <w:szCs w:val="14"/>
                <w:lang w:val="sr-Cyrl-CS"/>
              </w:rPr>
            </w:pPr>
            <w:r w:rsidRPr="00FD00C3">
              <w:rPr>
                <w:b/>
                <w:bCs/>
                <w:color w:val="000000"/>
                <w:sz w:val="14"/>
                <w:szCs w:val="14"/>
                <w:lang w:val="sr-Cyrl-CS"/>
              </w:rPr>
              <w:t>Directive 2014/55/EU of the European Parliament and of the Council of 16 April 2014 on electronic invoicing in public procurement Text with EEA relevance</w:t>
            </w:r>
          </w:p>
        </w:tc>
        <w:tc>
          <w:tcPr>
            <w:tcW w:w="1161" w:type="pct"/>
            <w:gridSpan w:val="3"/>
            <w:tcBorders>
              <w:top w:val="nil"/>
              <w:bottom w:val="single" w:sz="4" w:space="0" w:color="auto"/>
            </w:tcBorders>
          </w:tcPr>
          <w:p w:rsidR="00FD00C3" w:rsidRPr="00FD00C3" w:rsidRDefault="00FD00C3" w:rsidP="00CA57B3">
            <w:pPr>
              <w:rPr>
                <w:sz w:val="14"/>
                <w:szCs w:val="14"/>
                <w:lang w:val="sr-Cyrl-CS"/>
              </w:rPr>
            </w:pPr>
          </w:p>
          <w:p w:rsidR="00FD00C3" w:rsidRPr="00FD00C3" w:rsidRDefault="00FD00C3" w:rsidP="00CA57B3">
            <w:pPr>
              <w:rPr>
                <w:iCs/>
                <w:color w:val="000000"/>
                <w:sz w:val="14"/>
                <w:szCs w:val="14"/>
                <w:lang w:val="sr-Cyrl-CS"/>
              </w:rPr>
            </w:pPr>
            <w:r w:rsidRPr="00FD00C3">
              <w:rPr>
                <w:bCs/>
                <w:iCs/>
                <w:sz w:val="14"/>
                <w:szCs w:val="14"/>
                <w:lang w:val="sr-Cyrl-CS"/>
              </w:rPr>
              <w:t>32014L0055</w:t>
            </w:r>
          </w:p>
        </w:tc>
      </w:tr>
      <w:tr w:rsidR="00FD00C3" w:rsidRPr="00FD00C3" w:rsidTr="00CA57B3">
        <w:trPr>
          <w:jc w:val="center"/>
        </w:trPr>
        <w:tc>
          <w:tcPr>
            <w:tcW w:w="3839" w:type="pct"/>
            <w:gridSpan w:val="6"/>
            <w:tcBorders>
              <w:bottom w:val="nil"/>
            </w:tcBorders>
          </w:tcPr>
          <w:p w:rsidR="00FD00C3" w:rsidRPr="00FD00C3" w:rsidRDefault="00FD00C3" w:rsidP="00CA57B3">
            <w:pPr>
              <w:pStyle w:val="FootnoteText"/>
              <w:spacing w:before="120" w:after="120"/>
              <w:jc w:val="both"/>
              <w:rPr>
                <w:rFonts w:ascii="Times New Roman" w:hAnsi="Times New Roman" w:cs="Times New Roman"/>
                <w:iCs/>
                <w:color w:val="000000"/>
                <w:sz w:val="14"/>
                <w:szCs w:val="14"/>
                <w:lang w:val="sr-Cyrl-CS"/>
              </w:rPr>
            </w:pPr>
            <w:r w:rsidRPr="00FD00C3">
              <w:rPr>
                <w:rFonts w:ascii="Times New Roman" w:hAnsi="Times New Roman" w:cs="Times New Roman"/>
                <w:b/>
                <w:color w:val="000000"/>
                <w:sz w:val="14"/>
                <w:szCs w:val="14"/>
                <w:lang w:val="sr-Cyrl-CS"/>
              </w:rPr>
              <w:t>3</w:t>
            </w:r>
            <w:r w:rsidRPr="00FD00C3">
              <w:rPr>
                <w:rFonts w:ascii="Times New Roman" w:hAnsi="Times New Roman" w:cs="Times New Roman"/>
                <w:color w:val="000000"/>
                <w:sz w:val="14"/>
                <w:szCs w:val="14"/>
                <w:lang w:val="sr-Cyrl-CS"/>
              </w:rPr>
              <w:t xml:space="preserve">. </w:t>
            </w:r>
            <w:r w:rsidRPr="00FD00C3">
              <w:rPr>
                <w:rFonts w:ascii="Times New Roman" w:hAnsi="Times New Roman" w:cs="Times New Roman"/>
                <w:iCs/>
                <w:color w:val="000000"/>
                <w:sz w:val="14"/>
                <w:szCs w:val="14"/>
                <w:lang w:val="sr-Cyrl-CS"/>
              </w:rPr>
              <w:t xml:space="preserve"> Овлашћени предлагач прописа – Влада</w:t>
            </w:r>
          </w:p>
        </w:tc>
        <w:tc>
          <w:tcPr>
            <w:tcW w:w="1161" w:type="pct"/>
            <w:gridSpan w:val="3"/>
            <w:tcBorders>
              <w:bottom w:val="nil"/>
            </w:tcBorders>
          </w:tcPr>
          <w:p w:rsidR="00FD00C3" w:rsidRPr="00FD00C3" w:rsidRDefault="00FD00C3" w:rsidP="00CA57B3">
            <w:pPr>
              <w:pStyle w:val="FootnoteText"/>
              <w:spacing w:before="120" w:after="120"/>
              <w:rPr>
                <w:rFonts w:ascii="Times New Roman" w:hAnsi="Times New Roman" w:cs="Times New Roman"/>
                <w:iCs/>
                <w:color w:val="000000"/>
                <w:sz w:val="14"/>
                <w:szCs w:val="14"/>
                <w:lang w:val="sr-Cyrl-CS"/>
              </w:rPr>
            </w:pPr>
            <w:r w:rsidRPr="00FD00C3">
              <w:rPr>
                <w:rFonts w:ascii="Times New Roman" w:hAnsi="Times New Roman" w:cs="Times New Roman"/>
                <w:b/>
                <w:iCs/>
                <w:color w:val="000000"/>
                <w:sz w:val="14"/>
                <w:szCs w:val="14"/>
                <w:lang w:val="sr-Cyrl-CS"/>
              </w:rPr>
              <w:t>4.</w:t>
            </w:r>
            <w:r w:rsidRPr="00FD00C3">
              <w:rPr>
                <w:rFonts w:ascii="Times New Roman" w:hAnsi="Times New Roman" w:cs="Times New Roman"/>
                <w:iCs/>
                <w:color w:val="000000"/>
                <w:sz w:val="14"/>
                <w:szCs w:val="14"/>
                <w:lang w:val="sr-Cyrl-CS"/>
              </w:rPr>
              <w:t xml:space="preserve"> датум израде табеле</w:t>
            </w:r>
          </w:p>
        </w:tc>
      </w:tr>
      <w:tr w:rsidR="00FD00C3" w:rsidRPr="00FD00C3" w:rsidTr="00CA57B3">
        <w:trPr>
          <w:jc w:val="center"/>
        </w:trPr>
        <w:tc>
          <w:tcPr>
            <w:tcW w:w="3839" w:type="pct"/>
            <w:gridSpan w:val="6"/>
            <w:tcBorders>
              <w:top w:val="nil"/>
              <w:bottom w:val="single" w:sz="4" w:space="0" w:color="auto"/>
            </w:tcBorders>
          </w:tcPr>
          <w:p w:rsidR="00FD00C3" w:rsidRPr="00FD00C3" w:rsidRDefault="00FD00C3" w:rsidP="00CA57B3">
            <w:pPr>
              <w:pStyle w:val="FootnoteText"/>
              <w:spacing w:before="120" w:after="120"/>
              <w:rPr>
                <w:rFonts w:ascii="Times New Roman" w:hAnsi="Times New Roman" w:cs="Times New Roman"/>
                <w:iCs/>
                <w:color w:val="000000"/>
                <w:sz w:val="14"/>
                <w:szCs w:val="14"/>
                <w:lang w:val="sr-Cyrl-CS"/>
              </w:rPr>
            </w:pPr>
            <w:r w:rsidRPr="00FD00C3">
              <w:rPr>
                <w:rFonts w:ascii="Times New Roman" w:hAnsi="Times New Roman" w:cs="Times New Roman"/>
                <w:iCs/>
                <w:color w:val="000000"/>
                <w:sz w:val="14"/>
                <w:szCs w:val="14"/>
                <w:lang w:val="sr-Cyrl-CS"/>
              </w:rPr>
              <w:t>Обрађивач: Министарство финансија</w:t>
            </w:r>
          </w:p>
        </w:tc>
        <w:tc>
          <w:tcPr>
            <w:tcW w:w="1161" w:type="pct"/>
            <w:gridSpan w:val="3"/>
            <w:tcBorders>
              <w:top w:val="nil"/>
              <w:bottom w:val="single" w:sz="4" w:space="0" w:color="auto"/>
            </w:tcBorders>
          </w:tcPr>
          <w:p w:rsidR="00FD00C3" w:rsidRPr="00FD00C3" w:rsidRDefault="00FD00C3" w:rsidP="00CA57B3">
            <w:pPr>
              <w:pStyle w:val="FootnoteText"/>
              <w:spacing w:before="120" w:after="120"/>
              <w:rPr>
                <w:rFonts w:ascii="Times New Roman" w:hAnsi="Times New Roman" w:cs="Times New Roman"/>
                <w:iCs/>
                <w:color w:val="000000"/>
                <w:sz w:val="14"/>
                <w:szCs w:val="14"/>
                <w:lang w:val="sr-Cyrl-CS"/>
              </w:rPr>
            </w:pPr>
            <w:r w:rsidRPr="00FD00C3">
              <w:rPr>
                <w:rFonts w:ascii="Times New Roman" w:hAnsi="Times New Roman" w:cs="Times New Roman"/>
                <w:iCs/>
                <w:color w:val="000000"/>
                <w:sz w:val="14"/>
                <w:szCs w:val="14"/>
                <w:lang w:val="sr-Cyrl-CS"/>
              </w:rPr>
              <w:t>12. март 2021. године</w:t>
            </w:r>
          </w:p>
        </w:tc>
      </w:tr>
      <w:tr w:rsidR="00FD00C3" w:rsidRPr="00FD00C3" w:rsidTr="00CA57B3">
        <w:trPr>
          <w:jc w:val="center"/>
        </w:trPr>
        <w:tc>
          <w:tcPr>
            <w:tcW w:w="3839" w:type="pct"/>
            <w:gridSpan w:val="6"/>
            <w:tcBorders>
              <w:bottom w:val="nil"/>
            </w:tcBorders>
          </w:tcPr>
          <w:p w:rsidR="00FD00C3" w:rsidRPr="00FD00C3" w:rsidRDefault="00FD00C3" w:rsidP="00CA57B3">
            <w:pPr>
              <w:pStyle w:val="FootnoteText"/>
              <w:spacing w:before="120" w:after="120"/>
              <w:rPr>
                <w:rFonts w:ascii="Times New Roman" w:hAnsi="Times New Roman" w:cs="Times New Roman"/>
                <w:color w:val="000000"/>
                <w:sz w:val="14"/>
                <w:szCs w:val="14"/>
                <w:lang w:val="sr-Cyrl-CS"/>
              </w:rPr>
            </w:pPr>
            <w:r w:rsidRPr="00FD00C3">
              <w:rPr>
                <w:rFonts w:ascii="Times New Roman" w:hAnsi="Times New Roman" w:cs="Times New Roman"/>
                <w:b/>
                <w:iCs/>
                <w:color w:val="000000"/>
                <w:sz w:val="14"/>
                <w:szCs w:val="14"/>
                <w:lang w:val="sr-Cyrl-CS"/>
              </w:rPr>
              <w:t>5</w:t>
            </w:r>
            <w:r w:rsidRPr="00FD00C3">
              <w:rPr>
                <w:rFonts w:ascii="Times New Roman" w:hAnsi="Times New Roman" w:cs="Times New Roman"/>
                <w:iCs/>
                <w:color w:val="000000"/>
                <w:sz w:val="14"/>
                <w:szCs w:val="14"/>
                <w:lang w:val="sr-Cyrl-CS"/>
              </w:rPr>
              <w:t xml:space="preserve">. </w:t>
            </w:r>
            <w:r w:rsidRPr="00FD00C3">
              <w:rPr>
                <w:rFonts w:ascii="Times New Roman" w:hAnsi="Times New Roman" w:cs="Times New Roman"/>
                <w:color w:val="000000"/>
                <w:sz w:val="14"/>
                <w:szCs w:val="14"/>
                <w:lang w:val="sr-Cyrl-CS"/>
              </w:rPr>
              <w:t xml:space="preserve">Назив (важећег, </w:t>
            </w:r>
            <w:r w:rsidRPr="00FD00C3">
              <w:rPr>
                <w:rFonts w:ascii="Times New Roman" w:hAnsi="Times New Roman" w:cs="Times New Roman"/>
                <w:color w:val="000000"/>
                <w:sz w:val="14"/>
                <w:szCs w:val="14"/>
                <w:lang w:val="sr-Cyrl-CS"/>
              </w:rPr>
              <w:t>Предлог</w:t>
            </w:r>
            <w:r w:rsidRPr="00FD00C3">
              <w:rPr>
                <w:rFonts w:ascii="Times New Roman" w:hAnsi="Times New Roman" w:cs="Times New Roman"/>
                <w:color w:val="000000"/>
                <w:sz w:val="14"/>
                <w:szCs w:val="14"/>
                <w:lang w:val="sr-Cyrl-CS"/>
              </w:rPr>
              <w:t xml:space="preserve">а, предлога) прописа </w:t>
            </w:r>
            <w:r w:rsidRPr="00FD00C3">
              <w:rPr>
                <w:rFonts w:ascii="Times New Roman" w:hAnsi="Times New Roman" w:cs="Times New Roman"/>
                <w:iCs/>
                <w:color w:val="000000"/>
                <w:sz w:val="14"/>
                <w:szCs w:val="14"/>
                <w:lang w:val="sr-Cyrl-CS"/>
              </w:rPr>
              <w:t>чије одредбе су предмет анализе усклађености са прописом ЕУ</w:t>
            </w:r>
          </w:p>
        </w:tc>
        <w:tc>
          <w:tcPr>
            <w:tcW w:w="1161" w:type="pct"/>
            <w:gridSpan w:val="3"/>
            <w:tcBorders>
              <w:bottom w:val="nil"/>
            </w:tcBorders>
          </w:tcPr>
          <w:p w:rsidR="00FD00C3" w:rsidRPr="00FD00C3" w:rsidRDefault="00FD00C3" w:rsidP="00CA57B3">
            <w:pPr>
              <w:pStyle w:val="FootnoteText"/>
              <w:spacing w:before="120" w:after="120"/>
              <w:rPr>
                <w:rFonts w:ascii="Times New Roman" w:hAnsi="Times New Roman" w:cs="Times New Roman"/>
                <w:iCs/>
                <w:color w:val="000000"/>
                <w:sz w:val="14"/>
                <w:szCs w:val="14"/>
                <w:lang w:val="sr-Cyrl-CS"/>
              </w:rPr>
            </w:pPr>
            <w:r w:rsidRPr="00FD00C3">
              <w:rPr>
                <w:rFonts w:ascii="Times New Roman" w:hAnsi="Times New Roman" w:cs="Times New Roman"/>
                <w:b/>
                <w:iCs/>
                <w:color w:val="000000"/>
                <w:sz w:val="14"/>
                <w:szCs w:val="14"/>
                <w:lang w:val="sr-Cyrl-CS"/>
              </w:rPr>
              <w:t>6</w:t>
            </w:r>
            <w:r w:rsidRPr="00FD00C3">
              <w:rPr>
                <w:rFonts w:ascii="Times New Roman" w:hAnsi="Times New Roman" w:cs="Times New Roman"/>
                <w:iCs/>
                <w:color w:val="000000"/>
                <w:sz w:val="14"/>
                <w:szCs w:val="14"/>
                <w:lang w:val="sr-Cyrl-CS"/>
              </w:rPr>
              <w:t>. Бројчане ознаке (шифре) планираних прописа из базе НПИ</w:t>
            </w:r>
          </w:p>
        </w:tc>
      </w:tr>
      <w:tr w:rsidR="00FD00C3" w:rsidRPr="00FD00C3" w:rsidTr="00CA57B3">
        <w:trPr>
          <w:jc w:val="center"/>
        </w:trPr>
        <w:tc>
          <w:tcPr>
            <w:tcW w:w="3839" w:type="pct"/>
            <w:gridSpan w:val="6"/>
            <w:tcBorders>
              <w:top w:val="nil"/>
            </w:tcBorders>
          </w:tcPr>
          <w:p w:rsidR="00FD00C3" w:rsidRPr="00FD00C3" w:rsidRDefault="00FD00C3" w:rsidP="00CA57B3">
            <w:pPr>
              <w:widowControl w:val="0"/>
              <w:autoSpaceDE w:val="0"/>
              <w:autoSpaceDN w:val="0"/>
              <w:adjustRightInd w:val="0"/>
              <w:rPr>
                <w:rFonts w:ascii="Times New Roman CYR" w:hAnsi="Times New Roman CYR" w:cs="Times New Roman CYR"/>
                <w:sz w:val="14"/>
                <w:szCs w:val="14"/>
                <w:lang w:val="sr-Cyrl-CS"/>
              </w:rPr>
            </w:pPr>
            <w:r w:rsidRPr="00FD00C3">
              <w:rPr>
                <w:rFonts w:ascii="Times New Roman CYR" w:hAnsi="Times New Roman CYR" w:cs="Times New Roman CYR"/>
                <w:sz w:val="14"/>
                <w:szCs w:val="14"/>
                <w:lang w:val="sr-Cyrl-CS"/>
              </w:rPr>
              <w:t>Предлог</w:t>
            </w:r>
            <w:r w:rsidRPr="00FD00C3">
              <w:rPr>
                <w:rFonts w:ascii="Times New Roman CYR" w:hAnsi="Times New Roman CYR" w:cs="Times New Roman CYR"/>
                <w:sz w:val="14"/>
                <w:szCs w:val="14"/>
                <w:lang w:val="sr-Cyrl-CS"/>
              </w:rPr>
              <w:t xml:space="preserve"> закона о електронском фактурисању</w:t>
            </w:r>
          </w:p>
          <w:p w:rsidR="00FD00C3" w:rsidRPr="00FD00C3" w:rsidRDefault="00FD00C3" w:rsidP="00CA57B3">
            <w:pPr>
              <w:widowControl w:val="0"/>
              <w:autoSpaceDE w:val="0"/>
              <w:autoSpaceDN w:val="0"/>
              <w:adjustRightInd w:val="0"/>
              <w:rPr>
                <w:sz w:val="14"/>
                <w:szCs w:val="14"/>
                <w:lang w:val="sr-Cyrl-CS"/>
              </w:rPr>
            </w:pPr>
          </w:p>
          <w:p w:rsidR="00FD00C3" w:rsidRPr="00FD00C3" w:rsidRDefault="00FD00C3" w:rsidP="00CA57B3">
            <w:pPr>
              <w:widowControl w:val="0"/>
              <w:autoSpaceDE w:val="0"/>
              <w:autoSpaceDN w:val="0"/>
              <w:adjustRightInd w:val="0"/>
              <w:rPr>
                <w:sz w:val="14"/>
                <w:szCs w:val="14"/>
                <w:lang w:val="sr-Cyrl-CS"/>
              </w:rPr>
            </w:pPr>
            <w:r w:rsidRPr="00FD00C3">
              <w:rPr>
                <w:sz w:val="14"/>
                <w:szCs w:val="14"/>
                <w:lang w:val="sr-Cyrl-CS"/>
              </w:rPr>
              <w:t xml:space="preserve">Draft Law on electronic invoicing </w:t>
            </w:r>
          </w:p>
        </w:tc>
        <w:tc>
          <w:tcPr>
            <w:tcW w:w="1161" w:type="pct"/>
            <w:gridSpan w:val="3"/>
            <w:tcBorders>
              <w:top w:val="nil"/>
            </w:tcBorders>
          </w:tcPr>
          <w:p w:rsidR="00FD00C3" w:rsidRPr="00FD00C3" w:rsidRDefault="00FD00C3" w:rsidP="00CA57B3">
            <w:pPr>
              <w:pStyle w:val="FootnoteText"/>
              <w:spacing w:before="120" w:after="120"/>
              <w:rPr>
                <w:rFonts w:ascii="Times New Roman" w:hAnsi="Times New Roman" w:cs="Times New Roman"/>
                <w:iCs/>
                <w:color w:val="000000"/>
                <w:sz w:val="14"/>
                <w:szCs w:val="14"/>
                <w:lang w:val="sr-Cyrl-CS"/>
              </w:rPr>
            </w:pPr>
          </w:p>
        </w:tc>
      </w:tr>
      <w:tr w:rsidR="00FD00C3" w:rsidRPr="00FD00C3" w:rsidTr="00CA57B3">
        <w:trPr>
          <w:jc w:val="center"/>
        </w:trPr>
        <w:tc>
          <w:tcPr>
            <w:tcW w:w="5000" w:type="pct"/>
            <w:gridSpan w:val="9"/>
          </w:tcPr>
          <w:p w:rsidR="00FD00C3" w:rsidRPr="00FD00C3" w:rsidRDefault="00FD00C3" w:rsidP="00CA57B3">
            <w:pPr>
              <w:spacing w:before="120" w:after="120"/>
              <w:rPr>
                <w:color w:val="000000"/>
                <w:sz w:val="14"/>
                <w:szCs w:val="14"/>
                <w:lang w:val="sr-Cyrl-CS"/>
              </w:rPr>
            </w:pPr>
            <w:r w:rsidRPr="00FD00C3">
              <w:rPr>
                <w:b/>
                <w:color w:val="000000"/>
                <w:sz w:val="14"/>
                <w:szCs w:val="14"/>
                <w:lang w:val="sr-Cyrl-CS"/>
              </w:rPr>
              <w:t>7</w:t>
            </w:r>
            <w:r w:rsidRPr="00FD00C3">
              <w:rPr>
                <w:color w:val="000000"/>
                <w:sz w:val="14"/>
                <w:szCs w:val="14"/>
                <w:lang w:val="sr-Cyrl-CS"/>
              </w:rPr>
              <w:t xml:space="preserve">. </w:t>
            </w:r>
            <w:r w:rsidRPr="00FD00C3">
              <w:rPr>
                <w:iCs/>
                <w:color w:val="000000"/>
                <w:sz w:val="14"/>
                <w:szCs w:val="14"/>
                <w:lang w:val="sr-Cyrl-CS"/>
              </w:rPr>
              <w:t>Усклађеност одредаба прописа са одредбама прописа ЕУ</w:t>
            </w:r>
          </w:p>
        </w:tc>
      </w:tr>
      <w:tr w:rsidR="00FD00C3" w:rsidRPr="00FD00C3" w:rsidTr="00CA57B3">
        <w:trPr>
          <w:jc w:val="center"/>
        </w:trPr>
        <w:tc>
          <w:tcPr>
            <w:tcW w:w="489" w:type="pct"/>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а)</w:t>
            </w:r>
          </w:p>
        </w:tc>
        <w:tc>
          <w:tcPr>
            <w:tcW w:w="768" w:type="pct"/>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а1)</w:t>
            </w:r>
          </w:p>
        </w:tc>
        <w:tc>
          <w:tcPr>
            <w:tcW w:w="460" w:type="pct"/>
          </w:tcPr>
          <w:p w:rsidR="00FD00C3" w:rsidRPr="00FD00C3" w:rsidRDefault="00FD00C3" w:rsidP="00CA57B3">
            <w:pPr>
              <w:spacing w:before="120" w:after="120"/>
              <w:ind w:left="-50"/>
              <w:rPr>
                <w:color w:val="000000"/>
                <w:sz w:val="14"/>
                <w:szCs w:val="14"/>
                <w:lang w:val="sr-Cyrl-CS"/>
              </w:rPr>
            </w:pPr>
            <w:r w:rsidRPr="00FD00C3">
              <w:rPr>
                <w:color w:val="000000"/>
                <w:sz w:val="14"/>
                <w:szCs w:val="14"/>
                <w:lang w:val="sr-Cyrl-CS"/>
              </w:rPr>
              <w:t>б)</w:t>
            </w:r>
          </w:p>
        </w:tc>
        <w:tc>
          <w:tcPr>
            <w:tcW w:w="817" w:type="pct"/>
          </w:tcPr>
          <w:p w:rsidR="00FD00C3" w:rsidRPr="00FD00C3" w:rsidRDefault="00FD00C3" w:rsidP="00CA57B3">
            <w:pPr>
              <w:spacing w:before="120" w:after="120"/>
              <w:ind w:left="-50"/>
              <w:rPr>
                <w:color w:val="000000"/>
                <w:sz w:val="14"/>
                <w:szCs w:val="14"/>
                <w:lang w:val="sr-Cyrl-CS"/>
              </w:rPr>
            </w:pPr>
            <w:r w:rsidRPr="00FD00C3">
              <w:rPr>
                <w:color w:val="000000"/>
                <w:sz w:val="14"/>
                <w:szCs w:val="14"/>
                <w:lang w:val="sr-Cyrl-CS"/>
              </w:rPr>
              <w:t>б1)</w:t>
            </w:r>
          </w:p>
        </w:tc>
        <w:tc>
          <w:tcPr>
            <w:tcW w:w="787" w:type="pct"/>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в)</w:t>
            </w:r>
          </w:p>
        </w:tc>
        <w:tc>
          <w:tcPr>
            <w:tcW w:w="591" w:type="pct"/>
            <w:gridSpan w:val="2"/>
          </w:tcPr>
          <w:p w:rsidR="00FD00C3" w:rsidRPr="00FD00C3" w:rsidRDefault="00FD00C3" w:rsidP="00CA57B3">
            <w:pPr>
              <w:spacing w:before="120" w:after="120"/>
              <w:ind w:firstLine="21"/>
              <w:rPr>
                <w:color w:val="000000"/>
                <w:sz w:val="14"/>
                <w:szCs w:val="14"/>
                <w:lang w:val="sr-Cyrl-CS"/>
              </w:rPr>
            </w:pPr>
            <w:r w:rsidRPr="00FD00C3">
              <w:rPr>
                <w:color w:val="000000"/>
                <w:sz w:val="14"/>
                <w:szCs w:val="14"/>
                <w:lang w:val="sr-Cyrl-CS"/>
              </w:rPr>
              <w:t>г)</w:t>
            </w:r>
          </w:p>
        </w:tc>
        <w:tc>
          <w:tcPr>
            <w:tcW w:w="579" w:type="pct"/>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д)</w:t>
            </w:r>
          </w:p>
        </w:tc>
        <w:tc>
          <w:tcPr>
            <w:tcW w:w="509" w:type="pct"/>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ђ)</w:t>
            </w:r>
          </w:p>
        </w:tc>
      </w:tr>
      <w:tr w:rsidR="00FD00C3" w:rsidRPr="00FD00C3" w:rsidTr="00CA57B3">
        <w:trPr>
          <w:jc w:val="center"/>
        </w:trPr>
        <w:tc>
          <w:tcPr>
            <w:tcW w:w="489" w:type="pct"/>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Одредба прописа ЕУ (члан, став, подстав, тачка, анекс)</w:t>
            </w:r>
          </w:p>
        </w:tc>
        <w:tc>
          <w:tcPr>
            <w:tcW w:w="768" w:type="pct"/>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Садржина одредбе</w:t>
            </w:r>
          </w:p>
        </w:tc>
        <w:tc>
          <w:tcPr>
            <w:tcW w:w="460" w:type="pct"/>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Одредбе прописа</w:t>
            </w:r>
          </w:p>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(члан, став, тачка)</w:t>
            </w:r>
          </w:p>
        </w:tc>
        <w:tc>
          <w:tcPr>
            <w:tcW w:w="817" w:type="pct"/>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Садржина одредбе</w:t>
            </w:r>
          </w:p>
        </w:tc>
        <w:tc>
          <w:tcPr>
            <w:tcW w:w="787" w:type="pct"/>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Усклађеност одредбе прописа са одредбом прописа ЕУ (потпуно усклађено, делимично усклађено, неусклађено, непреносиво)</w:t>
            </w:r>
          </w:p>
        </w:tc>
        <w:tc>
          <w:tcPr>
            <w:tcW w:w="591" w:type="pct"/>
            <w:gridSpan w:val="2"/>
          </w:tcPr>
          <w:p w:rsidR="00FD00C3" w:rsidRPr="00FD00C3" w:rsidRDefault="00FD00C3" w:rsidP="00CA57B3">
            <w:pPr>
              <w:spacing w:before="120" w:after="120"/>
              <w:ind w:firstLine="21"/>
              <w:rPr>
                <w:color w:val="000000"/>
                <w:sz w:val="14"/>
                <w:szCs w:val="14"/>
                <w:lang w:val="sr-Cyrl-CS"/>
              </w:rPr>
            </w:pPr>
            <w:r w:rsidRPr="00FD00C3">
              <w:rPr>
                <w:color w:val="000000"/>
                <w:sz w:val="14"/>
                <w:szCs w:val="14"/>
                <w:lang w:val="sr-Cyrl-CS"/>
              </w:rPr>
              <w:t>Разлози за делимичну усклађеност, неусклађеност или непреносивост</w:t>
            </w:r>
          </w:p>
        </w:tc>
        <w:tc>
          <w:tcPr>
            <w:tcW w:w="579" w:type="pct"/>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Предвиђени датум за постизање потпуне усклађености</w:t>
            </w:r>
          </w:p>
        </w:tc>
        <w:tc>
          <w:tcPr>
            <w:tcW w:w="509" w:type="pct"/>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Напомена о усклађености прописа са прописима ЕУ</w:t>
            </w: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1.1</w:t>
            </w:r>
          </w:p>
          <w:p w:rsidR="00FD00C3" w:rsidRPr="00FD00C3" w:rsidRDefault="00FD00C3" w:rsidP="00CA57B3">
            <w:pPr>
              <w:spacing w:before="120" w:after="120"/>
              <w:ind w:firstLine="5"/>
              <w:rPr>
                <w:color w:val="000000"/>
                <w:sz w:val="14"/>
                <w:szCs w:val="14"/>
                <w:lang w:val="sr-Cyrl-CS"/>
              </w:rPr>
            </w:pPr>
          </w:p>
        </w:tc>
        <w:tc>
          <w:tcPr>
            <w:tcW w:w="768" w:type="pct"/>
            <w:shd w:val="clear" w:color="auto" w:fill="FFFFFF"/>
          </w:tcPr>
          <w:p w:rsidR="00FD00C3" w:rsidRPr="00FD00C3" w:rsidRDefault="00FD00C3" w:rsidP="00CA57B3">
            <w:pPr>
              <w:ind w:firstLine="5"/>
              <w:rPr>
                <w:color w:val="000000"/>
                <w:sz w:val="14"/>
                <w:szCs w:val="14"/>
                <w:lang w:val="sr-Cyrl-CS"/>
              </w:rPr>
            </w:pPr>
            <w:r w:rsidRPr="00FD00C3">
              <w:rPr>
                <w:color w:val="000000"/>
                <w:sz w:val="14"/>
                <w:szCs w:val="14"/>
                <w:lang w:val="sr-Cyrl-CS"/>
              </w:rPr>
              <w:t xml:space="preserve">This Directive shall apply to electronic invoices issued as a result of the performance </w:t>
            </w:r>
          </w:p>
          <w:p w:rsidR="00FD00C3" w:rsidRPr="00FD00C3" w:rsidRDefault="00FD00C3" w:rsidP="00CA57B3">
            <w:pPr>
              <w:ind w:firstLine="5"/>
              <w:rPr>
                <w:color w:val="000000"/>
                <w:sz w:val="14"/>
                <w:szCs w:val="14"/>
                <w:lang w:val="sr-Cyrl-CS"/>
              </w:rPr>
            </w:pPr>
            <w:r w:rsidRPr="00FD00C3">
              <w:rPr>
                <w:color w:val="000000"/>
                <w:sz w:val="14"/>
                <w:szCs w:val="14"/>
                <w:lang w:val="sr-Cyrl-CS"/>
              </w:rPr>
              <w:t>of contracts to which Directive 2009/81/EC, Directive 2014/23/EU, Directive 2014/24/EU or Directive 2014/25/EU applies.</w:t>
            </w:r>
          </w:p>
          <w:p w:rsidR="00FD00C3" w:rsidRPr="00FD00C3" w:rsidRDefault="00FD00C3" w:rsidP="00CA57B3">
            <w:pPr>
              <w:ind w:firstLine="5"/>
              <w:rPr>
                <w:color w:val="000000"/>
                <w:sz w:val="14"/>
                <w:szCs w:val="14"/>
                <w:lang w:val="sr-Cyrl-CS"/>
              </w:rPr>
            </w:pP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1.</w:t>
            </w:r>
          </w:p>
        </w:tc>
        <w:tc>
          <w:tcPr>
            <w:tcW w:w="817" w:type="pct"/>
            <w:shd w:val="clear" w:color="auto" w:fill="FFFFFF"/>
          </w:tcPr>
          <w:p w:rsidR="00FD00C3" w:rsidRPr="00FD00C3" w:rsidRDefault="00FD00C3" w:rsidP="00CA57B3">
            <w:pPr>
              <w:tabs>
                <w:tab w:val="left" w:pos="0"/>
              </w:tabs>
              <w:rPr>
                <w:sz w:val="14"/>
                <w:szCs w:val="14"/>
                <w:lang w:val="sr-Cyrl-CS"/>
              </w:rPr>
            </w:pPr>
            <w:r w:rsidRPr="00FD00C3">
              <w:rPr>
                <w:sz w:val="14"/>
                <w:szCs w:val="14"/>
                <w:lang w:val="sr-Cyrl-CS"/>
              </w:rPr>
              <w:t>Oвим зaкoнoм урeђуjу сe издaвaњe, слaњe, приjeм, oбрaдa, чувaњe, садржина и елементи eлeктрoнских фaктурa, у трaнсaкциjaмa измeђу субjeкaтa jaвнoг сeктoрa, измeђу субjeкaтa привaтнoг сeктoрa, oднoснo измeђу субjeктa jaвнoг и субjeктa привaтнoг сeктoрa и другa питaњa кoja су oд знaчaja зa eлeктрoнскo фaктурисaњe.</w:t>
            </w:r>
          </w:p>
        </w:tc>
        <w:tc>
          <w:tcPr>
            <w:tcW w:w="787" w:type="pct"/>
            <w:shd w:val="clear" w:color="auto" w:fill="FFFFFF"/>
          </w:tcPr>
          <w:p w:rsidR="00FD00C3" w:rsidRPr="00FD00C3" w:rsidRDefault="00FD00C3" w:rsidP="00CA57B3">
            <w:pPr>
              <w:rPr>
                <w:sz w:val="14"/>
                <w:szCs w:val="14"/>
                <w:lang w:val="sr-Cyrl-CS"/>
              </w:rPr>
            </w:pPr>
            <w:r w:rsidRPr="00FD00C3">
              <w:rPr>
                <w:sz w:val="14"/>
                <w:szCs w:val="14"/>
                <w:lang w:val="sr-Cyrl-CS"/>
              </w:rPr>
              <w:t>Потпуно 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r w:rsidRPr="00FD00C3">
              <w:rPr>
                <w:color w:val="000000"/>
                <w:sz w:val="14"/>
                <w:szCs w:val="14"/>
                <w:lang w:val="sr-Cyrl-CS"/>
              </w:rPr>
              <w:t>Предлог</w:t>
            </w:r>
            <w:r w:rsidRPr="00FD00C3">
              <w:rPr>
                <w:color w:val="000000"/>
                <w:sz w:val="14"/>
                <w:szCs w:val="14"/>
                <w:lang w:val="sr-Cyrl-CS"/>
              </w:rPr>
              <w:t>ом закона о електронском фактурисању шири предмет уређивања није утицао на смисао директиве, који је преузет у највећој мери. Директива одређује минималан стандард у погледу круга лица на које се одре</w:t>
            </w:r>
            <w:r w:rsidRPr="00FD00C3">
              <w:rPr>
                <w:color w:val="000000"/>
                <w:sz w:val="14"/>
                <w:szCs w:val="14"/>
                <w:lang w:val="sr-Cyrl-CS"/>
              </w:rPr>
              <w:t>д</w:t>
            </w:r>
            <w:r w:rsidRPr="00FD00C3">
              <w:rPr>
                <w:color w:val="000000"/>
                <w:sz w:val="14"/>
                <w:szCs w:val="14"/>
                <w:lang w:val="sr-Cyrl-CS"/>
              </w:rPr>
              <w:t>бе о електронском фактурисању примењују.</w:t>
            </w: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1.2</w:t>
            </w:r>
          </w:p>
          <w:p w:rsidR="00FD00C3" w:rsidRPr="00FD00C3" w:rsidRDefault="00FD00C3" w:rsidP="00CA57B3">
            <w:pPr>
              <w:spacing w:before="120" w:after="120"/>
              <w:ind w:firstLine="5"/>
              <w:rPr>
                <w:color w:val="000000"/>
                <w:sz w:val="14"/>
                <w:szCs w:val="14"/>
                <w:lang w:val="sr-Cyrl-CS"/>
              </w:rPr>
            </w:pPr>
          </w:p>
        </w:tc>
        <w:tc>
          <w:tcPr>
            <w:tcW w:w="768" w:type="pct"/>
            <w:shd w:val="clear" w:color="auto" w:fill="FFFFFF"/>
          </w:tcPr>
          <w:p w:rsidR="00FD00C3" w:rsidRPr="00FD00C3" w:rsidRDefault="00FD00C3" w:rsidP="00CA57B3">
            <w:pPr>
              <w:ind w:firstLine="5"/>
              <w:rPr>
                <w:color w:val="000000"/>
                <w:sz w:val="14"/>
                <w:szCs w:val="14"/>
                <w:lang w:val="sr-Cyrl-CS"/>
              </w:rPr>
            </w:pPr>
            <w:r w:rsidRPr="00FD00C3">
              <w:rPr>
                <w:color w:val="000000"/>
                <w:sz w:val="14"/>
                <w:szCs w:val="14"/>
                <w:lang w:val="sr-Cyrl-CS"/>
              </w:rPr>
              <w:t>This Directive shall not apply to electronic invoices issued as a result of the performance of contracts falling within the scope of Directive 2009/81/EC, where the procurement and performance of the contract are declared to be secret or must be accompanied by special security measures in accordance with the laws, regulations or administrative provisions in force in a Member State, and provided that the Member State has determined that the essential interests concerned cannot be guaranteed by less intrusive measures.</w:t>
            </w:r>
          </w:p>
          <w:p w:rsidR="00FD00C3" w:rsidRPr="00FD00C3" w:rsidRDefault="00FD00C3" w:rsidP="00CA57B3">
            <w:pPr>
              <w:ind w:firstLine="5"/>
              <w:rPr>
                <w:color w:val="000000"/>
                <w:sz w:val="14"/>
                <w:szCs w:val="14"/>
                <w:lang w:val="sr-Cyrl-CS"/>
              </w:rPr>
            </w:pP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3.2.3</w:t>
            </w:r>
          </w:p>
        </w:tc>
        <w:tc>
          <w:tcPr>
            <w:tcW w:w="817" w:type="pct"/>
            <w:shd w:val="clear" w:color="auto" w:fill="FFFFFF"/>
          </w:tcPr>
          <w:p w:rsidR="00FD00C3" w:rsidRPr="00FD00C3" w:rsidRDefault="00FD00C3" w:rsidP="00CA57B3">
            <w:pPr>
              <w:tabs>
                <w:tab w:val="left" w:pos="0"/>
              </w:tabs>
              <w:rPr>
                <w:sz w:val="14"/>
                <w:szCs w:val="14"/>
                <w:lang w:val="sr-Cyrl-CS"/>
              </w:rPr>
            </w:pPr>
            <w:r w:rsidRPr="00FD00C3">
              <w:rPr>
                <w:sz w:val="14"/>
                <w:szCs w:val="14"/>
                <w:lang w:val="sr-Cyrl-CS"/>
              </w:rPr>
              <w:t>Изузeтнo oд стaвa 1. oвoг члaнa, oбaвeзa издaвaњa eлeктрoнскe фaктурe нe пoстojи зa нaбaвку, мoдeрнизaциjу и рeмoнт нaoружaњa и вojнe oпрeмe, нaбaвку бeзбeднoснo oсeтљивe oпрeмe, кao и сa њимa пoвeзaним нaбaвкaмa дoбaрa, услугa или рaдoвa.</w:t>
            </w:r>
          </w:p>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rPr>
                <w:sz w:val="14"/>
                <w:szCs w:val="14"/>
                <w:lang w:val="sr-Cyrl-CS"/>
              </w:rPr>
            </w:pPr>
            <w:r w:rsidRPr="00FD00C3">
              <w:rPr>
                <w:sz w:val="14"/>
                <w:szCs w:val="14"/>
                <w:lang w:val="sr-Cyrl-CS"/>
              </w:rPr>
              <w:t>Потпуно 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2.1.1.</w:t>
            </w:r>
          </w:p>
        </w:tc>
        <w:tc>
          <w:tcPr>
            <w:tcW w:w="768" w:type="pct"/>
            <w:shd w:val="clear" w:color="auto" w:fill="FFFFFF"/>
          </w:tcPr>
          <w:p w:rsidR="00FD00C3" w:rsidRPr="00FD00C3" w:rsidRDefault="00FD00C3" w:rsidP="00CA57B3">
            <w:pPr>
              <w:ind w:firstLine="5"/>
              <w:rPr>
                <w:sz w:val="14"/>
                <w:szCs w:val="14"/>
                <w:lang w:val="sr-Cyrl-CS"/>
              </w:rPr>
            </w:pPr>
            <w:r w:rsidRPr="00FD00C3">
              <w:rPr>
                <w:sz w:val="14"/>
                <w:szCs w:val="14"/>
                <w:lang w:val="sr-Cyrl-CS"/>
              </w:rPr>
              <w:t>Definition ‘electronic invoice’ means an invoice that has been issued, transmitted and received in a structured electronic format which allows for its automatic and electronic processing</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2.1.4</w:t>
            </w:r>
          </w:p>
        </w:tc>
        <w:tc>
          <w:tcPr>
            <w:tcW w:w="817" w:type="pct"/>
            <w:shd w:val="clear" w:color="auto" w:fill="FFFFFF"/>
          </w:tcPr>
          <w:p w:rsidR="00FD00C3" w:rsidRPr="00FD00C3" w:rsidRDefault="00FD00C3" w:rsidP="00CA57B3">
            <w:pPr>
              <w:ind w:left="-50"/>
              <w:rPr>
                <w:sz w:val="14"/>
                <w:szCs w:val="14"/>
                <w:lang w:val="sr-Cyrl-CS"/>
              </w:rPr>
            </w:pPr>
            <w:r w:rsidRPr="00FD00C3">
              <w:rPr>
                <w:sz w:val="14"/>
                <w:szCs w:val="14"/>
                <w:lang w:val="sr-Cyrl-CS"/>
              </w:rPr>
              <w:t>Појам „eлeктрoнскa фaктурa” je захтев за исплату по основу трансакција са накнадом, сваки други документ који утиче на исплату, односно висину исплате, фактура која се издаје за промет без накнаде, као и примљени аванси, који су издати, послати и примљени у структурираном формату који омогућава потпуно аутоматизовану електронску обраду података посредством система електронских фактура</w:t>
            </w:r>
          </w:p>
        </w:tc>
        <w:tc>
          <w:tcPr>
            <w:tcW w:w="787" w:type="pct"/>
            <w:shd w:val="clear" w:color="auto" w:fill="FFFFFF"/>
          </w:tcPr>
          <w:p w:rsidR="00FD00C3" w:rsidRPr="00FD00C3" w:rsidRDefault="00FD00C3" w:rsidP="00CA57B3">
            <w:pPr>
              <w:rPr>
                <w:sz w:val="14"/>
                <w:szCs w:val="14"/>
                <w:lang w:val="sr-Cyrl-CS"/>
              </w:rPr>
            </w:pPr>
            <w:r w:rsidRPr="00FD00C3">
              <w:rPr>
                <w:sz w:val="14"/>
                <w:szCs w:val="14"/>
                <w:lang w:val="sr-Cyrl-CS"/>
              </w:rPr>
              <w:t>Потпуно 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r w:rsidRPr="00FD00C3">
              <w:rPr>
                <w:color w:val="000000"/>
                <w:sz w:val="14"/>
                <w:szCs w:val="14"/>
                <w:lang w:val="sr-Cyrl-CS"/>
              </w:rPr>
              <w:t>Предлог</w:t>
            </w:r>
            <w:r w:rsidRPr="00FD00C3">
              <w:rPr>
                <w:color w:val="000000"/>
                <w:sz w:val="14"/>
                <w:szCs w:val="14"/>
                <w:lang w:val="sr-Cyrl-CS"/>
              </w:rPr>
              <w:t xml:space="preserve">ом закона о електронском фактурисању шире значење појма </w:t>
            </w:r>
            <w:r w:rsidRPr="00FD00C3">
              <w:rPr>
                <w:sz w:val="14"/>
                <w:szCs w:val="14"/>
                <w:lang w:val="sr-Cyrl-CS"/>
              </w:rPr>
              <w:t>„електронске фактуре“</w:t>
            </w:r>
            <w:r w:rsidRPr="00FD00C3">
              <w:rPr>
                <w:color w:val="000000"/>
                <w:sz w:val="14"/>
                <w:szCs w:val="14"/>
                <w:lang w:val="sr-Cyrl-CS"/>
              </w:rPr>
              <w:t xml:space="preserve"> није утицало на смисао директиве, који је преузет у највећој мери. </w:t>
            </w: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2.1.2.</w:t>
            </w:r>
          </w:p>
        </w:tc>
        <w:tc>
          <w:tcPr>
            <w:tcW w:w="768" w:type="pct"/>
            <w:shd w:val="clear" w:color="auto" w:fill="FFFFFF"/>
          </w:tcPr>
          <w:p w:rsidR="00FD00C3" w:rsidRPr="00FD00C3" w:rsidRDefault="00FD00C3" w:rsidP="00CA57B3">
            <w:pPr>
              <w:pStyle w:val="CM4"/>
              <w:spacing w:before="60" w:after="60"/>
              <w:rPr>
                <w:rFonts w:ascii="Times New Roman" w:hAnsi="Times New Roman"/>
                <w:color w:val="000000"/>
                <w:sz w:val="14"/>
                <w:szCs w:val="14"/>
                <w:highlight w:val="yellow"/>
                <w:lang w:val="sr-Cyrl-CS"/>
              </w:rPr>
            </w:pPr>
            <w:r w:rsidRPr="00FD00C3">
              <w:rPr>
                <w:rFonts w:ascii="Times New Roman" w:hAnsi="Times New Roman"/>
                <w:color w:val="000000"/>
                <w:sz w:val="14"/>
                <w:szCs w:val="14"/>
                <w:lang w:val="sr-Cyrl-CS"/>
              </w:rPr>
              <w:t>Definition ‘core elements of an electronic invoice’ means a set of essential information components which an electronic invoice must contain in order to enable cross-border interoperability, including the necessary information to ensure legal compliance</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7.1</w:t>
            </w: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7.3</w:t>
            </w:r>
          </w:p>
        </w:tc>
        <w:tc>
          <w:tcPr>
            <w:tcW w:w="817" w:type="pct"/>
            <w:shd w:val="clear" w:color="auto" w:fill="FFFFFF"/>
          </w:tcPr>
          <w:p w:rsidR="00FD00C3" w:rsidRPr="00FD00C3" w:rsidRDefault="00FD00C3" w:rsidP="00CA57B3">
            <w:pPr>
              <w:tabs>
                <w:tab w:val="left" w:pos="0"/>
              </w:tabs>
              <w:rPr>
                <w:sz w:val="14"/>
                <w:szCs w:val="14"/>
                <w:lang w:val="sr-Cyrl-CS"/>
              </w:rPr>
            </w:pPr>
            <w:r w:rsidRPr="00FD00C3">
              <w:rPr>
                <w:sz w:val="14"/>
                <w:szCs w:val="14"/>
                <w:lang w:val="sr-Cyrl-CS"/>
              </w:rPr>
              <w:lastRenderedPageBreak/>
              <w:t>Eлeктрoнскa фaктурa уобичајено сaдржи:</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пoслoвнo имe или скрaћeнo пoслoвнo имe, oднoснo нaзив, aдрeсу, пoрeски идeнтификaциoни брoj и мaтични брoj</w:t>
            </w:r>
            <w:r w:rsidRPr="00FD00C3" w:rsidDel="005E109E">
              <w:rPr>
                <w:sz w:val="14"/>
                <w:szCs w:val="14"/>
                <w:lang w:val="sr-Cyrl-CS"/>
              </w:rPr>
              <w:t xml:space="preserve"> </w:t>
            </w:r>
            <w:r w:rsidRPr="00FD00C3">
              <w:rPr>
                <w:sz w:val="14"/>
                <w:szCs w:val="14"/>
                <w:lang w:val="sr-Cyrl-CS"/>
              </w:rPr>
              <w:t>издaвaoцa eлeктрoнскe фaктурe;</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пoслoвни рaчун издaвaoцa eлeктрoнскe фaктурe;</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пoслoвнo имe или скрaћeнo пoслoвнo имe, oднoснo нaзив, aдрeсу и пoрeски идeнтификaциoни брoj и мaтични брoj примaoцa eлeктрoнскe фaктурe;</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пoслoвни рaчун примaoцa eлeктрoнскe фaктурe;</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рeдни брoj, дaтум и мeстo издaвaњa eлeктрoнскe фaктурe;</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дaтум испoрукe дoбaрa oднoснo пружaњa услугa или aвaнснe уплaтe;</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изнoс aвaнсних плaћaњa;</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инструкциje зa плaћaњe;</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пoдaткe o врсти и кoличини испoручeних дoбaрa или врстa и oбим услугa;</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 xml:space="preserve"> изнoс oснoвицe пoрeзa нa дoдaту врeднoст;</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 xml:space="preserve"> пoрeску стoпу пoрeзa нa дoдaту врeднoст;</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 xml:space="preserve"> изнoс пoрeзa нa дoдaту врeднoст кojи je oбрaчунaт нa oснoвицу;</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 xml:space="preserve"> укупaн изнoс eлeктрoнскe фaктурe;</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lastRenderedPageBreak/>
              <w:t xml:space="preserve"> нaпoмeну o oдрeдби зaкoнa кojим сe урeђуje пoрeз нa дoдaту врeднoст нa oснoву кoje ниje oбрaчунaт пoрeз нa дoдaту врeднoст; </w:t>
            </w:r>
          </w:p>
          <w:p w:rsidR="00FD00C3" w:rsidRPr="00FD00C3" w:rsidRDefault="00FD00C3" w:rsidP="00FD00C3">
            <w:pPr>
              <w:numPr>
                <w:ilvl w:val="0"/>
                <w:numId w:val="1"/>
              </w:numPr>
              <w:tabs>
                <w:tab w:val="left" w:pos="0"/>
              </w:tabs>
              <w:rPr>
                <w:sz w:val="14"/>
                <w:szCs w:val="14"/>
                <w:lang w:val="sr-Cyrl-CS"/>
              </w:rPr>
            </w:pPr>
            <w:r w:rsidRPr="00FD00C3">
              <w:rPr>
                <w:sz w:val="14"/>
                <w:szCs w:val="14"/>
                <w:lang w:val="sr-Cyrl-CS"/>
              </w:rPr>
              <w:t>нaпoмeну дa сe зa прoмeт дoбaрa и услугa примeњуje систeм нaплaтe.</w:t>
            </w:r>
          </w:p>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r w:rsidRPr="00FD00C3">
              <w:rPr>
                <w:sz w:val="14"/>
                <w:szCs w:val="14"/>
                <w:lang w:val="sr-Cyrl-CS"/>
              </w:rPr>
              <w:t>Aктoм министрa нaдлeжнoг зa пoслoвe финaнсиja ближe сe урeђуjу минимални садржај фактуре неопходан за њено процесуирање кроз систем, случajeви у кojимa пojeдини eлeмeнти eлeктрoнскe фaктурe мoгу бити изoстaвљeни, случajeви у кojимa je прeдвиђeнa oбaвeзa искaзивaњa дoдaтних eлeмeнaтa, нa oснoву других прoписa кojимa сe урeђуje издaвaњe oдрeђeних врстa фaктурa, као и форма и начин доставе пратеће и друге документације кроз систем електронских фактура.</w:t>
            </w:r>
          </w:p>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rPr>
                <w:sz w:val="14"/>
                <w:szCs w:val="14"/>
                <w:lang w:val="sr-Cyrl-CS"/>
              </w:rPr>
            </w:pPr>
            <w:r w:rsidRPr="00FD00C3">
              <w:rPr>
                <w:sz w:val="14"/>
                <w:szCs w:val="14"/>
                <w:lang w:val="sr-Cyrl-CS"/>
              </w:rPr>
              <w:lastRenderedPageBreak/>
              <w:t>Делимично усклађено</w:t>
            </w:r>
          </w:p>
        </w:tc>
        <w:tc>
          <w:tcPr>
            <w:tcW w:w="591" w:type="pct"/>
            <w:gridSpan w:val="2"/>
            <w:shd w:val="clear" w:color="auto" w:fill="FFFFFF"/>
          </w:tcPr>
          <w:p w:rsidR="00FD00C3" w:rsidRPr="00FD00C3" w:rsidRDefault="00FD00C3" w:rsidP="00FD00C3">
            <w:pPr>
              <w:spacing w:before="120" w:after="120"/>
              <w:rPr>
                <w:color w:val="000000"/>
                <w:sz w:val="14"/>
                <w:szCs w:val="14"/>
                <w:lang w:val="sr-Cyrl-CS"/>
              </w:rPr>
            </w:pPr>
            <w:r w:rsidRPr="00FD00C3">
              <w:rPr>
                <w:color w:val="000000"/>
                <w:sz w:val="14"/>
                <w:szCs w:val="14"/>
                <w:lang w:val="sr-Cyrl-CS"/>
              </w:rPr>
              <w:t xml:space="preserve">Дефиниција није изричито прописана у делу </w:t>
            </w:r>
            <w:r w:rsidRPr="00FD00C3">
              <w:rPr>
                <w:color w:val="000000"/>
                <w:sz w:val="14"/>
                <w:szCs w:val="14"/>
                <w:lang w:val="sr-Cyrl-CS"/>
              </w:rPr>
              <w:t>Предлог</w:t>
            </w:r>
            <w:r w:rsidRPr="00FD00C3">
              <w:rPr>
                <w:color w:val="000000"/>
                <w:sz w:val="14"/>
                <w:szCs w:val="14"/>
                <w:lang w:val="sr-Cyrl-CS"/>
              </w:rPr>
              <w:t xml:space="preserve">а који се односи на значење израза али она произилази из члана 7. </w:t>
            </w:r>
            <w:r w:rsidRPr="00FD00C3">
              <w:rPr>
                <w:color w:val="000000"/>
                <w:sz w:val="14"/>
                <w:szCs w:val="14"/>
                <w:lang w:val="sr-Cyrl-CS"/>
              </w:rPr>
              <w:t>Предлог</w:t>
            </w:r>
            <w:r w:rsidRPr="00FD00C3">
              <w:rPr>
                <w:color w:val="000000"/>
                <w:sz w:val="14"/>
                <w:szCs w:val="14"/>
                <w:lang w:val="sr-Cyrl-CS"/>
              </w:rPr>
              <w:t xml:space="preserve">а – Основни елементи електронске фактуре. Биће предмет даљег усклађивања у подзаконском акту. </w:t>
            </w:r>
          </w:p>
        </w:tc>
        <w:tc>
          <w:tcPr>
            <w:tcW w:w="579" w:type="pct"/>
            <w:shd w:val="clear" w:color="auto" w:fill="FFFFFF"/>
          </w:tcPr>
          <w:p w:rsidR="00FD00C3" w:rsidRPr="00FD00C3" w:rsidRDefault="00FD00C3" w:rsidP="00CA57B3">
            <w:pPr>
              <w:rPr>
                <w:color w:val="000000"/>
                <w:sz w:val="14"/>
                <w:szCs w:val="14"/>
                <w:lang w:val="sr-Cyrl-CS"/>
              </w:rPr>
            </w:pPr>
          </w:p>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2.1.3</w:t>
            </w:r>
          </w:p>
        </w:tc>
        <w:tc>
          <w:tcPr>
            <w:tcW w:w="768" w:type="pct"/>
            <w:shd w:val="clear" w:color="auto" w:fill="FFFFFF"/>
          </w:tcPr>
          <w:p w:rsidR="00FD00C3" w:rsidRPr="00FD00C3" w:rsidRDefault="00FD00C3" w:rsidP="00CA57B3">
            <w:pPr>
              <w:spacing w:before="120" w:after="120"/>
              <w:ind w:firstLine="5"/>
              <w:rPr>
                <w:sz w:val="14"/>
                <w:szCs w:val="14"/>
                <w:highlight w:val="yellow"/>
                <w:lang w:val="sr-Cyrl-CS"/>
              </w:rPr>
            </w:pPr>
            <w:r w:rsidRPr="00FD00C3">
              <w:rPr>
                <w:sz w:val="14"/>
                <w:szCs w:val="14"/>
                <w:lang w:val="sr-Cyrl-CS"/>
              </w:rPr>
              <w:t>Definition ‘semantic data model’ means a structured and logically interrelated set of terms and their meanings that specify the core elements of an electronic invoice</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Неусклађено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Због своје природе ова питања ће бити предмет регулисања у подзаконском акту.</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2.1.4.</w:t>
            </w:r>
          </w:p>
        </w:tc>
        <w:tc>
          <w:tcPr>
            <w:tcW w:w="768" w:type="pct"/>
            <w:shd w:val="clear" w:color="auto" w:fill="FFFFFF"/>
          </w:tcPr>
          <w:p w:rsidR="00FD00C3" w:rsidRPr="00FD00C3" w:rsidRDefault="00FD00C3" w:rsidP="00CA57B3">
            <w:pPr>
              <w:ind w:firstLine="5"/>
              <w:rPr>
                <w:sz w:val="14"/>
                <w:szCs w:val="14"/>
                <w:highlight w:val="yellow"/>
                <w:lang w:val="sr-Cyrl-CS"/>
              </w:rPr>
            </w:pPr>
            <w:r w:rsidRPr="00FD00C3">
              <w:rPr>
                <w:sz w:val="14"/>
                <w:szCs w:val="14"/>
                <w:lang w:val="sr-Cyrl-CS"/>
              </w:rPr>
              <w:t>Definition ‘syntax’ means the machine readable language or dialect used to represent the data elements contained in an electronic invoice</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ind w:left="-50"/>
              <w:rPr>
                <w:sz w:val="14"/>
                <w:szCs w:val="14"/>
                <w:lang w:val="sr-Cyrl-CS"/>
              </w:rPr>
            </w:pPr>
          </w:p>
        </w:tc>
        <w:tc>
          <w:tcPr>
            <w:tcW w:w="787" w:type="pct"/>
            <w:shd w:val="clear" w:color="auto" w:fill="FFFFFF"/>
          </w:tcPr>
          <w:p w:rsidR="00FD00C3" w:rsidRPr="00FD00C3" w:rsidRDefault="00FD00C3" w:rsidP="00CA57B3">
            <w:pPr>
              <w:rPr>
                <w:sz w:val="14"/>
                <w:szCs w:val="14"/>
                <w:lang w:val="sr-Cyrl-CS"/>
              </w:rPr>
            </w:pPr>
            <w:r w:rsidRPr="00FD00C3">
              <w:rPr>
                <w:color w:val="000000"/>
                <w:sz w:val="14"/>
                <w:szCs w:val="14"/>
                <w:lang w:val="sr-Cyrl-CS"/>
              </w:rPr>
              <w:t>Неусклађено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Због своје природе ова питања ће бити предмет регулисања у подзаконском акту.</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2.1.5.</w:t>
            </w:r>
          </w:p>
        </w:tc>
        <w:tc>
          <w:tcPr>
            <w:tcW w:w="768" w:type="pct"/>
            <w:shd w:val="clear" w:color="auto" w:fill="FFFFFF"/>
          </w:tcPr>
          <w:p w:rsidR="00FD00C3" w:rsidRPr="00FD00C3" w:rsidRDefault="00FD00C3" w:rsidP="00CA57B3">
            <w:pPr>
              <w:pStyle w:val="CM4"/>
              <w:spacing w:before="60" w:after="60"/>
              <w:rPr>
                <w:rFonts w:ascii="Times New Roman" w:hAnsi="Times New Roman"/>
                <w:color w:val="000000"/>
                <w:sz w:val="14"/>
                <w:szCs w:val="14"/>
                <w:lang w:val="sr-Cyrl-CS"/>
              </w:rPr>
            </w:pPr>
            <w:r w:rsidRPr="00FD00C3">
              <w:rPr>
                <w:rFonts w:ascii="Times New Roman" w:hAnsi="Times New Roman"/>
                <w:color w:val="000000"/>
                <w:sz w:val="14"/>
                <w:szCs w:val="14"/>
                <w:lang w:val="sr-Cyrl-CS"/>
              </w:rPr>
              <w:t>Definition ‘syntax bindings’ means guidelines on how a semantic data model for an electronic invoice could be represented in the various syntaxes</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rPr>
                <w:sz w:val="14"/>
                <w:szCs w:val="14"/>
                <w:lang w:val="sr-Cyrl-CS"/>
              </w:rPr>
            </w:pPr>
            <w:r w:rsidRPr="00FD00C3">
              <w:rPr>
                <w:color w:val="000000"/>
                <w:sz w:val="14"/>
                <w:szCs w:val="14"/>
                <w:lang w:val="sr-Cyrl-CS"/>
              </w:rPr>
              <w:t>Неусклађено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Због своје природе ова питања ће бити предмет регулисања у подзаконском акту.</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2.1.6</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Definition ‘contracting authorities’ means contracting authorities as defined in point 17 of Article 1 of Directive 2009/81/EC, Article 6(1) of Directive 2014/23/EU and point (1) of Article 2(1) of Directive 2014/24/EU</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2.2</w:t>
            </w: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r w:rsidRPr="00FD00C3">
              <w:rPr>
                <w:sz w:val="14"/>
                <w:szCs w:val="14"/>
                <w:lang w:val="sr-Cyrl-CS"/>
              </w:rPr>
              <w:t>Појам „субjeкт jaвнoг сeктoрa” oзнaчaвa oпшти нивo држaвe у смислу зaкoнa кojи урeђуje буџeтски систeм или jaвнo прeдузeћe, у смислу зaкoнa кojи урeђуje jaвнa прeдузeћa, кoje ниje oбухвaћeнo oпштим нивooм држaвe</w:t>
            </w: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Делимично усклађено</w:t>
            </w:r>
          </w:p>
        </w:tc>
        <w:tc>
          <w:tcPr>
            <w:tcW w:w="591" w:type="pct"/>
            <w:gridSpan w:val="2"/>
            <w:shd w:val="clear" w:color="auto" w:fill="FFFFFF"/>
          </w:tcPr>
          <w:p w:rsidR="00FD00C3" w:rsidRPr="00FD00C3" w:rsidRDefault="00FD00C3" w:rsidP="00CA57B3">
            <w:pPr>
              <w:spacing w:before="120" w:after="120"/>
              <w:rPr>
                <w:i/>
                <w:iCs/>
                <w:color w:val="000000"/>
                <w:sz w:val="14"/>
                <w:szCs w:val="14"/>
                <w:lang w:val="sr-Cyrl-CS"/>
              </w:rPr>
            </w:pPr>
            <w:r w:rsidRPr="00FD00C3">
              <w:rPr>
                <w:color w:val="000000"/>
                <w:sz w:val="14"/>
                <w:szCs w:val="14"/>
                <w:lang w:val="sr-Cyrl-CS"/>
              </w:rPr>
              <w:t xml:space="preserve">Није предмет регулисања овог закона. Дефиниција наручиоца је предмет регулисања Закона о јавним набавкама </w:t>
            </w:r>
            <w:r w:rsidRPr="00FD00C3">
              <w:rPr>
                <w:i/>
                <w:iCs/>
                <w:color w:val="000000"/>
                <w:sz w:val="14"/>
                <w:szCs w:val="14"/>
                <w:lang w:val="sr-Cyrl-CS"/>
              </w:rPr>
              <w:t>("Сл. гласник РС", бр. 91/2019)</w:t>
            </w:r>
          </w:p>
          <w:p w:rsidR="00FD00C3" w:rsidRPr="00FD00C3" w:rsidRDefault="00FD00C3" w:rsidP="00CA57B3">
            <w:pPr>
              <w:spacing w:before="120" w:after="120"/>
              <w:rPr>
                <w:color w:val="000000"/>
                <w:sz w:val="14"/>
                <w:szCs w:val="14"/>
                <w:lang w:val="sr-Cyrl-CS"/>
              </w:rPr>
            </w:pPr>
          </w:p>
        </w:tc>
        <w:tc>
          <w:tcPr>
            <w:tcW w:w="579" w:type="pct"/>
            <w:shd w:val="clear" w:color="auto" w:fill="FFFFFF"/>
          </w:tcPr>
          <w:p w:rsidR="00FD00C3" w:rsidRPr="00FD00C3" w:rsidRDefault="00FD00C3" w:rsidP="00CA57B3">
            <w:pPr>
              <w:rPr>
                <w:color w:val="000000"/>
                <w:sz w:val="14"/>
                <w:szCs w:val="14"/>
                <w:lang w:val="sr-Cyrl-CS"/>
              </w:rPr>
            </w:pPr>
          </w:p>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highlight w:val="yellow"/>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2.1.7.</w:t>
            </w:r>
          </w:p>
        </w:tc>
        <w:tc>
          <w:tcPr>
            <w:tcW w:w="768" w:type="pct"/>
            <w:shd w:val="clear" w:color="auto" w:fill="FFFFFF"/>
          </w:tcPr>
          <w:p w:rsidR="00FD00C3" w:rsidRPr="00FD00C3" w:rsidRDefault="00FD00C3" w:rsidP="00CA57B3">
            <w:pPr>
              <w:pStyle w:val="CM4"/>
              <w:spacing w:before="60" w:after="60"/>
              <w:rPr>
                <w:rFonts w:ascii="Times New Roman" w:hAnsi="Times New Roman"/>
                <w:color w:val="000000"/>
                <w:sz w:val="14"/>
                <w:szCs w:val="14"/>
                <w:lang w:val="sr-Cyrl-CS"/>
              </w:rPr>
            </w:pPr>
            <w:r w:rsidRPr="00FD00C3">
              <w:rPr>
                <w:rFonts w:ascii="Times New Roman" w:hAnsi="Times New Roman"/>
                <w:color w:val="000000"/>
                <w:sz w:val="14"/>
                <w:szCs w:val="14"/>
                <w:lang w:val="sr-Cyrl-CS"/>
              </w:rPr>
              <w:t>Definition ‘sub-central contracting authorities’ means sub-central contracting authorities as defined in point (3) of Article 2(1) of Directive 2014/24/EU</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rPr>
                <w:sz w:val="14"/>
                <w:szCs w:val="14"/>
                <w:lang w:val="sr-Cyrl-CS"/>
              </w:rPr>
            </w:pPr>
            <w:r w:rsidRPr="00FD00C3">
              <w:rPr>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Не постоји обавеза у погледу примене одредби које се односе на субцентрални ниво власти.</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2.1.8</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Definition ‘central purchasing body’ means central purchasing body as defined in point (16) of Article 2(1) of Directive 2014/24/EU</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2.2</w:t>
            </w:r>
          </w:p>
        </w:tc>
        <w:tc>
          <w:tcPr>
            <w:tcW w:w="817" w:type="pct"/>
            <w:shd w:val="clear" w:color="auto" w:fill="FFFFFF"/>
          </w:tcPr>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r w:rsidRPr="00FD00C3">
              <w:rPr>
                <w:sz w:val="14"/>
                <w:szCs w:val="14"/>
                <w:lang w:val="sr-Cyrl-CS"/>
              </w:rPr>
              <w:t>Појам „субjeкт jaвнoг сeктoрa” oзнaчaвa oпшти нивo држaвe у смислу зaкoнa кojи урeђуje буџeтски систeм или jaвнo прeдузeћe, у смислу зaкoнa кojи урeђуje jaвнa прeдузeћa, кoje ниje oбухвaћeнo oпштим нивooм држaвe</w:t>
            </w: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Делимично усклађено</w:t>
            </w:r>
          </w:p>
        </w:tc>
        <w:tc>
          <w:tcPr>
            <w:tcW w:w="591" w:type="pct"/>
            <w:gridSpan w:val="2"/>
            <w:shd w:val="clear" w:color="auto" w:fill="FFFFFF"/>
          </w:tcPr>
          <w:p w:rsidR="00FD00C3" w:rsidRPr="00FD00C3" w:rsidRDefault="00FD00C3" w:rsidP="00CA57B3">
            <w:pPr>
              <w:spacing w:before="120" w:after="120"/>
              <w:rPr>
                <w:i/>
                <w:iCs/>
                <w:color w:val="000000"/>
                <w:sz w:val="14"/>
                <w:szCs w:val="14"/>
                <w:lang w:val="sr-Cyrl-CS"/>
              </w:rPr>
            </w:pPr>
            <w:r w:rsidRPr="00FD00C3">
              <w:rPr>
                <w:color w:val="000000"/>
                <w:sz w:val="14"/>
                <w:szCs w:val="14"/>
                <w:lang w:val="sr-Cyrl-CS"/>
              </w:rPr>
              <w:t>Није предмет регулисања овог закона. Дефини</w:t>
            </w:r>
            <w:r>
              <w:rPr>
                <w:color w:val="000000"/>
                <w:sz w:val="14"/>
                <w:szCs w:val="14"/>
                <w:lang w:val="sr-Cyrl-CS"/>
              </w:rPr>
              <w:t>ци</w:t>
            </w:r>
            <w:r w:rsidRPr="00FD00C3">
              <w:rPr>
                <w:color w:val="000000"/>
                <w:sz w:val="14"/>
                <w:szCs w:val="14"/>
                <w:lang w:val="sr-Cyrl-CS"/>
              </w:rPr>
              <w:t xml:space="preserve">ја тела за централизоване јавне набавке је предмет регулисања Закона о јавним набавкама </w:t>
            </w:r>
            <w:r w:rsidRPr="00FD00C3">
              <w:rPr>
                <w:i/>
                <w:iCs/>
                <w:color w:val="000000"/>
                <w:sz w:val="14"/>
                <w:szCs w:val="14"/>
                <w:lang w:val="sr-Cyrl-CS"/>
              </w:rPr>
              <w:t>("Сл. гласник РС", бр. 91/2019)</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2.1.9</w:t>
            </w:r>
          </w:p>
        </w:tc>
        <w:tc>
          <w:tcPr>
            <w:tcW w:w="768" w:type="pct"/>
            <w:shd w:val="clear" w:color="auto" w:fill="FFFFFF"/>
          </w:tcPr>
          <w:p w:rsidR="00FD00C3" w:rsidRPr="00FD00C3" w:rsidRDefault="00FD00C3" w:rsidP="00CA57B3">
            <w:pPr>
              <w:spacing w:before="120" w:after="120"/>
              <w:ind w:firstLine="5"/>
              <w:rPr>
                <w:sz w:val="14"/>
                <w:szCs w:val="14"/>
                <w:highlight w:val="yellow"/>
                <w:lang w:val="sr-Cyrl-CS"/>
              </w:rPr>
            </w:pPr>
            <w:r w:rsidRPr="00FD00C3">
              <w:rPr>
                <w:sz w:val="14"/>
                <w:szCs w:val="14"/>
                <w:lang w:val="sr-Cyrl-CS"/>
              </w:rPr>
              <w:t>Definition ‘contracting entities’ means contracting entities as defined in point 17 of Article 1 of Directive 2009/81/EC, Article 7(1) and (2) of Directive 2014/23/EU and Article 4(1) of Directive 2014/25/EU</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2.2</w:t>
            </w: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rPr>
                <w:color w:val="000000"/>
                <w:sz w:val="14"/>
                <w:szCs w:val="14"/>
                <w:lang w:val="sr-Cyrl-CS"/>
              </w:rPr>
            </w:pPr>
          </w:p>
          <w:p w:rsidR="00FD00C3" w:rsidRPr="00FD00C3" w:rsidRDefault="00FD00C3" w:rsidP="00CA57B3">
            <w:pPr>
              <w:spacing w:before="120" w:after="120"/>
              <w:rPr>
                <w:color w:val="000000"/>
                <w:sz w:val="14"/>
                <w:szCs w:val="14"/>
                <w:lang w:val="sr-Cyrl-CS"/>
              </w:rPr>
            </w:pPr>
            <w:r w:rsidRPr="00FD00C3">
              <w:rPr>
                <w:color w:val="000000"/>
                <w:sz w:val="14"/>
                <w:szCs w:val="14"/>
                <w:lang w:val="sr-Cyrl-CS"/>
              </w:rPr>
              <w:t>2.3</w:t>
            </w:r>
          </w:p>
        </w:tc>
        <w:tc>
          <w:tcPr>
            <w:tcW w:w="817" w:type="pct"/>
            <w:shd w:val="clear" w:color="auto" w:fill="FFFFFF"/>
          </w:tcPr>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r w:rsidRPr="00FD00C3">
              <w:rPr>
                <w:sz w:val="14"/>
                <w:szCs w:val="14"/>
                <w:lang w:val="sr-Cyrl-CS"/>
              </w:rPr>
              <w:t>Појам „субjeкт jaвнoг сeктoрa” oзнaчaвa oпшти нивo држaвe у смислу зaкoнa кojи урeђуje буџeтски систeм или jaвнo прeдузeћe, у смислу зaкoнa кojи урeђуje jaвнa прeдузeћa, кoje ниje oбухвaћeнo oпштим нивooм држaвe</w:t>
            </w:r>
          </w:p>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r w:rsidRPr="00FD00C3">
              <w:rPr>
                <w:sz w:val="14"/>
                <w:szCs w:val="14"/>
                <w:lang w:val="sr-Cyrl-CS"/>
              </w:rPr>
              <w:t>Појам „субjeкт привaтнoг сeктoрa” je oбвeзник пoрeзa нa дoдaту врeднoст, oсим субjeктa jaвнoг сeктoрa</w:t>
            </w: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Делимично усклађено</w:t>
            </w:r>
          </w:p>
        </w:tc>
        <w:tc>
          <w:tcPr>
            <w:tcW w:w="591" w:type="pct"/>
            <w:gridSpan w:val="2"/>
            <w:shd w:val="clear" w:color="auto" w:fill="FFFFFF"/>
          </w:tcPr>
          <w:p w:rsidR="00FD00C3" w:rsidRPr="00FD00C3" w:rsidRDefault="00FD00C3" w:rsidP="00CA57B3">
            <w:pPr>
              <w:spacing w:before="120" w:after="120"/>
              <w:rPr>
                <w:iCs/>
                <w:color w:val="000000"/>
                <w:sz w:val="14"/>
                <w:szCs w:val="14"/>
                <w:lang w:val="sr-Cyrl-CS"/>
              </w:rPr>
            </w:pPr>
            <w:r w:rsidRPr="00FD00C3">
              <w:rPr>
                <w:iCs/>
                <w:color w:val="000000"/>
                <w:sz w:val="14"/>
                <w:szCs w:val="14"/>
                <w:lang w:val="sr-Cyrl-CS"/>
              </w:rPr>
              <w:t xml:space="preserve">Није предмет регулисања овог закона. Дефиниција наручиоца је предмет регулисања Закона о јавним набавкама </w:t>
            </w:r>
            <w:r w:rsidRPr="00FD00C3">
              <w:rPr>
                <w:i/>
                <w:iCs/>
                <w:color w:val="000000"/>
                <w:sz w:val="14"/>
                <w:szCs w:val="14"/>
                <w:lang w:val="sr-Cyrl-CS"/>
              </w:rPr>
              <w:t>("Сл. гласник РС", бр. 91/2019)</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2.1.10.</w:t>
            </w:r>
          </w:p>
        </w:tc>
        <w:tc>
          <w:tcPr>
            <w:tcW w:w="768" w:type="pct"/>
            <w:shd w:val="clear" w:color="auto" w:fill="FFFFFF"/>
          </w:tcPr>
          <w:p w:rsidR="00FD00C3" w:rsidRPr="00FD00C3" w:rsidRDefault="00FD00C3" w:rsidP="00CA57B3">
            <w:pPr>
              <w:ind w:firstLine="5"/>
              <w:rPr>
                <w:sz w:val="14"/>
                <w:szCs w:val="14"/>
                <w:highlight w:val="yellow"/>
                <w:lang w:val="sr-Cyrl-CS"/>
              </w:rPr>
            </w:pPr>
            <w:r w:rsidRPr="00FD00C3">
              <w:rPr>
                <w:sz w:val="14"/>
                <w:szCs w:val="14"/>
                <w:lang w:val="sr-Cyrl-CS"/>
              </w:rPr>
              <w:t>Definition ‘international standard’ means an international standard as defined in point (a) of Article 2(1) of Regulation (EU) No 1025/2012</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ind w:left="-50"/>
              <w:rPr>
                <w:sz w:val="14"/>
                <w:szCs w:val="14"/>
                <w:lang w:val="sr-Cyrl-CS"/>
              </w:rPr>
            </w:pPr>
          </w:p>
        </w:tc>
        <w:tc>
          <w:tcPr>
            <w:tcW w:w="787" w:type="pct"/>
            <w:shd w:val="clear" w:color="auto" w:fill="FFFFFF"/>
          </w:tcPr>
          <w:p w:rsidR="00FD00C3" w:rsidRPr="00FD00C3" w:rsidRDefault="00FD00C3" w:rsidP="00CA57B3">
            <w:pPr>
              <w:rPr>
                <w:sz w:val="14"/>
                <w:szCs w:val="14"/>
                <w:lang w:val="sr-Cyrl-CS"/>
              </w:rPr>
            </w:pPr>
            <w:r w:rsidRPr="00FD00C3">
              <w:rPr>
                <w:sz w:val="14"/>
                <w:szCs w:val="14"/>
                <w:lang w:val="sr-Cyrl-CS"/>
              </w:rPr>
              <w:t>Непреноциво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Није потребно да се пренесе јер је у међувремену европски стандард додатно прецизиран кроз Спроведбени акт Комисије ЕУ 217/1870 од 16. октобра 2017. године, те његова дефиниција не укључује позивање на међународни стандард.</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2.1.11</w:t>
            </w:r>
          </w:p>
        </w:tc>
        <w:tc>
          <w:tcPr>
            <w:tcW w:w="768" w:type="pct"/>
            <w:shd w:val="clear" w:color="auto" w:fill="FFFFFF"/>
          </w:tcPr>
          <w:p w:rsidR="00FD00C3" w:rsidRPr="00FD00C3" w:rsidRDefault="00FD00C3" w:rsidP="00CA57B3">
            <w:pPr>
              <w:pStyle w:val="CM4"/>
              <w:spacing w:before="60" w:after="60"/>
              <w:rPr>
                <w:rFonts w:ascii="Times New Roman" w:hAnsi="Times New Roman"/>
                <w:color w:val="000000"/>
                <w:sz w:val="14"/>
                <w:szCs w:val="14"/>
                <w:lang w:val="sr-Cyrl-CS"/>
              </w:rPr>
            </w:pPr>
            <w:r w:rsidRPr="00FD00C3">
              <w:rPr>
                <w:rFonts w:ascii="Times New Roman" w:hAnsi="Times New Roman"/>
                <w:color w:val="000000"/>
                <w:sz w:val="14"/>
                <w:szCs w:val="14"/>
                <w:lang w:val="sr-Cyrl-CS"/>
              </w:rPr>
              <w:t>Definition ‘European standard’ means a European standard as defined in point (b) of Article 2(1) of Regulation (EU) No 1025/2012</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2.1.11</w:t>
            </w:r>
          </w:p>
        </w:tc>
        <w:tc>
          <w:tcPr>
            <w:tcW w:w="817" w:type="pct"/>
            <w:shd w:val="clear" w:color="auto" w:fill="FFFFFF"/>
          </w:tcPr>
          <w:p w:rsidR="00FD00C3" w:rsidRPr="00FD00C3" w:rsidRDefault="00FD00C3" w:rsidP="00CA57B3">
            <w:pPr>
              <w:tabs>
                <w:tab w:val="left" w:pos="0"/>
              </w:tabs>
              <w:rPr>
                <w:sz w:val="14"/>
                <w:szCs w:val="14"/>
                <w:lang w:val="sr-Cyrl-CS"/>
              </w:rPr>
            </w:pPr>
            <w:r w:rsidRPr="00FD00C3">
              <w:rPr>
                <w:sz w:val="14"/>
                <w:szCs w:val="14"/>
                <w:lang w:val="sr-Cyrl-CS"/>
              </w:rPr>
              <w:t>Појам „eврoпски стaндaрд eлeктрoнскoг фaктурисaњa” je стaндaрд дoнeт oд стрaнe Eврoпскoг кoмитeтa зa стaндaрдизaциjу (ЦEН) нa oснoву нaлoгa Eврoпскe кoмисиje</w:t>
            </w:r>
          </w:p>
        </w:tc>
        <w:tc>
          <w:tcPr>
            <w:tcW w:w="787" w:type="pct"/>
            <w:shd w:val="clear" w:color="auto" w:fill="FFFFFF"/>
          </w:tcPr>
          <w:p w:rsidR="00FD00C3" w:rsidRPr="00FD00C3" w:rsidRDefault="00FD00C3" w:rsidP="00CA57B3">
            <w:pPr>
              <w:rPr>
                <w:sz w:val="14"/>
                <w:szCs w:val="14"/>
                <w:lang w:val="sr-Cyrl-CS"/>
              </w:rPr>
            </w:pPr>
            <w:r w:rsidRPr="00FD00C3">
              <w:rPr>
                <w:sz w:val="14"/>
                <w:szCs w:val="14"/>
                <w:lang w:val="sr-Cyrl-CS"/>
              </w:rPr>
              <w:t>Потпуно 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3.1</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The Commission shall request that the relevant European standardisation organisation draft a European standard for the semantic data model of the core elements of an electronic invoice (the ‘European standard on electronic invoicing’).</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Одредба ове директиве не успоставља обавезу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3.2</w:t>
            </w:r>
          </w:p>
        </w:tc>
        <w:tc>
          <w:tcPr>
            <w:tcW w:w="768" w:type="pct"/>
            <w:shd w:val="clear" w:color="auto" w:fill="FFFFFF"/>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The Commission shall require that the European standard on electronic invoicing complies at least with the following criteria:</w:t>
            </w:r>
          </w:p>
          <w:tbl>
            <w:tblPr>
              <w:tblW w:w="5000" w:type="pct"/>
              <w:tblCellSpacing w:w="0" w:type="dxa"/>
              <w:tblCellMar>
                <w:left w:w="0" w:type="dxa"/>
                <w:right w:w="0" w:type="dxa"/>
              </w:tblCellMar>
              <w:tblLook w:val="04A0" w:firstRow="1" w:lastRow="0" w:firstColumn="1" w:lastColumn="0" w:noHBand="0" w:noVBand="1"/>
            </w:tblPr>
            <w:tblGrid>
              <w:gridCol w:w="179"/>
              <w:gridCol w:w="1633"/>
            </w:tblGrid>
            <w:tr w:rsidR="00FD00C3" w:rsidRPr="00FD00C3" w:rsidTr="00CA57B3">
              <w:trPr>
                <w:tblCellSpacing w:w="0" w:type="dxa"/>
              </w:trPr>
              <w:tc>
                <w:tcPr>
                  <w:tcW w:w="180"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w:t>
                  </w:r>
                </w:p>
              </w:tc>
              <w:tc>
                <w:tcPr>
                  <w:tcW w:w="1645"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it is technologically neutral,</w:t>
                  </w:r>
                </w:p>
              </w:tc>
            </w:tr>
          </w:tbl>
          <w:p w:rsidR="00FD00C3" w:rsidRPr="00FD00C3" w:rsidRDefault="00FD00C3" w:rsidP="00CA57B3">
            <w:pPr>
              <w:jc w:val="left"/>
              <w:rPr>
                <w:rFonts w:eastAsia="Calibri"/>
                <w:vanish/>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179"/>
              <w:gridCol w:w="1633"/>
            </w:tblGrid>
            <w:tr w:rsidR="00FD00C3" w:rsidRPr="00FD00C3" w:rsidTr="00CA57B3">
              <w:trPr>
                <w:tblCellSpacing w:w="0" w:type="dxa"/>
              </w:trPr>
              <w:tc>
                <w:tcPr>
                  <w:tcW w:w="180"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w:t>
                  </w:r>
                </w:p>
              </w:tc>
              <w:tc>
                <w:tcPr>
                  <w:tcW w:w="1645"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it is compatible with relevant international standards on electronic invoicing,</w:t>
                  </w:r>
                </w:p>
              </w:tc>
            </w:tr>
          </w:tbl>
          <w:p w:rsidR="00FD00C3" w:rsidRPr="00FD00C3" w:rsidRDefault="00FD00C3" w:rsidP="00CA57B3">
            <w:pPr>
              <w:jc w:val="left"/>
              <w:rPr>
                <w:rFonts w:eastAsia="Calibri"/>
                <w:vanish/>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179"/>
              <w:gridCol w:w="1633"/>
            </w:tblGrid>
            <w:tr w:rsidR="00FD00C3" w:rsidRPr="00FD00C3" w:rsidTr="00CA57B3">
              <w:trPr>
                <w:tblCellSpacing w:w="0" w:type="dxa"/>
              </w:trPr>
              <w:tc>
                <w:tcPr>
                  <w:tcW w:w="180"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w:t>
                  </w:r>
                </w:p>
              </w:tc>
              <w:tc>
                <w:tcPr>
                  <w:tcW w:w="1645"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it has regard to the need for personal data protection in accordance with Directive 95/46/EC, to a ‘data protection by design’ approach and to the principles of proportionality, data minimisation and purpose limitation,</w:t>
                  </w:r>
                </w:p>
              </w:tc>
            </w:tr>
          </w:tbl>
          <w:p w:rsidR="00FD00C3" w:rsidRPr="00FD00C3" w:rsidRDefault="00FD00C3" w:rsidP="00CA57B3">
            <w:pPr>
              <w:jc w:val="left"/>
              <w:rPr>
                <w:rFonts w:eastAsia="Calibri"/>
                <w:vanish/>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179"/>
              <w:gridCol w:w="1633"/>
            </w:tblGrid>
            <w:tr w:rsidR="00FD00C3" w:rsidRPr="00FD00C3" w:rsidTr="00CA57B3">
              <w:trPr>
                <w:tblCellSpacing w:w="0" w:type="dxa"/>
              </w:trPr>
              <w:tc>
                <w:tcPr>
                  <w:tcW w:w="180"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w:t>
                  </w:r>
                </w:p>
              </w:tc>
              <w:tc>
                <w:tcPr>
                  <w:tcW w:w="1645"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it is consistent with the relevant provisions of Directive 2006/112/EC,</w:t>
                  </w:r>
                </w:p>
              </w:tc>
            </w:tr>
          </w:tbl>
          <w:p w:rsidR="00FD00C3" w:rsidRPr="00FD00C3" w:rsidRDefault="00FD00C3" w:rsidP="00CA57B3">
            <w:pPr>
              <w:jc w:val="left"/>
              <w:rPr>
                <w:rFonts w:eastAsia="Calibri"/>
                <w:vanish/>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179"/>
              <w:gridCol w:w="1633"/>
            </w:tblGrid>
            <w:tr w:rsidR="00FD00C3" w:rsidRPr="00FD00C3" w:rsidTr="00CA57B3">
              <w:trPr>
                <w:tblCellSpacing w:w="0" w:type="dxa"/>
              </w:trPr>
              <w:tc>
                <w:tcPr>
                  <w:tcW w:w="180"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w:t>
                  </w:r>
                </w:p>
              </w:tc>
              <w:tc>
                <w:tcPr>
                  <w:tcW w:w="1645"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it allows for the establishment of practical, user-friendly, flexible and cost-efficient electronic invoicing systems,</w:t>
                  </w:r>
                </w:p>
              </w:tc>
            </w:tr>
          </w:tbl>
          <w:p w:rsidR="00FD00C3" w:rsidRPr="00FD00C3" w:rsidRDefault="00FD00C3" w:rsidP="00CA57B3">
            <w:pPr>
              <w:jc w:val="left"/>
              <w:rPr>
                <w:rFonts w:eastAsia="Calibri"/>
                <w:vanish/>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180"/>
              <w:gridCol w:w="1632"/>
            </w:tblGrid>
            <w:tr w:rsidR="00FD00C3" w:rsidRPr="00FD00C3" w:rsidTr="00CA57B3">
              <w:trPr>
                <w:tblCellSpacing w:w="0" w:type="dxa"/>
              </w:trPr>
              <w:tc>
                <w:tcPr>
                  <w:tcW w:w="180"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w:t>
                  </w:r>
                </w:p>
              </w:tc>
              <w:tc>
                <w:tcPr>
                  <w:tcW w:w="1645"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it takes into account the special needs of small and medium-sized enterprises as well as of sub-central contracting authorities and contracting entities,</w:t>
                  </w:r>
                </w:p>
              </w:tc>
            </w:tr>
          </w:tbl>
          <w:p w:rsidR="00FD00C3" w:rsidRPr="00FD00C3" w:rsidRDefault="00FD00C3" w:rsidP="00CA57B3">
            <w:pPr>
              <w:jc w:val="left"/>
              <w:rPr>
                <w:rFonts w:eastAsia="Calibri"/>
                <w:vanish/>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179"/>
              <w:gridCol w:w="1633"/>
            </w:tblGrid>
            <w:tr w:rsidR="00FD00C3" w:rsidRPr="00FD00C3" w:rsidTr="00CA57B3">
              <w:trPr>
                <w:tblCellSpacing w:w="0" w:type="dxa"/>
              </w:trPr>
              <w:tc>
                <w:tcPr>
                  <w:tcW w:w="180"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w:t>
                  </w:r>
                </w:p>
              </w:tc>
              <w:tc>
                <w:tcPr>
                  <w:tcW w:w="1645" w:type="dxa"/>
                  <w:hideMark/>
                </w:tcPr>
                <w:p w:rsidR="00FD00C3" w:rsidRPr="00FD00C3" w:rsidRDefault="00FD00C3" w:rsidP="00CA57B3">
                  <w:pPr>
                    <w:jc w:val="left"/>
                    <w:rPr>
                      <w:rFonts w:eastAsia="Calibri"/>
                      <w:sz w:val="14"/>
                      <w:szCs w:val="14"/>
                      <w:lang w:val="sr-Cyrl-CS"/>
                    </w:rPr>
                  </w:pPr>
                  <w:r w:rsidRPr="00FD00C3">
                    <w:rPr>
                      <w:rFonts w:eastAsia="Calibri"/>
                      <w:sz w:val="14"/>
                      <w:szCs w:val="14"/>
                      <w:lang w:val="sr-Cyrl-CS"/>
                    </w:rPr>
                    <w:t>it is suitable for use in commercial transactions between enterprises.</w:t>
                  </w:r>
                </w:p>
                <w:p w:rsidR="00FD00C3" w:rsidRPr="00FD00C3" w:rsidRDefault="00FD00C3" w:rsidP="00CA57B3">
                  <w:pPr>
                    <w:jc w:val="left"/>
                    <w:rPr>
                      <w:rFonts w:eastAsia="Calibri"/>
                      <w:sz w:val="14"/>
                      <w:szCs w:val="14"/>
                      <w:lang w:val="sr-Cyrl-CS"/>
                    </w:rPr>
                  </w:pPr>
                </w:p>
              </w:tc>
            </w:tr>
          </w:tbl>
          <w:p w:rsidR="00FD00C3" w:rsidRPr="00FD00C3" w:rsidRDefault="00FD00C3" w:rsidP="00CA57B3">
            <w:pPr>
              <w:spacing w:before="120" w:after="120"/>
              <w:ind w:firstLine="5"/>
              <w:rPr>
                <w:sz w:val="14"/>
                <w:szCs w:val="14"/>
                <w:lang w:val="sr-Cyrl-CS"/>
              </w:rPr>
            </w:pP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iCs/>
                <w:color w:val="000000"/>
                <w:sz w:val="14"/>
                <w:szCs w:val="14"/>
                <w:lang w:val="sr-Cyrl-CS"/>
              </w:rPr>
            </w:pPr>
            <w:r w:rsidRPr="00FD00C3">
              <w:rPr>
                <w:iCs/>
                <w:color w:val="000000"/>
                <w:sz w:val="14"/>
                <w:szCs w:val="14"/>
                <w:lang w:val="sr-Cyrl-CS"/>
              </w:rPr>
              <w:t>Одредба ове директиве не успоставља обавезу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3.3.</w:t>
            </w:r>
          </w:p>
        </w:tc>
        <w:tc>
          <w:tcPr>
            <w:tcW w:w="768" w:type="pct"/>
            <w:shd w:val="clear" w:color="auto" w:fill="FFFFFF"/>
          </w:tcPr>
          <w:p w:rsidR="00FD00C3" w:rsidRPr="00FD00C3" w:rsidRDefault="00FD00C3" w:rsidP="00CA57B3">
            <w:pPr>
              <w:ind w:firstLine="5"/>
              <w:rPr>
                <w:sz w:val="14"/>
                <w:szCs w:val="14"/>
                <w:lang w:val="sr-Cyrl-CS"/>
              </w:rPr>
            </w:pPr>
            <w:r w:rsidRPr="00FD00C3">
              <w:rPr>
                <w:sz w:val="14"/>
                <w:szCs w:val="14"/>
                <w:lang w:val="sr-Cyrl-CS"/>
              </w:rPr>
              <w:t>The Commission shall request that the relevant European standardisation organisation provide a list with a limited number of syntaxes which comply with the European standard on electronic invoicing, the appropriate syntax bindings and guidelines on transmission interoperability, in order to facilitate the use of such standard</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ind w:left="-50"/>
              <w:rPr>
                <w:sz w:val="14"/>
                <w:szCs w:val="14"/>
                <w:lang w:val="sr-Cyrl-CS"/>
              </w:rPr>
            </w:pPr>
          </w:p>
        </w:tc>
        <w:tc>
          <w:tcPr>
            <w:tcW w:w="787" w:type="pct"/>
            <w:shd w:val="clear" w:color="auto" w:fill="FFFFFF"/>
          </w:tcPr>
          <w:p w:rsidR="00FD00C3" w:rsidRPr="00FD00C3" w:rsidRDefault="00FD00C3" w:rsidP="00CA57B3">
            <w:pPr>
              <w:rPr>
                <w:sz w:val="14"/>
                <w:szCs w:val="14"/>
                <w:lang w:val="sr-Cyrl-CS"/>
              </w:rPr>
            </w:pPr>
          </w:p>
          <w:p w:rsidR="00FD00C3" w:rsidRPr="00FD00C3" w:rsidRDefault="00FD00C3" w:rsidP="00CA57B3">
            <w:pPr>
              <w:rPr>
                <w:sz w:val="14"/>
                <w:szCs w:val="14"/>
                <w:lang w:val="sr-Cyrl-CS"/>
              </w:rPr>
            </w:pPr>
            <w:r w:rsidRPr="00FD00C3">
              <w:rPr>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iCs/>
                <w:color w:val="000000"/>
                <w:sz w:val="14"/>
                <w:szCs w:val="14"/>
                <w:lang w:val="sr-Cyrl-CS"/>
              </w:rPr>
              <w:t>Одредба ове директиве не успоставља обавезу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3.4</w:t>
            </w:r>
          </w:p>
        </w:tc>
        <w:tc>
          <w:tcPr>
            <w:tcW w:w="768" w:type="pct"/>
            <w:shd w:val="clear" w:color="auto" w:fill="FFFFFF"/>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The requests shall be adopted in accordance with the procedure laid down in Article 10(1) to (5) of Regulation (EU) No 1025/2012.</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rPr>
                <w:sz w:val="14"/>
                <w:szCs w:val="14"/>
                <w:lang w:val="sr-Cyrl-CS"/>
              </w:rPr>
            </w:pPr>
          </w:p>
          <w:p w:rsidR="00FD00C3" w:rsidRPr="00FD00C3" w:rsidRDefault="00FD00C3" w:rsidP="00CA57B3">
            <w:pPr>
              <w:rPr>
                <w:sz w:val="14"/>
                <w:szCs w:val="14"/>
                <w:lang w:val="sr-Cyrl-CS"/>
              </w:rPr>
            </w:pPr>
            <w:r w:rsidRPr="00FD00C3">
              <w:rPr>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iCs/>
                <w:color w:val="000000"/>
                <w:sz w:val="14"/>
                <w:szCs w:val="14"/>
                <w:lang w:val="sr-Cyrl-CS"/>
              </w:rPr>
              <w:t>Одредба ове директиве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3.5</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As part of the work to develop the standard by the relevant European standardisation organisation, and within the timeline identified in paragraph 2, the standard shall be tested as to its practical application for an end user. The Commission shall retain overall responsibility for the testing and shall ensure that, during the performance of the test, special account be taken of the respect for the criteria of practicality, user-friendliness and possible implementation costs in accordance with the second subparagraph of paragraph 1. The Commission shall submit a report on the outcome of the test to the European Parliament and the Council</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iCs/>
                <w:color w:val="000000"/>
                <w:sz w:val="14"/>
                <w:szCs w:val="14"/>
                <w:lang w:val="sr-Cyrl-CS"/>
              </w:rPr>
              <w:t>Одредба ове директиве не успоставља обавезу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3.6</w:t>
            </w:r>
          </w:p>
        </w:tc>
        <w:tc>
          <w:tcPr>
            <w:tcW w:w="768" w:type="pct"/>
            <w:shd w:val="clear" w:color="auto" w:fill="FFFFFF"/>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Where the European standard on electronic invoicing, drawn up in accordance with the request referred to in paragraph 1, satisfies the requirements contained therein and where a test phase in accordance with the fifth subparagraph of paragraph 1 has been completed, the Commission shall publish the reference to the standard in the Official Journal of the European Union, together with the list of a limited number of syntaxes drawn up in accordance with the request referred to in paragraph 1. That publication shall be completed by 27 May 2017.</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rPr>
                <w:sz w:val="14"/>
                <w:szCs w:val="14"/>
                <w:lang w:val="sr-Cyrl-CS"/>
              </w:rPr>
            </w:pPr>
          </w:p>
          <w:p w:rsidR="00FD00C3" w:rsidRPr="00FD00C3" w:rsidRDefault="00FD00C3" w:rsidP="00CA57B3">
            <w:pPr>
              <w:rPr>
                <w:sz w:val="14"/>
                <w:szCs w:val="14"/>
                <w:lang w:val="sr-Cyrl-CS"/>
              </w:rPr>
            </w:pPr>
            <w:r w:rsidRPr="00FD00C3">
              <w:rPr>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iCs/>
                <w:color w:val="000000"/>
                <w:sz w:val="14"/>
                <w:szCs w:val="14"/>
                <w:lang w:val="sr-Cyrl-CS"/>
              </w:rPr>
              <w:t>Одредба ове директиве не успоставља обавезу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4</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1.   Where a Member State or the European Parliament considers that the European standard on electronic invoicing and the list of syntaxes do not entirely satisfy the requirements set out in Article 3(1), it shall inform the Commission thereof with a detailed explanation, and the Commission shall decide:</w:t>
            </w:r>
          </w:p>
          <w:tbl>
            <w:tblPr>
              <w:tblW w:w="5000" w:type="pct"/>
              <w:tblCellSpacing w:w="0" w:type="dxa"/>
              <w:tblCellMar>
                <w:left w:w="0" w:type="dxa"/>
                <w:right w:w="0" w:type="dxa"/>
              </w:tblCellMar>
              <w:tblLook w:val="04A0" w:firstRow="1" w:lastRow="0" w:firstColumn="1" w:lastColumn="0" w:noHBand="0" w:noVBand="1"/>
            </w:tblPr>
            <w:tblGrid>
              <w:gridCol w:w="200"/>
              <w:gridCol w:w="1612"/>
            </w:tblGrid>
            <w:tr w:rsidR="00FD00C3" w:rsidRPr="00FD00C3" w:rsidTr="00CA57B3">
              <w:trPr>
                <w:tblCellSpacing w:w="0" w:type="dxa"/>
              </w:trPr>
              <w:tc>
                <w:tcPr>
                  <w:tcW w:w="200" w:type="dxa"/>
                  <w:hideMark/>
                </w:tcPr>
                <w:p w:rsidR="00FD00C3" w:rsidRPr="00FD00C3" w:rsidRDefault="00FD00C3" w:rsidP="00CA57B3">
                  <w:pPr>
                    <w:spacing w:before="120" w:after="120"/>
                    <w:ind w:firstLine="5"/>
                    <w:rPr>
                      <w:sz w:val="14"/>
                      <w:szCs w:val="14"/>
                      <w:lang w:val="sr-Cyrl-CS"/>
                    </w:rPr>
                  </w:pPr>
                  <w:r w:rsidRPr="00FD00C3">
                    <w:rPr>
                      <w:sz w:val="14"/>
                      <w:szCs w:val="14"/>
                      <w:lang w:val="sr-Cyrl-CS"/>
                    </w:rPr>
                    <w:t>(a)</w:t>
                  </w:r>
                </w:p>
              </w:tc>
              <w:tc>
                <w:tcPr>
                  <w:tcW w:w="1625" w:type="dxa"/>
                  <w:hideMark/>
                </w:tcPr>
                <w:p w:rsidR="00FD00C3" w:rsidRPr="00FD00C3" w:rsidRDefault="00FD00C3" w:rsidP="00CA57B3">
                  <w:pPr>
                    <w:spacing w:before="120" w:after="120"/>
                    <w:ind w:firstLine="5"/>
                    <w:rPr>
                      <w:sz w:val="14"/>
                      <w:szCs w:val="14"/>
                      <w:lang w:val="sr-Cyrl-CS"/>
                    </w:rPr>
                  </w:pPr>
                  <w:r w:rsidRPr="00FD00C3">
                    <w:rPr>
                      <w:sz w:val="14"/>
                      <w:szCs w:val="14"/>
                      <w:lang w:val="sr-Cyrl-CS"/>
                    </w:rPr>
                    <w:t>to publish, not to publish, or to publish with restriction the references to the European standard on electronic invoicing and the list of syntaxes concerned in the Official Journal of the European Union;</w:t>
                  </w:r>
                </w:p>
              </w:tc>
            </w:tr>
          </w:tbl>
          <w:p w:rsidR="00FD00C3" w:rsidRPr="00FD00C3" w:rsidRDefault="00FD00C3" w:rsidP="00CA57B3">
            <w:pPr>
              <w:spacing w:before="120" w:after="120"/>
              <w:ind w:firstLine="5"/>
              <w:rPr>
                <w:vanish/>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210"/>
              <w:gridCol w:w="1602"/>
            </w:tblGrid>
            <w:tr w:rsidR="00FD00C3" w:rsidRPr="00FD00C3" w:rsidTr="00CA57B3">
              <w:trPr>
                <w:tblCellSpacing w:w="0" w:type="dxa"/>
              </w:trPr>
              <w:tc>
                <w:tcPr>
                  <w:tcW w:w="210" w:type="dxa"/>
                  <w:hideMark/>
                </w:tcPr>
                <w:p w:rsidR="00FD00C3" w:rsidRPr="00FD00C3" w:rsidRDefault="00FD00C3" w:rsidP="00CA57B3">
                  <w:pPr>
                    <w:spacing w:before="120" w:after="120"/>
                    <w:ind w:firstLine="5"/>
                    <w:rPr>
                      <w:sz w:val="14"/>
                      <w:szCs w:val="14"/>
                      <w:lang w:val="sr-Cyrl-CS"/>
                    </w:rPr>
                  </w:pPr>
                  <w:r w:rsidRPr="00FD00C3">
                    <w:rPr>
                      <w:sz w:val="14"/>
                      <w:szCs w:val="14"/>
                      <w:lang w:val="sr-Cyrl-CS"/>
                    </w:rPr>
                    <w:t>(b)</w:t>
                  </w:r>
                </w:p>
              </w:tc>
              <w:tc>
                <w:tcPr>
                  <w:tcW w:w="1615" w:type="dxa"/>
                  <w:hideMark/>
                </w:tcPr>
                <w:p w:rsidR="00FD00C3" w:rsidRPr="00FD00C3" w:rsidRDefault="00FD00C3" w:rsidP="00CA57B3">
                  <w:pPr>
                    <w:spacing w:before="120" w:after="120"/>
                    <w:ind w:firstLine="5"/>
                    <w:rPr>
                      <w:sz w:val="14"/>
                      <w:szCs w:val="14"/>
                      <w:lang w:val="sr-Cyrl-CS"/>
                    </w:rPr>
                  </w:pPr>
                  <w:r w:rsidRPr="00FD00C3">
                    <w:rPr>
                      <w:sz w:val="14"/>
                      <w:szCs w:val="14"/>
                      <w:lang w:val="sr-Cyrl-CS"/>
                    </w:rPr>
                    <w:t>to maintain, to maintain with restriction or to withdraw the references to the European standard on electronic invoicing and to the list of syntaxes concerned in, or from, the Official Journal of the European Union.</w:t>
                  </w:r>
                </w:p>
              </w:tc>
            </w:tr>
          </w:tbl>
          <w:p w:rsidR="00FD00C3" w:rsidRPr="00FD00C3" w:rsidRDefault="00FD00C3" w:rsidP="00CA57B3">
            <w:pPr>
              <w:spacing w:before="120" w:after="120"/>
              <w:ind w:firstLine="5"/>
              <w:rPr>
                <w:sz w:val="14"/>
                <w:szCs w:val="14"/>
                <w:lang w:val="sr-Cyrl-CS"/>
              </w:rPr>
            </w:pPr>
            <w:r w:rsidRPr="00FD00C3">
              <w:rPr>
                <w:sz w:val="14"/>
                <w:szCs w:val="14"/>
                <w:lang w:val="sr-Cyrl-CS"/>
              </w:rPr>
              <w:t>2.   The Commission shall publish on its website information on the European standard on electronic invoicing and the list of syntaxes that have been subject to the decision referred to in paragraph 1.</w:t>
            </w:r>
          </w:p>
          <w:p w:rsidR="00FD00C3" w:rsidRPr="00FD00C3" w:rsidRDefault="00FD00C3" w:rsidP="00CA57B3">
            <w:pPr>
              <w:spacing w:before="120" w:after="120"/>
              <w:ind w:firstLine="5"/>
              <w:rPr>
                <w:sz w:val="14"/>
                <w:szCs w:val="14"/>
                <w:lang w:val="sr-Cyrl-CS"/>
              </w:rPr>
            </w:pPr>
            <w:r w:rsidRPr="00FD00C3">
              <w:rPr>
                <w:sz w:val="14"/>
                <w:szCs w:val="14"/>
                <w:lang w:val="sr-Cyrl-CS"/>
              </w:rPr>
              <w:t>3.   The Commission shall inform the European standardisation organisation concerned of the decision referred to in paragraph 1 and, if necessary, shall request the revision of the European standard on electronic invoicing or list of syntaxes concerned.</w:t>
            </w:r>
          </w:p>
          <w:p w:rsidR="00FD00C3" w:rsidRPr="00FD00C3" w:rsidRDefault="00FD00C3" w:rsidP="00CA57B3">
            <w:pPr>
              <w:spacing w:before="120" w:after="120"/>
              <w:ind w:firstLine="5"/>
              <w:rPr>
                <w:sz w:val="14"/>
                <w:szCs w:val="14"/>
                <w:lang w:val="sr-Cyrl-CS"/>
              </w:rPr>
            </w:pPr>
            <w:r w:rsidRPr="00FD00C3">
              <w:rPr>
                <w:sz w:val="14"/>
                <w:szCs w:val="14"/>
                <w:lang w:val="sr-Cyrl-CS"/>
              </w:rPr>
              <w:t>4.   The decisions referred to in point (a) and point (b) of paragraph 1 of this Article shall be adopted in accordance with the examination procedure referred to in Article 10(2).</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Непреносиво</w:t>
            </w:r>
          </w:p>
        </w:tc>
        <w:tc>
          <w:tcPr>
            <w:tcW w:w="591" w:type="pct"/>
            <w:gridSpan w:val="2"/>
            <w:shd w:val="clear" w:color="auto" w:fill="FFFFFF"/>
          </w:tcPr>
          <w:p w:rsidR="00FD00C3" w:rsidRPr="00FD00C3" w:rsidRDefault="00FD00C3" w:rsidP="00FD00C3">
            <w:pPr>
              <w:spacing w:before="120" w:after="120"/>
              <w:rPr>
                <w:color w:val="000000"/>
                <w:sz w:val="14"/>
                <w:szCs w:val="14"/>
                <w:lang w:val="sr-Cyrl-CS"/>
              </w:rPr>
            </w:pPr>
            <w:r w:rsidRPr="00FD00C3">
              <w:rPr>
                <w:iCs/>
                <w:color w:val="000000"/>
                <w:sz w:val="14"/>
                <w:szCs w:val="14"/>
                <w:lang w:val="sr-Cyrl-CS"/>
              </w:rPr>
              <w:t>Већина одредби из члана 4 ове директиве не успоставља обавезу за државу чланицу у пог</w:t>
            </w:r>
            <w:bookmarkStart w:id="0" w:name="_GoBack"/>
            <w:bookmarkEnd w:id="0"/>
            <w:r w:rsidRPr="00FD00C3">
              <w:rPr>
                <w:iCs/>
                <w:color w:val="000000"/>
                <w:sz w:val="14"/>
                <w:szCs w:val="14"/>
                <w:lang w:val="sr-Cyrl-CS"/>
              </w:rPr>
              <w:t>леду усклађивања. Осим тога, обавеза из првог става овог члана, у погледу обавеза да држава чланица или Европски парламент информишу Комисију када сматрају да европски стандард о електронском фактурисању не испуњава захтеве из члана 3. став 1. Директиве, није примењива на државе које нису чланице.</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5.</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1.   In order to take into account technological developments and to ensure full and ongoing interoperability in electronic invoicing in public procurement, the Commission may:</w:t>
            </w:r>
          </w:p>
          <w:tbl>
            <w:tblPr>
              <w:tblW w:w="5000" w:type="pct"/>
              <w:tblCellSpacing w:w="0" w:type="dxa"/>
              <w:tblCellMar>
                <w:left w:w="0" w:type="dxa"/>
                <w:right w:w="0" w:type="dxa"/>
              </w:tblCellMar>
              <w:tblLook w:val="04A0" w:firstRow="1" w:lastRow="0" w:firstColumn="1" w:lastColumn="0" w:noHBand="0" w:noVBand="1"/>
            </w:tblPr>
            <w:tblGrid>
              <w:gridCol w:w="200"/>
              <w:gridCol w:w="1612"/>
            </w:tblGrid>
            <w:tr w:rsidR="00FD00C3" w:rsidRPr="00FD00C3" w:rsidTr="00CA57B3">
              <w:trPr>
                <w:tblCellSpacing w:w="0" w:type="dxa"/>
              </w:trPr>
              <w:tc>
                <w:tcPr>
                  <w:tcW w:w="200" w:type="dxa"/>
                  <w:hideMark/>
                </w:tcPr>
                <w:p w:rsidR="00FD00C3" w:rsidRPr="00FD00C3" w:rsidRDefault="00FD00C3" w:rsidP="00CA57B3">
                  <w:pPr>
                    <w:spacing w:before="120" w:after="120"/>
                    <w:ind w:firstLine="5"/>
                    <w:rPr>
                      <w:sz w:val="14"/>
                      <w:szCs w:val="14"/>
                      <w:lang w:val="sr-Cyrl-CS"/>
                    </w:rPr>
                  </w:pPr>
                  <w:r w:rsidRPr="00FD00C3">
                    <w:rPr>
                      <w:sz w:val="14"/>
                      <w:szCs w:val="14"/>
                      <w:lang w:val="sr-Cyrl-CS"/>
                    </w:rPr>
                    <w:t>(a)</w:t>
                  </w:r>
                </w:p>
              </w:tc>
              <w:tc>
                <w:tcPr>
                  <w:tcW w:w="1625" w:type="dxa"/>
                  <w:hideMark/>
                </w:tcPr>
                <w:p w:rsidR="00FD00C3" w:rsidRPr="00FD00C3" w:rsidRDefault="00FD00C3" w:rsidP="00CA57B3">
                  <w:pPr>
                    <w:spacing w:before="120" w:after="120"/>
                    <w:ind w:firstLine="5"/>
                    <w:rPr>
                      <w:sz w:val="14"/>
                      <w:szCs w:val="14"/>
                      <w:lang w:val="sr-Cyrl-CS"/>
                    </w:rPr>
                  </w:pPr>
                  <w:r w:rsidRPr="00FD00C3">
                    <w:rPr>
                      <w:sz w:val="14"/>
                      <w:szCs w:val="14"/>
                      <w:lang w:val="sr-Cyrl-CS"/>
                    </w:rPr>
                    <w:t>update or revise the European standard on electronic invoicing;</w:t>
                  </w:r>
                </w:p>
              </w:tc>
            </w:tr>
          </w:tbl>
          <w:p w:rsidR="00FD00C3" w:rsidRPr="00FD00C3" w:rsidRDefault="00FD00C3" w:rsidP="00CA57B3">
            <w:pPr>
              <w:spacing w:before="120" w:after="120"/>
              <w:ind w:firstLine="5"/>
              <w:rPr>
                <w:vanish/>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209"/>
              <w:gridCol w:w="1603"/>
            </w:tblGrid>
            <w:tr w:rsidR="00FD00C3" w:rsidRPr="00FD00C3" w:rsidTr="00CA57B3">
              <w:trPr>
                <w:tblCellSpacing w:w="0" w:type="dxa"/>
              </w:trPr>
              <w:tc>
                <w:tcPr>
                  <w:tcW w:w="210" w:type="dxa"/>
                  <w:hideMark/>
                </w:tcPr>
                <w:p w:rsidR="00FD00C3" w:rsidRPr="00FD00C3" w:rsidRDefault="00FD00C3" w:rsidP="00CA57B3">
                  <w:pPr>
                    <w:spacing w:before="120" w:after="120"/>
                    <w:ind w:firstLine="5"/>
                    <w:rPr>
                      <w:sz w:val="14"/>
                      <w:szCs w:val="14"/>
                      <w:lang w:val="sr-Cyrl-CS"/>
                    </w:rPr>
                  </w:pPr>
                  <w:r w:rsidRPr="00FD00C3">
                    <w:rPr>
                      <w:sz w:val="14"/>
                      <w:szCs w:val="14"/>
                      <w:lang w:val="sr-Cyrl-CS"/>
                    </w:rPr>
                    <w:t>(b)</w:t>
                  </w:r>
                </w:p>
              </w:tc>
              <w:tc>
                <w:tcPr>
                  <w:tcW w:w="1615" w:type="dxa"/>
                  <w:hideMark/>
                </w:tcPr>
                <w:p w:rsidR="00FD00C3" w:rsidRPr="00FD00C3" w:rsidRDefault="00FD00C3" w:rsidP="00CA57B3">
                  <w:pPr>
                    <w:spacing w:before="120" w:after="120"/>
                    <w:ind w:firstLine="5"/>
                    <w:rPr>
                      <w:sz w:val="14"/>
                      <w:szCs w:val="14"/>
                      <w:lang w:val="sr-Cyrl-CS"/>
                    </w:rPr>
                  </w:pPr>
                  <w:r w:rsidRPr="00FD00C3">
                    <w:rPr>
                      <w:sz w:val="14"/>
                      <w:szCs w:val="14"/>
                      <w:lang w:val="sr-Cyrl-CS"/>
                    </w:rPr>
                    <w:t>update or revise the list of syntaxes published by the Commission in the Official Journal of the European Union.</w:t>
                  </w:r>
                </w:p>
              </w:tc>
            </w:tr>
          </w:tbl>
          <w:p w:rsidR="00FD00C3" w:rsidRPr="00FD00C3" w:rsidRDefault="00FD00C3" w:rsidP="00CA57B3">
            <w:pPr>
              <w:spacing w:before="120" w:after="120"/>
              <w:ind w:firstLine="5"/>
              <w:rPr>
                <w:sz w:val="14"/>
                <w:szCs w:val="14"/>
                <w:lang w:val="sr-Cyrl-CS"/>
              </w:rPr>
            </w:pPr>
            <w:r w:rsidRPr="00FD00C3">
              <w:rPr>
                <w:sz w:val="14"/>
                <w:szCs w:val="14"/>
                <w:lang w:val="sr-Cyrl-CS"/>
              </w:rPr>
              <w:t>2.   Where the Commission decides to undertake the action referred to in point (a) of paragraph 1, it shall make a request to the relevant European standardisation organisation. That request shall be made in accordance with the procedure referred to in Article 3(1) without applying the deadlines provided for therein.</w:t>
            </w:r>
          </w:p>
          <w:p w:rsidR="00FD00C3" w:rsidRPr="00FD00C3" w:rsidRDefault="00FD00C3" w:rsidP="00CA57B3">
            <w:pPr>
              <w:spacing w:before="120" w:after="120"/>
              <w:ind w:firstLine="5"/>
              <w:rPr>
                <w:sz w:val="14"/>
                <w:szCs w:val="14"/>
                <w:lang w:val="sr-Cyrl-CS"/>
              </w:rPr>
            </w:pPr>
            <w:r w:rsidRPr="00FD00C3">
              <w:rPr>
                <w:sz w:val="14"/>
                <w:szCs w:val="14"/>
                <w:lang w:val="sr-Cyrl-CS"/>
              </w:rPr>
              <w:t>3.   Article 4 shall apply to any update or revision undertaken in accordance with point (a) of paragraph 1.</w:t>
            </w:r>
          </w:p>
          <w:p w:rsidR="00FD00C3" w:rsidRPr="00FD00C3" w:rsidRDefault="00FD00C3" w:rsidP="00CA57B3">
            <w:pPr>
              <w:spacing w:before="120" w:after="120"/>
              <w:ind w:firstLine="5"/>
              <w:rPr>
                <w:sz w:val="14"/>
                <w:szCs w:val="14"/>
                <w:lang w:val="sr-Cyrl-CS"/>
              </w:rPr>
            </w:pPr>
            <w:r w:rsidRPr="00FD00C3">
              <w:rPr>
                <w:sz w:val="14"/>
                <w:szCs w:val="14"/>
                <w:lang w:val="sr-Cyrl-CS"/>
              </w:rPr>
              <w:t>4.   Where the Commission decides to undertake the action referred to in point (b) of paragraph 1, it shall do so either in accordance with the examination procedure referred to in Article 10(2) or by making a request to the relevant European standardisation organisation. Such request shall be made in accordance with the procedure referred to in Article 3(1) without applying the deadlines provided for therein.</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iCs/>
                <w:color w:val="000000"/>
                <w:sz w:val="14"/>
                <w:szCs w:val="14"/>
                <w:lang w:val="sr-Cyrl-CS"/>
              </w:rPr>
              <w:t>Одредба ове директиве не успоставља обавезу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6.</w:t>
            </w:r>
          </w:p>
        </w:tc>
        <w:tc>
          <w:tcPr>
            <w:tcW w:w="768" w:type="pct"/>
            <w:shd w:val="clear" w:color="auto" w:fill="FFFFFF"/>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The core elements of an electronic invoice are, inter alia:</w:t>
            </w:r>
          </w:p>
          <w:tbl>
            <w:tblPr>
              <w:tblW w:w="5000" w:type="pct"/>
              <w:tblCellSpacing w:w="0" w:type="dxa"/>
              <w:tblCellMar>
                <w:left w:w="0" w:type="dxa"/>
                <w:right w:w="0" w:type="dxa"/>
              </w:tblCellMar>
              <w:tblLook w:val="04A0" w:firstRow="1" w:lastRow="0" w:firstColumn="1" w:lastColumn="0" w:noHBand="0" w:noVBand="1"/>
            </w:tblPr>
            <w:tblGrid>
              <w:gridCol w:w="200"/>
              <w:gridCol w:w="1612"/>
            </w:tblGrid>
            <w:tr w:rsidR="00FD00C3" w:rsidRPr="00FD00C3" w:rsidTr="00CA57B3">
              <w:trPr>
                <w:tblCellSpacing w:w="0" w:type="dxa"/>
              </w:trPr>
              <w:tc>
                <w:tcPr>
                  <w:tcW w:w="200"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(a)</w:t>
                  </w:r>
                </w:p>
              </w:tc>
              <w:tc>
                <w:tcPr>
                  <w:tcW w:w="1625"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process and invoice identifiers;</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245"/>
              <w:gridCol w:w="1567"/>
            </w:tblGrid>
            <w:tr w:rsidR="00FD00C3" w:rsidRPr="00FD00C3" w:rsidTr="00CA57B3">
              <w:trPr>
                <w:tblCellSpacing w:w="0" w:type="dxa"/>
              </w:trPr>
              <w:tc>
                <w:tcPr>
                  <w:tcW w:w="246"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(b)</w:t>
                  </w:r>
                </w:p>
              </w:tc>
              <w:tc>
                <w:tcPr>
                  <w:tcW w:w="1579"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the invoice period;</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237"/>
              <w:gridCol w:w="1575"/>
            </w:tblGrid>
            <w:tr w:rsidR="00FD00C3" w:rsidRPr="00FD00C3" w:rsidTr="00CA57B3">
              <w:trPr>
                <w:tblCellSpacing w:w="0" w:type="dxa"/>
              </w:trPr>
              <w:tc>
                <w:tcPr>
                  <w:tcW w:w="238"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(c)</w:t>
                  </w:r>
                </w:p>
              </w:tc>
              <w:tc>
                <w:tcPr>
                  <w:tcW w:w="1587"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seller information;</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244"/>
              <w:gridCol w:w="1568"/>
            </w:tblGrid>
            <w:tr w:rsidR="00FD00C3" w:rsidRPr="00FD00C3" w:rsidTr="00CA57B3">
              <w:trPr>
                <w:tblCellSpacing w:w="0" w:type="dxa"/>
              </w:trPr>
              <w:tc>
                <w:tcPr>
                  <w:tcW w:w="245"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(d)</w:t>
                  </w:r>
                </w:p>
              </w:tc>
              <w:tc>
                <w:tcPr>
                  <w:tcW w:w="1580"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buyer information;</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232"/>
              <w:gridCol w:w="1580"/>
            </w:tblGrid>
            <w:tr w:rsidR="00FD00C3" w:rsidRPr="00FD00C3" w:rsidTr="00CA57B3">
              <w:trPr>
                <w:tblCellSpacing w:w="0" w:type="dxa"/>
              </w:trPr>
              <w:tc>
                <w:tcPr>
                  <w:tcW w:w="233"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(e)</w:t>
                  </w:r>
                </w:p>
              </w:tc>
              <w:tc>
                <w:tcPr>
                  <w:tcW w:w="1592"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payee information;</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180"/>
              <w:gridCol w:w="1632"/>
            </w:tblGrid>
            <w:tr w:rsidR="00FD00C3" w:rsidRPr="00FD00C3" w:rsidTr="00CA57B3">
              <w:trPr>
                <w:tblCellSpacing w:w="0" w:type="dxa"/>
              </w:trPr>
              <w:tc>
                <w:tcPr>
                  <w:tcW w:w="180"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(f)</w:t>
                  </w:r>
                </w:p>
              </w:tc>
              <w:tc>
                <w:tcPr>
                  <w:tcW w:w="1645"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seller's tax representative information;</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246"/>
              <w:gridCol w:w="1566"/>
            </w:tblGrid>
            <w:tr w:rsidR="00FD00C3" w:rsidRPr="00FD00C3" w:rsidTr="00CA57B3">
              <w:trPr>
                <w:tblCellSpacing w:w="0" w:type="dxa"/>
              </w:trPr>
              <w:tc>
                <w:tcPr>
                  <w:tcW w:w="247"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(g)</w:t>
                  </w:r>
                </w:p>
              </w:tc>
              <w:tc>
                <w:tcPr>
                  <w:tcW w:w="1578"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contract reference;</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280"/>
              <w:gridCol w:w="1532"/>
            </w:tblGrid>
            <w:tr w:rsidR="00FD00C3" w:rsidRPr="00FD00C3" w:rsidTr="00CA57B3">
              <w:trPr>
                <w:tblCellSpacing w:w="0" w:type="dxa"/>
              </w:trPr>
              <w:tc>
                <w:tcPr>
                  <w:tcW w:w="281"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(h)</w:t>
                  </w:r>
                </w:p>
              </w:tc>
              <w:tc>
                <w:tcPr>
                  <w:tcW w:w="1544"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delivery details;</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180"/>
              <w:gridCol w:w="1632"/>
            </w:tblGrid>
            <w:tr w:rsidR="00FD00C3" w:rsidRPr="00FD00C3" w:rsidTr="00CA57B3">
              <w:trPr>
                <w:tblCellSpacing w:w="0" w:type="dxa"/>
              </w:trPr>
              <w:tc>
                <w:tcPr>
                  <w:tcW w:w="180"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(i)</w:t>
                  </w:r>
                </w:p>
              </w:tc>
              <w:tc>
                <w:tcPr>
                  <w:tcW w:w="1645"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payment instructions;</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170"/>
              <w:gridCol w:w="1642"/>
            </w:tblGrid>
            <w:tr w:rsidR="00FD00C3" w:rsidRPr="00FD00C3" w:rsidTr="00CA57B3">
              <w:trPr>
                <w:tblCellSpacing w:w="0" w:type="dxa"/>
              </w:trPr>
              <w:tc>
                <w:tcPr>
                  <w:tcW w:w="170"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(j)</w:t>
                  </w:r>
                </w:p>
              </w:tc>
              <w:tc>
                <w:tcPr>
                  <w:tcW w:w="1655"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allowance or charge information;</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210"/>
              <w:gridCol w:w="1602"/>
            </w:tblGrid>
            <w:tr w:rsidR="00FD00C3" w:rsidRPr="00FD00C3" w:rsidTr="00CA57B3">
              <w:trPr>
                <w:tblCellSpacing w:w="0" w:type="dxa"/>
              </w:trPr>
              <w:tc>
                <w:tcPr>
                  <w:tcW w:w="210"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(k)</w:t>
                  </w:r>
                </w:p>
              </w:tc>
              <w:tc>
                <w:tcPr>
                  <w:tcW w:w="1615"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invoice line item information;</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261"/>
              <w:gridCol w:w="1551"/>
            </w:tblGrid>
            <w:tr w:rsidR="00FD00C3" w:rsidRPr="00FD00C3" w:rsidTr="00CA57B3">
              <w:trPr>
                <w:tblCellSpacing w:w="0" w:type="dxa"/>
              </w:trPr>
              <w:tc>
                <w:tcPr>
                  <w:tcW w:w="262"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(l)</w:t>
                  </w:r>
                </w:p>
              </w:tc>
              <w:tc>
                <w:tcPr>
                  <w:tcW w:w="1563"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invoice totals;</w:t>
                  </w:r>
                </w:p>
              </w:tc>
            </w:tr>
          </w:tbl>
          <w:p w:rsidR="00FD00C3" w:rsidRPr="00FD00C3" w:rsidRDefault="00FD00C3" w:rsidP="00CA57B3">
            <w:pPr>
              <w:pStyle w:val="CM4"/>
              <w:spacing w:before="60" w:after="60"/>
              <w:rPr>
                <w:vanish/>
                <w:color w:val="000000"/>
                <w:sz w:val="14"/>
                <w:szCs w:val="14"/>
                <w:lang w:val="sr-Cyrl-CS"/>
              </w:rPr>
            </w:pPr>
          </w:p>
          <w:tbl>
            <w:tblPr>
              <w:tblW w:w="5000" w:type="pct"/>
              <w:tblCellSpacing w:w="0" w:type="dxa"/>
              <w:tblCellMar>
                <w:left w:w="0" w:type="dxa"/>
                <w:right w:w="0" w:type="dxa"/>
              </w:tblCellMar>
              <w:tblLook w:val="04A0" w:firstRow="1" w:lastRow="0" w:firstColumn="1" w:lastColumn="0" w:noHBand="0" w:noVBand="1"/>
            </w:tblPr>
            <w:tblGrid>
              <w:gridCol w:w="311"/>
              <w:gridCol w:w="1501"/>
            </w:tblGrid>
            <w:tr w:rsidR="00FD00C3" w:rsidRPr="00FD00C3" w:rsidTr="00CA57B3">
              <w:trPr>
                <w:tblCellSpacing w:w="0" w:type="dxa"/>
              </w:trPr>
              <w:tc>
                <w:tcPr>
                  <w:tcW w:w="312"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(m)</w:t>
                  </w:r>
                </w:p>
              </w:tc>
              <w:tc>
                <w:tcPr>
                  <w:tcW w:w="1513" w:type="dxa"/>
                  <w:hideMark/>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VAT breakdown.</w:t>
                  </w:r>
                </w:p>
                <w:p w:rsidR="00FD00C3" w:rsidRPr="00FD00C3" w:rsidRDefault="00FD00C3" w:rsidP="00CA57B3">
                  <w:pPr>
                    <w:pStyle w:val="CM4"/>
                    <w:spacing w:before="60" w:after="60"/>
                    <w:rPr>
                      <w:color w:val="000000"/>
                      <w:sz w:val="14"/>
                      <w:szCs w:val="14"/>
                      <w:lang w:val="sr-Cyrl-CS"/>
                    </w:rPr>
                  </w:pPr>
                </w:p>
              </w:tc>
            </w:tr>
          </w:tbl>
          <w:p w:rsidR="00FD00C3" w:rsidRPr="00FD00C3" w:rsidRDefault="00FD00C3" w:rsidP="00CA57B3">
            <w:pPr>
              <w:pStyle w:val="CM4"/>
              <w:spacing w:before="60" w:after="60"/>
              <w:rPr>
                <w:color w:val="000000"/>
                <w:sz w:val="14"/>
                <w:szCs w:val="14"/>
                <w:lang w:val="sr-Cyrl-CS"/>
              </w:rPr>
            </w:pP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6.4</w:t>
            </w: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6.5</w:t>
            </w: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ind w:firstLine="5"/>
              <w:rPr>
                <w:color w:val="000000"/>
                <w:sz w:val="14"/>
                <w:szCs w:val="14"/>
                <w:lang w:val="sr-Cyrl-CS"/>
              </w:rPr>
            </w:pPr>
          </w:p>
          <w:p w:rsidR="00FD00C3" w:rsidRPr="00FD00C3" w:rsidRDefault="00FD00C3" w:rsidP="00CA57B3">
            <w:pPr>
              <w:spacing w:before="120" w:after="120"/>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r w:rsidRPr="00FD00C3">
              <w:rPr>
                <w:sz w:val="14"/>
                <w:szCs w:val="14"/>
                <w:lang w:val="sr-Cyrl-CS"/>
              </w:rPr>
              <w:t>Усклaђeнoст eлeктрoнскe фaктурe сa eврoпским стaндaрдoм eлeктрoнскoг фaктурисaњa из стaвa 2. oвoг члaнa пoдрaзумeвa дa eлeктрoнскa фaктурa сaдржи oснoвнe eлeмeнтe eврoпскoг стaндaрдa eлeктрoнскoг фaктурисaњa, кao и дa je у склaду сa фoрмaтoм кao и другим eлeмeнтимa eврoпскoг стaндaрдa eлeктрoнскoг фaктурисaњa.</w:t>
            </w:r>
          </w:p>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r w:rsidRPr="00FD00C3">
              <w:rPr>
                <w:sz w:val="14"/>
                <w:szCs w:val="14"/>
                <w:lang w:val="sr-Cyrl-CS"/>
              </w:rPr>
              <w:t>Министар надлежан за послове финансија ближе уређује начин примене стандарда електронског фактурисања</w:t>
            </w:r>
          </w:p>
        </w:tc>
        <w:tc>
          <w:tcPr>
            <w:tcW w:w="787" w:type="pct"/>
            <w:shd w:val="clear" w:color="auto" w:fill="FFFFFF"/>
          </w:tcPr>
          <w:p w:rsidR="00FD00C3" w:rsidRPr="00FD00C3" w:rsidRDefault="00FD00C3" w:rsidP="00CA57B3">
            <w:pPr>
              <w:rPr>
                <w:sz w:val="14"/>
                <w:szCs w:val="14"/>
                <w:lang w:val="sr-Cyrl-CS"/>
              </w:rPr>
            </w:pPr>
          </w:p>
          <w:p w:rsidR="00FD00C3" w:rsidRPr="00FD00C3" w:rsidRDefault="00FD00C3" w:rsidP="00CA57B3">
            <w:pPr>
              <w:rPr>
                <w:sz w:val="14"/>
                <w:szCs w:val="14"/>
                <w:lang w:val="sr-Cyrl-CS"/>
              </w:rPr>
            </w:pPr>
            <w:r w:rsidRPr="00FD00C3">
              <w:rPr>
                <w:sz w:val="14"/>
                <w:szCs w:val="14"/>
                <w:lang w:val="sr-Cyrl-CS"/>
              </w:rPr>
              <w:t>Делимично 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Биће предмет регулисања подзаконским актом.</w:t>
            </w:r>
          </w:p>
        </w:tc>
        <w:tc>
          <w:tcPr>
            <w:tcW w:w="579" w:type="pct"/>
            <w:shd w:val="clear" w:color="auto" w:fill="FFFFFF"/>
          </w:tcPr>
          <w:p w:rsidR="00FD00C3" w:rsidRPr="00FD00C3" w:rsidRDefault="00FD00C3" w:rsidP="00CA57B3">
            <w:pPr>
              <w:rPr>
                <w:color w:val="000000"/>
                <w:sz w:val="14"/>
                <w:szCs w:val="14"/>
                <w:lang w:val="sr-Cyrl-CS"/>
              </w:rPr>
            </w:pPr>
          </w:p>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7</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Member States shall ensure that contracting authorities and contracting entities receive and process electronic invoices which comply with the European standard on electronic invoicing whose reference has been published pursuant to Article 3(2) and with any of the syntaxes on the list published pursuant to Article 3(2).</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9.3</w:t>
            </w:r>
          </w:p>
        </w:tc>
        <w:tc>
          <w:tcPr>
            <w:tcW w:w="817" w:type="pct"/>
            <w:shd w:val="clear" w:color="auto" w:fill="FFFFFF"/>
          </w:tcPr>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r w:rsidRPr="00FD00C3">
              <w:rPr>
                <w:sz w:val="14"/>
                <w:szCs w:val="14"/>
                <w:lang w:val="sr-Cyrl-CS"/>
              </w:rPr>
              <w:t>Прималац eлeктрoнскe фaктурe који је субјект јавног сектора, дужaн je дa непосредно прими и eлeктрoнску фaктуру издaту у склaду сa eврoпским стaндaрдoм eлeктрoнскoг фaктурисaњa пo oснoву трaнсaкциje у кojoj сe кao издaвaлaц jaвљa стрaнo лицe.</w:t>
            </w:r>
          </w:p>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Потпуно 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8</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1.   This Directive is without prejudice to applicable Union and national law on data protection.</w:t>
            </w:r>
          </w:p>
          <w:p w:rsidR="00FD00C3" w:rsidRPr="00FD00C3" w:rsidRDefault="00FD00C3" w:rsidP="00CA57B3">
            <w:pPr>
              <w:spacing w:before="120" w:after="120"/>
              <w:ind w:firstLine="5"/>
              <w:rPr>
                <w:sz w:val="14"/>
                <w:szCs w:val="14"/>
                <w:lang w:val="sr-Cyrl-CS"/>
              </w:rPr>
            </w:pPr>
            <w:r w:rsidRPr="00FD00C3">
              <w:rPr>
                <w:sz w:val="14"/>
                <w:szCs w:val="14"/>
                <w:lang w:val="sr-Cyrl-CS"/>
              </w:rPr>
              <w:t>2.   Subject to any provisions to the contrary in Union or national law and without prejudice to the exemptions and restrictions set out in Article 13 of Directive 95/46/EC, personal data obtained for the purpose of electronic invoicing may be used only for that purpose or for purposes compatible with it.</w:t>
            </w:r>
          </w:p>
          <w:p w:rsidR="00FD00C3" w:rsidRPr="00FD00C3" w:rsidRDefault="00FD00C3" w:rsidP="00CA57B3">
            <w:pPr>
              <w:spacing w:before="120" w:after="120"/>
              <w:ind w:firstLine="5"/>
              <w:rPr>
                <w:sz w:val="14"/>
                <w:szCs w:val="14"/>
                <w:lang w:val="sr-Cyrl-CS"/>
              </w:rPr>
            </w:pPr>
            <w:r w:rsidRPr="00FD00C3">
              <w:rPr>
                <w:sz w:val="14"/>
                <w:szCs w:val="14"/>
                <w:lang w:val="sr-Cyrl-CS"/>
              </w:rPr>
              <w:t>3.   Without prejudice to the exemptions and  restrictions set out in Article 13 of Directive 95/46/EC, Member States shall ensure that arrangements for the publication, for transparency and accounting purposes, of personal data gathered in connection with electronic invoicing are consistent with the purpose of such publication and with the principle of the protection of privacy.</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15</w:t>
            </w:r>
          </w:p>
        </w:tc>
        <w:tc>
          <w:tcPr>
            <w:tcW w:w="817" w:type="pct"/>
            <w:shd w:val="clear" w:color="auto" w:fill="FFFFFF"/>
          </w:tcPr>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r w:rsidRPr="00FD00C3">
              <w:rPr>
                <w:sz w:val="14"/>
                <w:szCs w:val="14"/>
                <w:lang w:val="sr-Cyrl-CS"/>
              </w:rPr>
              <w:t>Инфoрмaциoни пoсрeдник, цeнтрaлни инфoрмaциoни пoсрeдник и субjeкти oвлaшћeни дa приступajу систeму eлeктрoнских фaктурa дужни су дa oбрaђуjу пoдaткe o личнoсти сaмo у сврху oдрeђeну oвим зaкoнoм и штитe их у склaду сa зaкoнoм кojи урeђуje зaштиту пoдaтaкa o личнoсти.</w:t>
            </w:r>
          </w:p>
          <w:p w:rsidR="00FD00C3" w:rsidRPr="00FD00C3" w:rsidRDefault="00FD00C3" w:rsidP="00CA57B3">
            <w:pPr>
              <w:tabs>
                <w:tab w:val="left" w:pos="0"/>
              </w:tabs>
              <w:rPr>
                <w:sz w:val="14"/>
                <w:szCs w:val="14"/>
                <w:lang w:val="sr-Cyrl-CS"/>
              </w:rPr>
            </w:pPr>
          </w:p>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Потпуно 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p>
          <w:p w:rsidR="00FD00C3" w:rsidRPr="00FD00C3" w:rsidRDefault="00FD00C3" w:rsidP="00CA57B3">
            <w:pPr>
              <w:spacing w:before="120" w:after="120"/>
              <w:rPr>
                <w:color w:val="000000"/>
                <w:sz w:val="14"/>
                <w:szCs w:val="14"/>
                <w:lang w:val="sr-Cyrl-CS"/>
              </w:rPr>
            </w:pPr>
          </w:p>
          <w:p w:rsidR="00FD00C3" w:rsidRPr="00FD00C3" w:rsidRDefault="00FD00C3" w:rsidP="00CA57B3">
            <w:pPr>
              <w:spacing w:before="120" w:after="120"/>
              <w:rPr>
                <w:color w:val="000000"/>
                <w:sz w:val="14"/>
                <w:szCs w:val="14"/>
                <w:lang w:val="sr-Cyrl-CS"/>
              </w:rPr>
            </w:pPr>
          </w:p>
          <w:p w:rsidR="00FD00C3" w:rsidRPr="00FD00C3" w:rsidRDefault="00FD00C3" w:rsidP="00CA57B3">
            <w:pPr>
              <w:spacing w:before="120" w:after="120"/>
              <w:rPr>
                <w:color w:val="000000"/>
                <w:sz w:val="14"/>
                <w:szCs w:val="14"/>
                <w:lang w:val="sr-Cyrl-CS"/>
              </w:rPr>
            </w:pPr>
          </w:p>
          <w:p w:rsidR="00FD00C3" w:rsidRPr="00FD00C3" w:rsidRDefault="00FD00C3" w:rsidP="00CA57B3">
            <w:pPr>
              <w:spacing w:before="120" w:after="120"/>
              <w:rPr>
                <w:color w:val="000000"/>
                <w:sz w:val="14"/>
                <w:szCs w:val="14"/>
                <w:lang w:val="sr-Cyrl-CS"/>
              </w:rPr>
            </w:pPr>
          </w:p>
        </w:tc>
        <w:tc>
          <w:tcPr>
            <w:tcW w:w="579" w:type="pct"/>
            <w:shd w:val="clear" w:color="auto" w:fill="FFFFFF"/>
          </w:tcPr>
          <w:p w:rsidR="00FD00C3" w:rsidRPr="00FD00C3" w:rsidRDefault="00FD00C3" w:rsidP="00CA57B3">
            <w:pPr>
              <w:rPr>
                <w:color w:val="000000"/>
                <w:sz w:val="14"/>
                <w:szCs w:val="14"/>
                <w:lang w:val="sr-Cyrl-CS"/>
              </w:rPr>
            </w:pPr>
          </w:p>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Предлог</w:t>
            </w:r>
            <w:r w:rsidRPr="00FD00C3">
              <w:rPr>
                <w:color w:val="000000"/>
                <w:sz w:val="14"/>
                <w:szCs w:val="14"/>
                <w:lang w:val="sr-Cyrl-CS"/>
              </w:rPr>
              <w:t>ом закона упућује се на примену Закона о заштити података.</w:t>
            </w:r>
          </w:p>
          <w:p w:rsidR="00FD00C3" w:rsidRPr="00FD00C3" w:rsidRDefault="00FD00C3" w:rsidP="00CA57B3">
            <w:pPr>
              <w:spacing w:before="120" w:after="120"/>
              <w:rPr>
                <w:color w:val="000000"/>
                <w:sz w:val="14"/>
                <w:szCs w:val="14"/>
                <w:lang w:val="sr-Cyrl-CS"/>
              </w:rPr>
            </w:pPr>
          </w:p>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9</w:t>
            </w:r>
          </w:p>
        </w:tc>
        <w:tc>
          <w:tcPr>
            <w:tcW w:w="768" w:type="pct"/>
            <w:shd w:val="clear" w:color="auto" w:fill="FFFFFF"/>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This Directive is without prejudice to the provisions of Directive 2006/112/EC.</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8.2</w:t>
            </w:r>
          </w:p>
        </w:tc>
        <w:tc>
          <w:tcPr>
            <w:tcW w:w="817" w:type="pct"/>
            <w:shd w:val="clear" w:color="auto" w:fill="FFFFFF"/>
          </w:tcPr>
          <w:p w:rsidR="00FD00C3" w:rsidRPr="00FD00C3" w:rsidRDefault="00FD00C3" w:rsidP="00CA57B3">
            <w:pPr>
              <w:tabs>
                <w:tab w:val="left" w:pos="0"/>
              </w:tabs>
              <w:rPr>
                <w:sz w:val="14"/>
                <w:szCs w:val="14"/>
                <w:lang w:val="sr-Cyrl-CS"/>
              </w:rPr>
            </w:pPr>
            <w:r w:rsidRPr="00FD00C3">
              <w:rPr>
                <w:sz w:val="14"/>
                <w:szCs w:val="14"/>
                <w:lang w:val="sr-Cyrl-CS"/>
              </w:rPr>
              <w:t>Oвaj зaкoн нe утичe нa примeну oдрeдби зaкoнa кojим сe урeђуjу oбрaчунaвaњe и плaћaњe пoрeзa нa дoдaту врeднoст и пoдзaкoнских aкaтa усвojeних нa oснoву тoг зaкoнa.</w:t>
            </w:r>
          </w:p>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rPr>
                <w:sz w:val="14"/>
                <w:szCs w:val="14"/>
                <w:lang w:val="sr-Cyrl-CS"/>
              </w:rPr>
            </w:pPr>
          </w:p>
          <w:p w:rsidR="00FD00C3" w:rsidRPr="00FD00C3" w:rsidRDefault="00FD00C3" w:rsidP="00CA57B3">
            <w:pPr>
              <w:rPr>
                <w:sz w:val="14"/>
                <w:szCs w:val="14"/>
                <w:lang w:val="sr-Cyrl-CS"/>
              </w:rPr>
            </w:pPr>
            <w:r w:rsidRPr="00FD00C3">
              <w:rPr>
                <w:sz w:val="14"/>
                <w:szCs w:val="14"/>
                <w:lang w:val="sr-Cyrl-CS"/>
              </w:rPr>
              <w:t>Потпуно усклађено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10</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1.   The Commission shall be assisted by a committee. That committee shall be a committee within the meaning of Regulation (EU) No 182/2011.</w:t>
            </w:r>
          </w:p>
          <w:p w:rsidR="00FD00C3" w:rsidRPr="00FD00C3" w:rsidRDefault="00FD00C3" w:rsidP="00CA57B3">
            <w:pPr>
              <w:spacing w:before="120" w:after="120"/>
              <w:ind w:firstLine="5"/>
              <w:rPr>
                <w:sz w:val="14"/>
                <w:szCs w:val="14"/>
                <w:lang w:val="sr-Cyrl-CS"/>
              </w:rPr>
            </w:pPr>
            <w:r w:rsidRPr="00FD00C3">
              <w:rPr>
                <w:sz w:val="14"/>
                <w:szCs w:val="14"/>
                <w:lang w:val="sr-Cyrl-CS"/>
              </w:rPr>
              <w:t>2.   Where reference is made to this paragraph, Article 5 of Regulation (EU) No 182/2011 shall apply.</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iCs/>
                <w:color w:val="000000"/>
                <w:sz w:val="14"/>
                <w:szCs w:val="14"/>
                <w:lang w:val="sr-Cyrl-CS"/>
              </w:rPr>
              <w:t>Одредба ове директиве не успоставља обавезу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11</w:t>
            </w:r>
          </w:p>
        </w:tc>
        <w:tc>
          <w:tcPr>
            <w:tcW w:w="768" w:type="pct"/>
            <w:shd w:val="clear" w:color="auto" w:fill="FFFFFF"/>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1.   Member States shall adopt, publish and apply the laws, regulations and administrative provisions necessary to comply with this Directive at the latest by 27 November 2018. They shall forthwith communicate the text of those measures to the Commission.</w:t>
            </w:r>
          </w:p>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2.   By way of derogation from paragraph 1, Member States shall, not later than 18 months after the publication of the reference of the European standard on electronic invoicing in the Official Journal of the European Union, adopt, publish and apply the provisions necessary to comply with the obligation contained in Article 7 to receive and process electronic invoices.</w:t>
            </w:r>
          </w:p>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Member States may postpone the application referred to in the first subparagraph with regard to their sub-central contracting authorities and contracting entities until 30 months after publication of the reference of the European standard on electronic invoicing in the Official Journal of the European Union at the latest.</w:t>
            </w:r>
          </w:p>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Upon publication of the reference to the European standard on electronic invoicing, the Commission shall publish in the Official Journal of the European Union the final date for the bringing into force of the measures referred to in the first subparagraph.</w:t>
            </w:r>
          </w:p>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3.   Member States shall communicate to the Commission the text of the main provisions of national law which they adopt in the field covered by this Directive.</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rPr>
                <w:sz w:val="14"/>
                <w:szCs w:val="14"/>
                <w:lang w:val="sr-Cyrl-CS"/>
              </w:rPr>
            </w:pPr>
          </w:p>
          <w:p w:rsidR="00FD00C3" w:rsidRPr="00FD00C3" w:rsidRDefault="00FD00C3" w:rsidP="00CA57B3">
            <w:pPr>
              <w:rPr>
                <w:sz w:val="14"/>
                <w:szCs w:val="14"/>
                <w:lang w:val="sr-Cyrl-CS"/>
              </w:rPr>
            </w:pPr>
            <w:r w:rsidRPr="00FD00C3">
              <w:rPr>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iCs/>
                <w:color w:val="000000"/>
                <w:sz w:val="14"/>
                <w:szCs w:val="14"/>
                <w:lang w:val="sr-Cyrl-CS"/>
              </w:rPr>
              <w:t>Одредба ове директиве успоставља обавезу само за државу чланицу у погледу усклађивања, али не и за државе које још увек нису постале чланице.</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lastRenderedPageBreak/>
              <w:t>12</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The Commission shall review the effects of this Directive on the internal market and on the uptake of electronic invoicing in public procurement and shall submit a report thereon to the European Parliament and to the Council within three years of the time limit for the maximum postponement set for sub-central authorities in the second subparagraph of Article 11(2). Where appropriate, the report shall be accompanied by an impact assessment relating to the need for further action.</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iCs/>
                <w:color w:val="000000"/>
                <w:sz w:val="14"/>
                <w:szCs w:val="14"/>
                <w:lang w:val="sr-Cyrl-CS"/>
              </w:rPr>
              <w:t>Одредба ове директиве не успоставља обавезу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13</w:t>
            </w:r>
          </w:p>
        </w:tc>
        <w:tc>
          <w:tcPr>
            <w:tcW w:w="768" w:type="pct"/>
            <w:shd w:val="clear" w:color="auto" w:fill="FFFFFF"/>
          </w:tcPr>
          <w:p w:rsidR="00FD00C3" w:rsidRPr="00FD00C3" w:rsidRDefault="00FD00C3" w:rsidP="00CA57B3">
            <w:pPr>
              <w:pStyle w:val="CM4"/>
              <w:spacing w:before="60" w:after="60"/>
              <w:rPr>
                <w:color w:val="000000"/>
                <w:sz w:val="14"/>
                <w:szCs w:val="14"/>
                <w:lang w:val="sr-Cyrl-CS"/>
              </w:rPr>
            </w:pPr>
            <w:r w:rsidRPr="00FD00C3">
              <w:rPr>
                <w:color w:val="000000"/>
                <w:sz w:val="14"/>
                <w:szCs w:val="14"/>
                <w:lang w:val="sr-Cyrl-CS"/>
              </w:rPr>
              <w:t>This Directive shall enter into force on the twentieth day following that of its publication in the Official Journal of the European Union.</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rPr>
                <w:sz w:val="14"/>
                <w:szCs w:val="14"/>
                <w:lang w:val="sr-Cyrl-CS"/>
              </w:rPr>
            </w:pPr>
          </w:p>
          <w:p w:rsidR="00FD00C3" w:rsidRPr="00FD00C3" w:rsidRDefault="00FD00C3" w:rsidP="00CA57B3">
            <w:pPr>
              <w:rPr>
                <w:sz w:val="14"/>
                <w:szCs w:val="14"/>
                <w:lang w:val="sr-Cyrl-CS"/>
              </w:rPr>
            </w:pPr>
            <w:r w:rsidRPr="00FD00C3">
              <w:rPr>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iCs/>
                <w:color w:val="000000"/>
                <w:sz w:val="14"/>
                <w:szCs w:val="14"/>
                <w:lang w:val="sr-Cyrl-CS"/>
              </w:rPr>
              <w:t>Одредба ове директиве не успоставља обавезу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after="120"/>
              <w:rPr>
                <w:color w:val="000000"/>
                <w:sz w:val="14"/>
                <w:szCs w:val="14"/>
                <w:lang w:val="sr-Cyrl-CS"/>
              </w:rPr>
            </w:pPr>
          </w:p>
        </w:tc>
      </w:tr>
      <w:tr w:rsidR="00FD00C3" w:rsidRPr="00FD00C3" w:rsidTr="00CA57B3">
        <w:trPr>
          <w:cantSplit/>
          <w:jc w:val="center"/>
        </w:trPr>
        <w:tc>
          <w:tcPr>
            <w:tcW w:w="489" w:type="pct"/>
            <w:shd w:val="clear" w:color="auto" w:fill="FFFFFF"/>
          </w:tcPr>
          <w:p w:rsidR="00FD00C3" w:rsidRPr="00FD00C3" w:rsidRDefault="00FD00C3" w:rsidP="00CA57B3">
            <w:pPr>
              <w:spacing w:before="120" w:after="120"/>
              <w:ind w:firstLine="5"/>
              <w:rPr>
                <w:color w:val="000000"/>
                <w:sz w:val="14"/>
                <w:szCs w:val="14"/>
                <w:lang w:val="sr-Cyrl-CS"/>
              </w:rPr>
            </w:pPr>
            <w:r w:rsidRPr="00FD00C3">
              <w:rPr>
                <w:color w:val="000000"/>
                <w:sz w:val="14"/>
                <w:szCs w:val="14"/>
                <w:lang w:val="sr-Cyrl-CS"/>
              </w:rPr>
              <w:t>14</w:t>
            </w:r>
          </w:p>
        </w:tc>
        <w:tc>
          <w:tcPr>
            <w:tcW w:w="768" w:type="pct"/>
            <w:shd w:val="clear" w:color="auto" w:fill="FFFFFF"/>
          </w:tcPr>
          <w:p w:rsidR="00FD00C3" w:rsidRPr="00FD00C3" w:rsidRDefault="00FD00C3" w:rsidP="00CA57B3">
            <w:pPr>
              <w:spacing w:before="120" w:after="120"/>
              <w:ind w:firstLine="5"/>
              <w:rPr>
                <w:sz w:val="14"/>
                <w:szCs w:val="14"/>
                <w:lang w:val="sr-Cyrl-CS"/>
              </w:rPr>
            </w:pPr>
            <w:r w:rsidRPr="00FD00C3">
              <w:rPr>
                <w:sz w:val="14"/>
                <w:szCs w:val="14"/>
                <w:lang w:val="sr-Cyrl-CS"/>
              </w:rPr>
              <w:t>This Directive is addressed to the Member States.</w:t>
            </w:r>
          </w:p>
        </w:tc>
        <w:tc>
          <w:tcPr>
            <w:tcW w:w="460" w:type="pct"/>
            <w:shd w:val="clear" w:color="auto" w:fill="FFFFFF"/>
          </w:tcPr>
          <w:p w:rsidR="00FD00C3" w:rsidRPr="00FD00C3" w:rsidRDefault="00FD00C3" w:rsidP="00CA57B3">
            <w:pPr>
              <w:spacing w:before="120" w:after="120"/>
              <w:ind w:firstLine="5"/>
              <w:rPr>
                <w:color w:val="000000"/>
                <w:sz w:val="14"/>
                <w:szCs w:val="14"/>
                <w:lang w:val="sr-Cyrl-CS"/>
              </w:rPr>
            </w:pPr>
          </w:p>
        </w:tc>
        <w:tc>
          <w:tcPr>
            <w:tcW w:w="817" w:type="pct"/>
            <w:shd w:val="clear" w:color="auto" w:fill="FFFFFF"/>
          </w:tcPr>
          <w:p w:rsidR="00FD00C3" w:rsidRPr="00FD00C3" w:rsidRDefault="00FD00C3" w:rsidP="00CA57B3">
            <w:pPr>
              <w:tabs>
                <w:tab w:val="left" w:pos="0"/>
              </w:tabs>
              <w:rPr>
                <w:sz w:val="14"/>
                <w:szCs w:val="14"/>
                <w:lang w:val="sr-Cyrl-CS"/>
              </w:rPr>
            </w:pPr>
          </w:p>
        </w:tc>
        <w:tc>
          <w:tcPr>
            <w:tcW w:w="787" w:type="pct"/>
            <w:shd w:val="clear" w:color="auto" w:fill="FFFFFF"/>
          </w:tcPr>
          <w:p w:rsidR="00FD00C3" w:rsidRPr="00FD00C3" w:rsidRDefault="00FD00C3" w:rsidP="00CA57B3">
            <w:pPr>
              <w:spacing w:before="120" w:after="120"/>
              <w:rPr>
                <w:color w:val="000000"/>
                <w:sz w:val="14"/>
                <w:szCs w:val="14"/>
                <w:lang w:val="sr-Cyrl-CS"/>
              </w:rPr>
            </w:pPr>
            <w:r w:rsidRPr="00FD00C3">
              <w:rPr>
                <w:color w:val="000000"/>
                <w:sz w:val="14"/>
                <w:szCs w:val="14"/>
                <w:lang w:val="sr-Cyrl-CS"/>
              </w:rPr>
              <w:t>Непреносиво</w:t>
            </w:r>
          </w:p>
        </w:tc>
        <w:tc>
          <w:tcPr>
            <w:tcW w:w="591" w:type="pct"/>
            <w:gridSpan w:val="2"/>
            <w:shd w:val="clear" w:color="auto" w:fill="FFFFFF"/>
          </w:tcPr>
          <w:p w:rsidR="00FD00C3" w:rsidRPr="00FD00C3" w:rsidRDefault="00FD00C3" w:rsidP="00CA57B3">
            <w:pPr>
              <w:spacing w:before="120" w:after="120"/>
              <w:rPr>
                <w:color w:val="000000"/>
                <w:sz w:val="14"/>
                <w:szCs w:val="14"/>
                <w:lang w:val="sr-Cyrl-CS"/>
              </w:rPr>
            </w:pPr>
            <w:r w:rsidRPr="00FD00C3">
              <w:rPr>
                <w:iCs/>
                <w:color w:val="000000"/>
                <w:sz w:val="14"/>
                <w:szCs w:val="14"/>
                <w:lang w:val="sr-Cyrl-CS"/>
              </w:rPr>
              <w:t>Одредба ове директиве не успоставља обавезу за државу чланицу у погледу усклађивања.</w:t>
            </w:r>
          </w:p>
        </w:tc>
        <w:tc>
          <w:tcPr>
            <w:tcW w:w="579" w:type="pct"/>
            <w:shd w:val="clear" w:color="auto" w:fill="FFFFFF"/>
          </w:tcPr>
          <w:p w:rsidR="00FD00C3" w:rsidRPr="00FD00C3" w:rsidRDefault="00FD00C3" w:rsidP="00CA57B3">
            <w:pPr>
              <w:rPr>
                <w:color w:val="000000"/>
                <w:sz w:val="14"/>
                <w:szCs w:val="14"/>
                <w:lang w:val="sr-Cyrl-CS"/>
              </w:rPr>
            </w:pPr>
          </w:p>
        </w:tc>
        <w:tc>
          <w:tcPr>
            <w:tcW w:w="509" w:type="pct"/>
            <w:shd w:val="clear" w:color="auto" w:fill="FFFFFF"/>
          </w:tcPr>
          <w:p w:rsidR="00FD00C3" w:rsidRPr="00FD00C3" w:rsidRDefault="00FD00C3" w:rsidP="00CA57B3">
            <w:pPr>
              <w:spacing w:before="120" w:after="120"/>
              <w:rPr>
                <w:color w:val="000000"/>
                <w:sz w:val="14"/>
                <w:szCs w:val="14"/>
                <w:lang w:val="sr-Cyrl-CS"/>
              </w:rPr>
            </w:pPr>
          </w:p>
        </w:tc>
      </w:tr>
    </w:tbl>
    <w:p w:rsidR="00ED24A5" w:rsidRPr="00FD00C3" w:rsidRDefault="00ED24A5">
      <w:pPr>
        <w:rPr>
          <w:lang w:val="sr-Cyrl-CS"/>
        </w:rPr>
      </w:pPr>
    </w:p>
    <w:sectPr w:rsidR="00ED24A5" w:rsidRPr="00FD00C3" w:rsidSect="00FD00C3">
      <w:footerReference w:type="default" r:id="rId7"/>
      <w:pgSz w:w="15840" w:h="12240" w:orient="landscape"/>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55F" w:rsidRDefault="007C255F" w:rsidP="00FD00C3">
      <w:r>
        <w:separator/>
      </w:r>
    </w:p>
  </w:endnote>
  <w:endnote w:type="continuationSeparator" w:id="0">
    <w:p w:rsidR="007C255F" w:rsidRDefault="007C255F" w:rsidP="00FD0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CYR">
    <w:altName w:val="Times New Roman"/>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577607"/>
      <w:docPartObj>
        <w:docPartGallery w:val="Page Numbers (Bottom of Page)"/>
        <w:docPartUnique/>
      </w:docPartObj>
    </w:sdtPr>
    <w:sdtEndPr>
      <w:rPr>
        <w:noProof/>
      </w:rPr>
    </w:sdtEndPr>
    <w:sdtContent>
      <w:p w:rsidR="00FD00C3" w:rsidRDefault="00FD00C3">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rsidR="00FD00C3" w:rsidRDefault="00FD00C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55F" w:rsidRDefault="007C255F" w:rsidP="00FD00C3">
      <w:r>
        <w:separator/>
      </w:r>
    </w:p>
  </w:footnote>
  <w:footnote w:type="continuationSeparator" w:id="0">
    <w:p w:rsidR="007C255F" w:rsidRDefault="007C255F" w:rsidP="00FD00C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D17B92"/>
    <w:multiLevelType w:val="multilevel"/>
    <w:tmpl w:val="3AECC2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0C3"/>
    <w:rsid w:val="007C255F"/>
    <w:rsid w:val="00C96E43"/>
    <w:rsid w:val="00E437ED"/>
    <w:rsid w:val="00ED24A5"/>
    <w:rsid w:val="00FD0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2FBF8"/>
  <w15:chartTrackingRefBased/>
  <w15:docId w15:val="{D81D9FC4-38CB-43FF-BEDC-543CDFA2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0C3"/>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FD00C3"/>
    <w:pPr>
      <w:jc w:val="left"/>
    </w:pPr>
    <w:rPr>
      <w:rFonts w:ascii="Arial" w:eastAsia="Calibri" w:hAnsi="Arial" w:cs="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FD00C3"/>
    <w:rPr>
      <w:rFonts w:ascii="Arial" w:eastAsia="Calibri" w:hAnsi="Arial" w:cs="Arial"/>
      <w:sz w:val="20"/>
      <w:szCs w:val="20"/>
    </w:rPr>
  </w:style>
  <w:style w:type="paragraph" w:customStyle="1" w:styleId="CM4">
    <w:name w:val="CM4"/>
    <w:basedOn w:val="Normal"/>
    <w:next w:val="Normal"/>
    <w:uiPriority w:val="99"/>
    <w:rsid w:val="00FD00C3"/>
    <w:pPr>
      <w:autoSpaceDE w:val="0"/>
      <w:autoSpaceDN w:val="0"/>
      <w:adjustRightInd w:val="0"/>
      <w:jc w:val="left"/>
    </w:pPr>
    <w:rPr>
      <w:rFonts w:ascii="EUAlbertina" w:eastAsia="Calibri" w:hAnsi="EUAlbertina"/>
    </w:rPr>
  </w:style>
  <w:style w:type="paragraph" w:styleId="Header">
    <w:name w:val="header"/>
    <w:basedOn w:val="Normal"/>
    <w:link w:val="HeaderChar"/>
    <w:uiPriority w:val="99"/>
    <w:unhideWhenUsed/>
    <w:rsid w:val="00FD00C3"/>
    <w:pPr>
      <w:tabs>
        <w:tab w:val="center" w:pos="4680"/>
        <w:tab w:val="right" w:pos="9360"/>
      </w:tabs>
    </w:pPr>
  </w:style>
  <w:style w:type="character" w:customStyle="1" w:styleId="HeaderChar">
    <w:name w:val="Header Char"/>
    <w:basedOn w:val="DefaultParagraphFont"/>
    <w:link w:val="Header"/>
    <w:uiPriority w:val="99"/>
    <w:rsid w:val="00FD00C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D00C3"/>
    <w:pPr>
      <w:tabs>
        <w:tab w:val="center" w:pos="4680"/>
        <w:tab w:val="right" w:pos="9360"/>
      </w:tabs>
    </w:pPr>
  </w:style>
  <w:style w:type="character" w:customStyle="1" w:styleId="FooterChar">
    <w:name w:val="Footer Char"/>
    <w:basedOn w:val="DefaultParagraphFont"/>
    <w:link w:val="Footer"/>
    <w:uiPriority w:val="99"/>
    <w:rsid w:val="00FD00C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D00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0C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3205</Words>
  <Characters>18273</Characters>
  <Application>Microsoft Office Word</Application>
  <DocSecurity>0</DocSecurity>
  <Lines>152</Lines>
  <Paragraphs>42</Paragraphs>
  <ScaleCrop>false</ScaleCrop>
  <Company/>
  <LinksUpToDate>false</LinksUpToDate>
  <CharactersWithSpaces>21436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Andjelka Opacic</dc:creator>
  <cp:keywords/>
  <dc:description/>
  <cp:lastModifiedBy>Andjelka Opacic</cp:lastModifiedBy>
  <cp:revision>1</cp:revision>
  <cp:lastPrinted>2021-03-26T08:31:00Z</cp:lastPrinted>
  <dcterms:created xsi:type="dcterms:W3CDTF">2021-03-26T08:27:00Z</dcterms:created>
  <dcterms:modified xsi:type="dcterms:W3CDTF">2021-03-26T08:32:00Z</dcterms:modified>
</cp:coreProperties>
</file>